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0AFD51" w14:textId="77777777" w:rsidR="00CD705C" w:rsidRDefault="00CD705C" w:rsidP="00030BBA">
      <w:pPr>
        <w:spacing w:line="276" w:lineRule="auto"/>
        <w:rPr>
          <w:rFonts w:ascii="Verdana" w:hAnsi="Verdana"/>
          <w:sz w:val="24"/>
          <w:szCs w:val="24"/>
        </w:rPr>
      </w:pPr>
      <w:bookmarkStart w:id="0" w:name="_GoBack"/>
      <w:bookmarkEnd w:id="0"/>
    </w:p>
    <w:p w14:paraId="15720B85" w14:textId="2F66B575" w:rsidR="00AD0D74" w:rsidRDefault="005E54C8" w:rsidP="00030BBA">
      <w:pPr>
        <w:spacing w:line="276" w:lineRule="auto"/>
        <w:rPr>
          <w:rFonts w:ascii="Verdana" w:hAnsi="Verdana"/>
          <w:sz w:val="24"/>
          <w:szCs w:val="24"/>
        </w:rPr>
        <w:sectPr w:rsidR="00AD0D74" w:rsidSect="003169FC">
          <w:pgSz w:w="11906" w:h="16838"/>
          <w:pgMar w:top="0" w:right="0" w:bottom="0" w:left="0" w:header="708" w:footer="708" w:gutter="0"/>
          <w:cols w:space="708"/>
          <w:docGrid w:linePitch="360"/>
        </w:sectPr>
      </w:pPr>
      <w:r>
        <w:rPr>
          <w:noProof/>
          <w:lang w:val="en-AU" w:eastAsia="en-AU" w:bidi="ar-SA"/>
        </w:rPr>
        <mc:AlternateContent>
          <mc:Choice Requires="wps">
            <w:drawing>
              <wp:anchor distT="0" distB="0" distL="114300" distR="114300" simplePos="0" relativeHeight="251646464" behindDoc="0" locked="0" layoutInCell="1" allowOverlap="1" wp14:anchorId="15721A49" wp14:editId="1882330F">
                <wp:simplePos x="0" y="0"/>
                <wp:positionH relativeFrom="column">
                  <wp:posOffset>4357370</wp:posOffset>
                </wp:positionH>
                <wp:positionV relativeFrom="paragraph">
                  <wp:posOffset>3308350</wp:posOffset>
                </wp:positionV>
                <wp:extent cx="3148330" cy="559435"/>
                <wp:effectExtent l="0" t="0" r="0" b="0"/>
                <wp:wrapNone/>
                <wp:docPr id="8" name="Text Box 2" descr="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8330" cy="559435"/>
                        </a:xfrm>
                        <a:prstGeom prst="rect">
                          <a:avLst/>
                        </a:prstGeom>
                        <a:noFill/>
                        <a:ln w="9525">
                          <a:noFill/>
                          <a:miter lim="800000"/>
                          <a:headEnd/>
                          <a:tailEnd/>
                        </a:ln>
                      </wps:spPr>
                      <wps:txbx>
                        <w:txbxContent>
                          <w:p w14:paraId="15721B58" w14:textId="77777777" w:rsidR="00515CEF" w:rsidRPr="00202702" w:rsidRDefault="00515CEF" w:rsidP="00AD0D74">
                            <w:pPr>
                              <w:rPr>
                                <w:rFonts w:ascii="Myriad Pro" w:hAnsi="Myriad Pro"/>
                                <w:color w:val="FFFFFF" w:themeColor="background1"/>
                                <w:sz w:val="64"/>
                                <w:szCs w:val="64"/>
                              </w:rPr>
                            </w:pPr>
                            <w:r w:rsidRPr="00B144A8">
                              <w:rPr>
                                <w:rFonts w:ascii="Myriad Pro" w:hAnsi="Myriad Pro"/>
                                <w:color w:val="FFFFFF" w:themeColor="background1"/>
                                <w:sz w:val="56"/>
                                <w:szCs w:val="56"/>
                              </w:rPr>
                              <w:t xml:space="preserve">2 0 1 </w:t>
                            </w:r>
                            <w:r>
                              <w:rPr>
                                <w:rFonts w:ascii="Myriad Pro" w:hAnsi="Myriad Pro"/>
                                <w:color w:val="FFFFFF" w:themeColor="background1"/>
                                <w:sz w:val="56"/>
                                <w:szCs w:val="56"/>
                              </w:rPr>
                              <w:t>5</w:t>
                            </w:r>
                            <w:r w:rsidRPr="00B144A8">
                              <w:rPr>
                                <w:rFonts w:ascii="Myriad Pro" w:hAnsi="Myriad Pro"/>
                                <w:color w:val="FFFFFF" w:themeColor="background1"/>
                                <w:sz w:val="56"/>
                                <w:szCs w:val="56"/>
                              </w:rPr>
                              <w:t xml:space="preserve">  -  2 0</w:t>
                            </w:r>
                            <w:r>
                              <w:rPr>
                                <w:rFonts w:ascii="Myriad Pro" w:hAnsi="Myriad Pro"/>
                                <w:color w:val="FFFFFF" w:themeColor="background1"/>
                                <w:sz w:val="64"/>
                                <w:szCs w:val="64"/>
                              </w:rPr>
                              <w:t xml:space="preserve"> </w:t>
                            </w:r>
                            <w:r w:rsidRPr="00B144A8">
                              <w:rPr>
                                <w:rFonts w:ascii="Myriad Pro" w:hAnsi="Myriad Pro"/>
                                <w:color w:val="FFFFFF" w:themeColor="background1"/>
                                <w:sz w:val="56"/>
                                <w:szCs w:val="56"/>
                              </w:rPr>
                              <w:t>1</w:t>
                            </w:r>
                            <w:r>
                              <w:rPr>
                                <w:rFonts w:ascii="Myriad Pro" w:hAnsi="Myriad Pro"/>
                                <w:color w:val="FFFFFF" w:themeColor="background1"/>
                                <w:sz w:val="64"/>
                                <w:szCs w:val="64"/>
                              </w:rPr>
                              <w:t xml:space="preserve"> </w:t>
                            </w:r>
                            <w:r>
                              <w:rPr>
                                <w:rFonts w:ascii="Myriad Pro" w:hAnsi="Myriad Pro"/>
                                <w:color w:val="FFFFFF" w:themeColor="background1"/>
                                <w:sz w:val="56"/>
                                <w:szCs w:val="56"/>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721A49" id="_x0000_t202" coordsize="21600,21600" o:spt="202" path="m,l,21600r21600,l21600,xe">
                <v:stroke joinstyle="miter"/>
                <v:path gradientshapeok="t" o:connecttype="rect"/>
              </v:shapetype>
              <v:shape id="Text Box 2" o:spid="_x0000_s1026" type="#_x0000_t202" alt="Title: Rectangle - Description: Rectangle design feature" style="position:absolute;left:0;text-align:left;margin-left:343.1pt;margin-top:260.5pt;width:247.9pt;height:44.0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" filled="f" stroked="f">
                <v:textbox>
                  <w:txbxContent>
                    <w:p w14:paraId="15721B58" w14:textId="77777777" w:rsidR="00515CEF" w:rsidRPr="00202702" w:rsidRDefault="00515CEF" w:rsidP="00AD0D74">
                      <w:pPr>
                        <w:rPr>
                          <w:rFonts w:ascii="Myriad Pro" w:hAnsi="Myriad Pro"/>
                          <w:color w:val="FFFFFF" w:themeColor="background1"/>
                          <w:sz w:val="64"/>
                          <w:szCs w:val="64"/>
                        </w:rPr>
                      </w:pPr>
                      <w:r w:rsidRPr="00B144A8">
                        <w:rPr>
                          <w:rFonts w:ascii="Myriad Pro" w:hAnsi="Myriad Pro"/>
                          <w:color w:val="FFFFFF" w:themeColor="background1"/>
                          <w:sz w:val="56"/>
                          <w:szCs w:val="56"/>
                        </w:rPr>
                        <w:t xml:space="preserve">2 0 1 </w:t>
                      </w:r>
                      <w:r>
                        <w:rPr>
                          <w:rFonts w:ascii="Myriad Pro" w:hAnsi="Myriad Pro"/>
                          <w:color w:val="FFFFFF" w:themeColor="background1"/>
                          <w:sz w:val="56"/>
                          <w:szCs w:val="56"/>
                        </w:rPr>
                        <w:t>5</w:t>
                      </w:r>
                      <w:r w:rsidRPr="00B144A8">
                        <w:rPr>
                          <w:rFonts w:ascii="Myriad Pro" w:hAnsi="Myriad Pro"/>
                          <w:color w:val="FFFFFF" w:themeColor="background1"/>
                          <w:sz w:val="56"/>
                          <w:szCs w:val="56"/>
                        </w:rPr>
                        <w:t xml:space="preserve">  -  2 0</w:t>
                      </w:r>
                      <w:r>
                        <w:rPr>
                          <w:rFonts w:ascii="Myriad Pro" w:hAnsi="Myriad Pro"/>
                          <w:color w:val="FFFFFF" w:themeColor="background1"/>
                          <w:sz w:val="64"/>
                          <w:szCs w:val="64"/>
                        </w:rPr>
                        <w:t xml:space="preserve"> </w:t>
                      </w:r>
                      <w:r w:rsidRPr="00B144A8">
                        <w:rPr>
                          <w:rFonts w:ascii="Myriad Pro" w:hAnsi="Myriad Pro"/>
                          <w:color w:val="FFFFFF" w:themeColor="background1"/>
                          <w:sz w:val="56"/>
                          <w:szCs w:val="56"/>
                        </w:rPr>
                        <w:t>1</w:t>
                      </w:r>
                      <w:r>
                        <w:rPr>
                          <w:rFonts w:ascii="Myriad Pro" w:hAnsi="Myriad Pro"/>
                          <w:color w:val="FFFFFF" w:themeColor="background1"/>
                          <w:sz w:val="64"/>
                          <w:szCs w:val="64"/>
                        </w:rPr>
                        <w:t xml:space="preserve"> </w:t>
                      </w:r>
                      <w:r>
                        <w:rPr>
                          <w:rFonts w:ascii="Myriad Pro" w:hAnsi="Myriad Pro"/>
                          <w:color w:val="FFFFFF" w:themeColor="background1"/>
                          <w:sz w:val="56"/>
                          <w:szCs w:val="56"/>
                        </w:rPr>
                        <w:t>6</w:t>
                      </w:r>
                    </w:p>
                  </w:txbxContent>
                </v:textbox>
              </v:shape>
            </w:pict>
          </mc:Fallback>
        </mc:AlternateContent>
      </w:r>
      <w:r w:rsidR="00C00E18">
        <w:rPr>
          <w:noProof/>
          <w:lang w:val="en-AU" w:eastAsia="en-AU" w:bidi="ar-SA"/>
        </w:rPr>
        <mc:AlternateContent>
          <mc:Choice Requires="wps">
            <w:drawing>
              <wp:anchor distT="0" distB="0" distL="114300" distR="114300" simplePos="0" relativeHeight="251647488" behindDoc="0" locked="0" layoutInCell="1" allowOverlap="1" wp14:anchorId="15721A4B" wp14:editId="7A77F5B2">
                <wp:simplePos x="0" y="0"/>
                <wp:positionH relativeFrom="column">
                  <wp:posOffset>142504</wp:posOffset>
                </wp:positionH>
                <wp:positionV relativeFrom="paragraph">
                  <wp:posOffset>10105901</wp:posOffset>
                </wp:positionV>
                <wp:extent cx="7127875" cy="273133"/>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27875" cy="273133"/>
                        </a:xfrm>
                        <a:prstGeom prst="rect">
                          <a:avLst/>
                        </a:prstGeom>
                        <a:noFill/>
                        <a:ln w="9525">
                          <a:noFill/>
                          <a:miter lim="800000"/>
                          <a:headEnd/>
                          <a:tailEnd/>
                        </a:ln>
                      </wps:spPr>
                      <wps:txbx>
                        <w:txbxContent>
                          <w:p w14:paraId="15721B5F" w14:textId="5674B64A" w:rsidR="00515CEF" w:rsidRPr="002450CE" w:rsidRDefault="00515CEF" w:rsidP="00AD0D74">
                            <w:pPr>
                              <w:rPr>
                                <w:rFonts w:ascii="Verdana" w:hAnsi="Verdana"/>
                                <w:sz w:val="24"/>
                                <w:szCs w:val="24"/>
                              </w:rPr>
                            </w:pPr>
                            <w:r>
                              <w:rPr>
                                <w:rFonts w:cs="Arial"/>
                                <w:lang w:val="en-AU"/>
                              </w:rPr>
                              <w:t xml:space="preserve">Sharon Grant, </w:t>
                            </w:r>
                            <w:r w:rsidRPr="009D0E70">
                              <w:rPr>
                                <w:rFonts w:cs="Arial"/>
                                <w:lang w:val="en-AU"/>
                              </w:rPr>
                              <w:t>Christie Gallen, Kristie Thompson, Chris Paxman, Jochen Muelle</w:t>
                            </w:r>
                            <w:r>
                              <w:rPr>
                                <w:rFonts w:cs="Arial"/>
                                <w:lang w:val="en-AU"/>
                              </w:rPr>
                              <w:t>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721A4B" id="_x0000_s1027" type="#_x0000_t202" style="position:absolute;left:0;text-align:left;margin-left:11.2pt;margin-top:795.75pt;width:561.25pt;height:21.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" filled="f" stroked="f">
                <v:textbox>
                  <w:txbxContent>
                    <w:p w14:paraId="15721B5F" w14:textId="5674B64A" w:rsidR="00515CEF" w:rsidRPr="002450CE" w:rsidRDefault="00515CEF" w:rsidP="00AD0D74">
                      <w:pPr>
                        <w:rPr>
                          <w:rFonts w:ascii="Verdana" w:hAnsi="Verdana"/>
                          <w:sz w:val="24"/>
                          <w:szCs w:val="24"/>
                        </w:rPr>
                      </w:pPr>
                      <w:r>
                        <w:rPr>
                          <w:rFonts w:cs="Arial"/>
                          <w:lang w:val="en-AU"/>
                        </w:rPr>
                        <w:t xml:space="preserve">Sharon Grant, </w:t>
                      </w:r>
                      <w:r w:rsidRPr="009D0E70">
                        <w:rPr>
                          <w:rFonts w:cs="Arial"/>
                          <w:lang w:val="en-AU"/>
                        </w:rPr>
                        <w:t>Christie Gallen, Kristie Thompson, Chris Paxman, Jochen Muelle</w:t>
                      </w:r>
                      <w:r>
                        <w:rPr>
                          <w:rFonts w:cs="Arial"/>
                          <w:lang w:val="en-AU"/>
                        </w:rPr>
                        <w:t>r</w:t>
                      </w:r>
                    </w:p>
                  </w:txbxContent>
                </v:textbox>
              </v:shape>
            </w:pict>
          </mc:Fallback>
        </mc:AlternateContent>
      </w:r>
      <w:r w:rsidR="00030BBA">
        <w:rPr>
          <w:rFonts w:ascii="Verdana" w:hAnsi="Verdana"/>
          <w:noProof/>
          <w:sz w:val="24"/>
          <w:szCs w:val="24"/>
          <w:lang w:val="en-AU" w:eastAsia="en-AU" w:bidi="ar-SA"/>
        </w:rPr>
        <w:drawing>
          <wp:inline distT="0" distB="0" distL="0" distR="0" wp14:anchorId="15721A47" wp14:editId="124C0C1E">
            <wp:extent cx="7559675" cy="10400665"/>
            <wp:effectExtent l="0" t="0" r="3175" b="635"/>
            <wp:docPr id="6" name="Picture 6" descr="Title page showing name of report &quot;Annual Report for inshore pesticide monitoring&quot;, GBRMPA and UQ logos, and a picture of a river system with a flood plume extending into the Reef lago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559675" cy="10400665"/>
                    </a:xfrm>
                    <a:prstGeom prst="rect">
                      <a:avLst/>
                    </a:prstGeom>
                    <a:noFill/>
                  </pic:spPr>
                </pic:pic>
              </a:graphicData>
            </a:graphic>
          </wp:inline>
        </w:drawing>
      </w:r>
      <w:bookmarkStart w:id="1" w:name="_Hlk480549329"/>
      <w:bookmarkEnd w:id="1"/>
      <w:r w:rsidR="00FB0B99">
        <w:rPr>
          <w:noProof/>
          <w:lang w:val="en-AU" w:eastAsia="en-AU" w:bidi="ar-SA"/>
        </w:rPr>
        <mc:AlternateContent>
          <mc:Choice Requires="wps">
            <w:drawing>
              <wp:anchor distT="4294967295" distB="4294967295" distL="114300" distR="114300" simplePos="0" relativeHeight="251645440" behindDoc="0" locked="0" layoutInCell="1" allowOverlap="1" wp14:anchorId="15721A4D" wp14:editId="15721A4E">
                <wp:simplePos x="0" y="0"/>
                <wp:positionH relativeFrom="column">
                  <wp:posOffset>4371975</wp:posOffset>
                </wp:positionH>
                <wp:positionV relativeFrom="paragraph">
                  <wp:posOffset>628649</wp:posOffset>
                </wp:positionV>
                <wp:extent cx="2895600" cy="0"/>
                <wp:effectExtent l="0" t="0" r="19050" b="19050"/>
                <wp:wrapNone/>
                <wp:docPr id="4" name="Straight Connector 4" descr="Green line design feature" title="Straight connecto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95600" cy="0"/>
                        </a:xfrm>
                        <a:prstGeom prst="line">
                          <a:avLst/>
                        </a:prstGeom>
                        <a:ln>
                          <a:solidFill>
                            <a:srgbClr val="00CC99"/>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E76330C" id="Straight Connector 4" o:spid="_x0000_s1026" alt="Title: Straight connector - Description: Green line design feature" style="position:absolute;z-index:2516454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44.25pt,49.5pt" to="572.25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" strokecolor="#0c9">
                <o:lock v:ext="edit" shapetype="f"/>
              </v:line>
            </w:pict>
          </mc:Fallback>
        </mc:AlternateContent>
      </w:r>
      <w:r w:rsidR="00FB0B99">
        <w:rPr>
          <w:noProof/>
          <w:lang w:val="en-AU" w:eastAsia="en-AU" w:bidi="ar-SA"/>
        </w:rPr>
        <mc:AlternateContent>
          <mc:Choice Requires="wps">
            <w:drawing>
              <wp:anchor distT="0" distB="0" distL="114300" distR="114300" simplePos="0" relativeHeight="251644416" behindDoc="0" locked="0" layoutInCell="1" allowOverlap="1" wp14:anchorId="15721A4F" wp14:editId="6387A59D">
                <wp:simplePos x="0" y="0"/>
                <wp:positionH relativeFrom="column">
                  <wp:posOffset>4432300</wp:posOffset>
                </wp:positionH>
                <wp:positionV relativeFrom="paragraph">
                  <wp:posOffset>3365500</wp:posOffset>
                </wp:positionV>
                <wp:extent cx="2895600" cy="444500"/>
                <wp:effectExtent l="0" t="0" r="19050" b="12700"/>
                <wp:wrapNone/>
                <wp:docPr id="1" name="Rectangle 1" descr="Green rectangle design feature" title="Green 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95600" cy="444500"/>
                        </a:xfrm>
                        <a:prstGeom prst="rect">
                          <a:avLst/>
                        </a:prstGeom>
                        <a:solidFill>
                          <a:srgbClr val="CCC1DA"/>
                        </a:solidFill>
                        <a:ln>
                          <a:solidFill>
                            <a:srgbClr val="CCC1D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721B60" w14:textId="77777777" w:rsidR="00515CEF" w:rsidRDefault="00515CEF" w:rsidP="005E54C8">
                            <w:pPr>
                              <w:shd w:val="clear" w:color="auto" w:fill="CCC1DA"/>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5721A4F" id="Rectangle 1" o:spid="_x0000_s1028" alt="Title: Green rectangle - Description: Green rectangle design feature" style="position:absolute;left:0;text-align:left;margin-left:349pt;margin-top:265pt;width:228pt;height:3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" fillcolor="#ccc1da" strokecolor="#ccc1da" strokeweight="2pt">
                <v:path arrowok="t"/>
                <v:textbox>
                  <w:txbxContent>
                    <w:p w14:paraId="15721B60" w14:textId="77777777" w:rsidR="00515CEF" w:rsidRDefault="00515CEF" w:rsidP="005E54C8">
                      <w:pPr>
                        <w:shd w:val="clear" w:color="auto" w:fill="CCC1DA"/>
                        <w:jc w:val="center"/>
                      </w:pPr>
                    </w:p>
                  </w:txbxContent>
                </v:textbox>
              </v:rect>
            </w:pict>
          </mc:Fallback>
        </mc:AlternateContent>
      </w:r>
    </w:p>
    <w:p w14:paraId="5B78EE90" w14:textId="065D5F33" w:rsidR="00250475" w:rsidRPr="002D3ACB" w:rsidRDefault="00250475" w:rsidP="00F039E6">
      <w:pPr>
        <w:spacing w:before="240" w:line="276" w:lineRule="auto"/>
        <w:ind w:left="284" w:hanging="284"/>
        <w:rPr>
          <w:rFonts w:cs="Arial"/>
          <w:sz w:val="18"/>
          <w:szCs w:val="18"/>
          <w:lang w:val="en-AU"/>
        </w:rPr>
      </w:pPr>
      <w:r w:rsidRPr="002D3ACB">
        <w:rPr>
          <w:rFonts w:cs="Arial"/>
          <w:sz w:val="18"/>
          <w:szCs w:val="18"/>
          <w:lang w:val="en-AU"/>
        </w:rPr>
        <w:lastRenderedPageBreak/>
        <w:t xml:space="preserve">© </w:t>
      </w:r>
      <w:r w:rsidR="00F039E6">
        <w:rPr>
          <w:rFonts w:cs="Arial"/>
          <w:sz w:val="18"/>
          <w:szCs w:val="18"/>
          <w:lang w:val="en-AU"/>
        </w:rPr>
        <w:t xml:space="preserve">The </w:t>
      </w:r>
      <w:r w:rsidRPr="002D3ACB">
        <w:rPr>
          <w:rFonts w:cs="Arial"/>
          <w:sz w:val="18"/>
          <w:szCs w:val="18"/>
          <w:lang w:val="en-AU"/>
        </w:rPr>
        <w:t>University of Queensland</w:t>
      </w:r>
      <w:r w:rsidR="00704844" w:rsidRPr="002D3ACB">
        <w:rPr>
          <w:rFonts w:cs="Arial"/>
          <w:sz w:val="18"/>
          <w:szCs w:val="18"/>
          <w:lang w:val="en-AU"/>
        </w:rPr>
        <w:t xml:space="preserve"> and James Cook University</w:t>
      </w:r>
      <w:r w:rsidR="00825F8D">
        <w:rPr>
          <w:rFonts w:cs="Arial"/>
          <w:sz w:val="18"/>
          <w:szCs w:val="18"/>
          <w:lang w:val="en-AU"/>
        </w:rPr>
        <w:t xml:space="preserve">, </w:t>
      </w:r>
      <w:r w:rsidRPr="002D3ACB">
        <w:rPr>
          <w:rFonts w:cs="Arial"/>
          <w:sz w:val="18"/>
          <w:szCs w:val="18"/>
          <w:lang w:val="en-AU"/>
        </w:rPr>
        <w:t>2017</w:t>
      </w:r>
    </w:p>
    <w:p w14:paraId="496502A6" w14:textId="77777777" w:rsidR="00250475" w:rsidRPr="002D3ACB" w:rsidRDefault="00250475" w:rsidP="00F039E6">
      <w:pPr>
        <w:spacing w:before="240" w:line="276" w:lineRule="auto"/>
        <w:ind w:left="284" w:hanging="284"/>
        <w:rPr>
          <w:rFonts w:cs="Arial"/>
          <w:sz w:val="18"/>
          <w:szCs w:val="18"/>
          <w:lang w:val="en-AU"/>
        </w:rPr>
      </w:pPr>
      <w:r w:rsidRPr="002D3ACB">
        <w:rPr>
          <w:rFonts w:cs="Arial"/>
          <w:sz w:val="18"/>
          <w:szCs w:val="18"/>
          <w:lang w:val="en-AU"/>
        </w:rPr>
        <w:t>Published by the Great Barrier Reef Marine Park Authority</w:t>
      </w:r>
    </w:p>
    <w:p w14:paraId="43236934" w14:textId="7FE1B596" w:rsidR="00250475" w:rsidRPr="002D3ACB" w:rsidRDefault="001A3AFC" w:rsidP="00F039E6">
      <w:pPr>
        <w:spacing w:before="240" w:line="276" w:lineRule="auto"/>
        <w:ind w:left="284" w:hanging="284"/>
        <w:rPr>
          <w:rFonts w:cs="Arial"/>
          <w:sz w:val="18"/>
          <w:szCs w:val="18"/>
          <w:lang w:val="en-AU"/>
        </w:rPr>
      </w:pPr>
      <w:r>
        <w:rPr>
          <w:rFonts w:cs="Arial"/>
          <w:sz w:val="18"/>
          <w:szCs w:val="18"/>
          <w:lang w:val="en-AU"/>
        </w:rPr>
        <w:t>ISS</w:t>
      </w:r>
      <w:r w:rsidR="00250475" w:rsidRPr="002D3ACB">
        <w:rPr>
          <w:rFonts w:cs="Arial"/>
          <w:sz w:val="18"/>
          <w:szCs w:val="18"/>
          <w:lang w:val="en-AU"/>
        </w:rPr>
        <w:t xml:space="preserve">N: </w:t>
      </w:r>
      <w:r>
        <w:rPr>
          <w:rFonts w:cs="Arial"/>
          <w:sz w:val="18"/>
          <w:szCs w:val="18"/>
          <w:lang w:val="en-AU"/>
        </w:rPr>
        <w:t>2208-4134</w:t>
      </w:r>
    </w:p>
    <w:p w14:paraId="4087D3FF" w14:textId="3745A2B5" w:rsidR="00250475" w:rsidRPr="002D3ACB" w:rsidRDefault="00250475" w:rsidP="00F039E6">
      <w:pPr>
        <w:spacing w:before="240" w:line="276" w:lineRule="auto"/>
        <w:rPr>
          <w:rFonts w:cs="Arial"/>
          <w:sz w:val="18"/>
          <w:szCs w:val="18"/>
        </w:rPr>
      </w:pPr>
      <w:r w:rsidRPr="002D3ACB">
        <w:rPr>
          <w:rFonts w:cs="Arial"/>
          <w:i/>
          <w:color w:val="000000"/>
          <w:sz w:val="18"/>
          <w:szCs w:val="18"/>
        </w:rPr>
        <w:t xml:space="preserve">Marine Monitoring Program: Annual report for inshore </w:t>
      </w:r>
      <w:r w:rsidR="00704844" w:rsidRPr="002D3ACB">
        <w:rPr>
          <w:rFonts w:cs="Arial"/>
          <w:i/>
          <w:color w:val="000000"/>
          <w:sz w:val="18"/>
          <w:szCs w:val="18"/>
        </w:rPr>
        <w:t>pesticide</w:t>
      </w:r>
      <w:r w:rsidRPr="002D3ACB">
        <w:rPr>
          <w:rFonts w:cs="Arial"/>
          <w:i/>
          <w:color w:val="000000"/>
          <w:sz w:val="18"/>
          <w:szCs w:val="18"/>
        </w:rPr>
        <w:t xml:space="preserve"> monitoring 2015-2016</w:t>
      </w:r>
      <w:r w:rsidRPr="002D3ACB">
        <w:rPr>
          <w:rFonts w:cs="Arial"/>
          <w:color w:val="000000"/>
          <w:sz w:val="18"/>
          <w:szCs w:val="18"/>
        </w:rPr>
        <w:t xml:space="preserve"> </w:t>
      </w:r>
      <w:r w:rsidRPr="002D3ACB">
        <w:rPr>
          <w:rFonts w:cs="Arial"/>
          <w:sz w:val="18"/>
          <w:szCs w:val="18"/>
        </w:rPr>
        <w:t xml:space="preserve">is licensed for use under a Creative Commons By Attribution 4.0 International licence with the exception of the Coat of Arms of the Commonwealth of Australia, the logos of the Great Barrier Reef Marine Park Authority, </w:t>
      </w:r>
      <w:r w:rsidR="00F039E6">
        <w:rPr>
          <w:rFonts w:cs="Arial"/>
          <w:sz w:val="18"/>
          <w:szCs w:val="18"/>
        </w:rPr>
        <w:t xml:space="preserve">The </w:t>
      </w:r>
      <w:r w:rsidR="00825F8D" w:rsidRPr="002D3ACB">
        <w:rPr>
          <w:rFonts w:cs="Arial"/>
          <w:sz w:val="18"/>
          <w:szCs w:val="18"/>
          <w:lang w:val="en-AU"/>
        </w:rPr>
        <w:t>University of Queensland and James Cook University</w:t>
      </w:r>
      <w:r w:rsidR="00825F8D">
        <w:rPr>
          <w:rFonts w:cs="Arial"/>
          <w:sz w:val="18"/>
          <w:szCs w:val="18"/>
        </w:rPr>
        <w:t>,</w:t>
      </w:r>
      <w:r w:rsidR="002D3ACB" w:rsidRPr="002D3ACB">
        <w:rPr>
          <w:rFonts w:cs="Arial"/>
          <w:sz w:val="18"/>
          <w:szCs w:val="18"/>
        </w:rPr>
        <w:t xml:space="preserve"> </w:t>
      </w:r>
      <w:r w:rsidRPr="002D3ACB">
        <w:rPr>
          <w:rFonts w:cs="Arial"/>
          <w:sz w:val="18"/>
          <w:szCs w:val="18"/>
        </w:rPr>
        <w:t xml:space="preserve">any other material protected by a trademark, content supplied by third parties and any photographs. For licence conditions see: </w:t>
      </w:r>
      <w:hyperlink r:id="rId13" w:history="1">
        <w:r w:rsidRPr="002D3ACB">
          <w:rPr>
            <w:rStyle w:val="Hyperlink"/>
            <w:rFonts w:cs="Arial"/>
            <w:sz w:val="18"/>
            <w:szCs w:val="18"/>
          </w:rPr>
          <w:t>http://creativecommons.org/licences/by/4.0</w:t>
        </w:r>
      </w:hyperlink>
      <w:r w:rsidRPr="002D3ACB">
        <w:rPr>
          <w:rFonts w:cs="Arial"/>
          <w:sz w:val="18"/>
          <w:szCs w:val="18"/>
        </w:rPr>
        <w:t xml:space="preserve"> </w:t>
      </w:r>
    </w:p>
    <w:p w14:paraId="35DCAAE4" w14:textId="77777777" w:rsidR="00250475" w:rsidRPr="002D3ACB" w:rsidRDefault="00250475" w:rsidP="00F039E6">
      <w:pPr>
        <w:spacing w:before="240" w:line="276" w:lineRule="auto"/>
        <w:ind w:left="284" w:hanging="284"/>
        <w:rPr>
          <w:rFonts w:cs="Arial"/>
          <w:sz w:val="18"/>
          <w:szCs w:val="18"/>
          <w:lang w:val="en-AU"/>
        </w:rPr>
      </w:pPr>
      <w:r w:rsidRPr="002D3ACB">
        <w:rPr>
          <w:rFonts w:cs="Arial"/>
          <w:noProof/>
          <w:sz w:val="18"/>
          <w:szCs w:val="18"/>
          <w:lang w:val="en-AU" w:eastAsia="en-AU" w:bidi="ar-SA"/>
        </w:rPr>
        <w:drawing>
          <wp:inline distT="0" distB="0" distL="0" distR="0" wp14:anchorId="53225EC1" wp14:editId="6899F4CB">
            <wp:extent cx="1228725" cy="428625"/>
            <wp:effectExtent l="0" t="0" r="0" b="9525"/>
            <wp:docPr id="35" name="Picture 3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6D94AAB7" w14:textId="77777777" w:rsidR="00250475" w:rsidRPr="002D3ACB" w:rsidRDefault="00250475" w:rsidP="00F039E6">
      <w:pPr>
        <w:pStyle w:val="Infopage"/>
        <w:spacing w:before="240" w:after="0"/>
        <w:rPr>
          <w:rFonts w:ascii="Arial" w:hAnsi="Arial" w:cs="Arial"/>
          <w:b/>
          <w:sz w:val="18"/>
          <w:szCs w:val="18"/>
          <w:lang w:val="en-AU"/>
        </w:rPr>
      </w:pPr>
      <w:r w:rsidRPr="002D3ACB">
        <w:rPr>
          <w:rFonts w:ascii="Arial" w:hAnsi="Arial" w:cs="Arial"/>
          <w:b/>
          <w:sz w:val="18"/>
          <w:szCs w:val="18"/>
          <w:lang w:val="en-AU"/>
        </w:rPr>
        <w:t xml:space="preserve">This publication should be cited as: </w:t>
      </w:r>
    </w:p>
    <w:p w14:paraId="7B663007" w14:textId="2F48A3FD" w:rsidR="00704844" w:rsidRDefault="00704844" w:rsidP="00F039E6">
      <w:pPr>
        <w:pStyle w:val="Infopage"/>
        <w:spacing w:after="0"/>
        <w:rPr>
          <w:rFonts w:ascii="Arial" w:hAnsi="Arial" w:cs="Arial"/>
          <w:sz w:val="18"/>
          <w:szCs w:val="18"/>
          <w:lang w:val="en-AU"/>
        </w:rPr>
      </w:pPr>
      <w:r w:rsidRPr="00F039E6">
        <w:rPr>
          <w:rFonts w:ascii="Arial" w:hAnsi="Arial" w:cs="Arial"/>
          <w:sz w:val="18"/>
          <w:szCs w:val="18"/>
          <w:lang w:val="en-AU"/>
        </w:rPr>
        <w:t>Grant, S., Gallen</w:t>
      </w:r>
      <w:r w:rsidR="00825F8D">
        <w:rPr>
          <w:rFonts w:ascii="Arial" w:hAnsi="Arial" w:cs="Arial"/>
          <w:sz w:val="18"/>
          <w:szCs w:val="18"/>
          <w:lang w:val="en-AU"/>
        </w:rPr>
        <w:t>,</w:t>
      </w:r>
      <w:r w:rsidRPr="00F039E6">
        <w:rPr>
          <w:rFonts w:ascii="Arial" w:hAnsi="Arial" w:cs="Arial"/>
          <w:sz w:val="18"/>
          <w:szCs w:val="18"/>
          <w:lang w:val="en-AU"/>
        </w:rPr>
        <w:t xml:space="preserve"> C., Thompson, K., Paxman, C., Tracey, D.</w:t>
      </w:r>
      <w:r w:rsidR="00AC7FDA">
        <w:rPr>
          <w:rFonts w:ascii="Arial" w:hAnsi="Arial" w:cs="Arial"/>
          <w:sz w:val="18"/>
          <w:szCs w:val="18"/>
          <w:lang w:val="en-AU"/>
        </w:rPr>
        <w:t xml:space="preserve"> and</w:t>
      </w:r>
      <w:r w:rsidRPr="00F039E6">
        <w:rPr>
          <w:rFonts w:ascii="Arial" w:hAnsi="Arial" w:cs="Arial"/>
          <w:sz w:val="18"/>
          <w:szCs w:val="18"/>
          <w:lang w:val="en-AU"/>
        </w:rPr>
        <w:t xml:space="preserve"> Mueller, J. 2017</w:t>
      </w:r>
      <w:r w:rsidR="00825F8D">
        <w:rPr>
          <w:rFonts w:ascii="Arial" w:hAnsi="Arial" w:cs="Arial"/>
          <w:sz w:val="18"/>
          <w:szCs w:val="18"/>
          <w:lang w:val="en-AU"/>
        </w:rPr>
        <w:t>,</w:t>
      </w:r>
      <w:r w:rsidRPr="00F039E6">
        <w:rPr>
          <w:rFonts w:ascii="Arial" w:hAnsi="Arial" w:cs="Arial"/>
          <w:sz w:val="18"/>
          <w:szCs w:val="18"/>
          <w:lang w:val="en-AU"/>
        </w:rPr>
        <w:t xml:space="preserve"> </w:t>
      </w:r>
      <w:r w:rsidR="00250475" w:rsidRPr="00F039E6">
        <w:rPr>
          <w:rFonts w:ascii="Arial" w:hAnsi="Arial" w:cs="Arial"/>
          <w:i/>
          <w:sz w:val="18"/>
          <w:szCs w:val="18"/>
        </w:rPr>
        <w:t>Marine Monitoring Program: Annual Report for i</w:t>
      </w:r>
      <w:r w:rsidR="00250475" w:rsidRPr="00F039E6">
        <w:rPr>
          <w:rFonts w:ascii="Arial" w:hAnsi="Arial" w:cs="Arial"/>
          <w:i/>
          <w:color w:val="000000"/>
          <w:sz w:val="18"/>
          <w:szCs w:val="18"/>
        </w:rPr>
        <w:t xml:space="preserve">nshore </w:t>
      </w:r>
      <w:r w:rsidRPr="00F039E6">
        <w:rPr>
          <w:rFonts w:ascii="Arial" w:hAnsi="Arial" w:cs="Arial"/>
          <w:i/>
          <w:color w:val="000000"/>
          <w:sz w:val="18"/>
          <w:szCs w:val="18"/>
        </w:rPr>
        <w:t>pesticide</w:t>
      </w:r>
      <w:r w:rsidR="00250475" w:rsidRPr="00F039E6">
        <w:rPr>
          <w:rFonts w:ascii="Arial" w:hAnsi="Arial" w:cs="Arial"/>
          <w:i/>
          <w:color w:val="000000"/>
          <w:sz w:val="18"/>
          <w:szCs w:val="18"/>
        </w:rPr>
        <w:t xml:space="preserve"> monitoring 2015-2016. Report </w:t>
      </w:r>
      <w:r w:rsidR="00250475" w:rsidRPr="00F039E6">
        <w:rPr>
          <w:rFonts w:ascii="Arial" w:hAnsi="Arial" w:cs="Arial"/>
          <w:i/>
          <w:sz w:val="18"/>
          <w:szCs w:val="18"/>
        </w:rPr>
        <w:t>for the Great Barrier Reef Marine Park Authority</w:t>
      </w:r>
      <w:r w:rsidR="00825F8D">
        <w:rPr>
          <w:rFonts w:ascii="Arial" w:hAnsi="Arial" w:cs="Arial"/>
          <w:i/>
          <w:sz w:val="18"/>
          <w:szCs w:val="18"/>
        </w:rPr>
        <w:t xml:space="preserve">, </w:t>
      </w:r>
      <w:r w:rsidR="00825F8D">
        <w:rPr>
          <w:rFonts w:ascii="Arial" w:hAnsi="Arial" w:cs="Arial"/>
          <w:sz w:val="18"/>
          <w:szCs w:val="18"/>
        </w:rPr>
        <w:t xml:space="preserve">Great Barrier Reef Marine Park Authority, Townsville, </w:t>
      </w:r>
      <w:r w:rsidRPr="00F039E6">
        <w:rPr>
          <w:rFonts w:ascii="Arial" w:hAnsi="Arial" w:cs="Arial"/>
          <w:sz w:val="18"/>
          <w:szCs w:val="18"/>
          <w:lang w:val="en-AU"/>
        </w:rPr>
        <w:t>128</w:t>
      </w:r>
      <w:r w:rsidR="00825F8D">
        <w:rPr>
          <w:rFonts w:ascii="Arial" w:hAnsi="Arial" w:cs="Arial"/>
          <w:sz w:val="18"/>
          <w:szCs w:val="18"/>
          <w:lang w:val="en-AU"/>
        </w:rPr>
        <w:t>pp.</w:t>
      </w:r>
    </w:p>
    <w:p w14:paraId="1A4D7EFF" w14:textId="77777777" w:rsidR="00853B17" w:rsidRPr="002D3ACB" w:rsidRDefault="00853B17" w:rsidP="00F039E6">
      <w:pPr>
        <w:pStyle w:val="Infopage"/>
        <w:spacing w:after="0"/>
        <w:rPr>
          <w:rFonts w:ascii="Arial" w:hAnsi="Arial" w:cs="Arial"/>
          <w:sz w:val="18"/>
          <w:szCs w:val="18"/>
          <w:lang w:val="en-AU"/>
        </w:rPr>
      </w:pPr>
    </w:p>
    <w:p w14:paraId="2A0DB941" w14:textId="77777777" w:rsidR="00250475" w:rsidRPr="00F039E6" w:rsidRDefault="00250475" w:rsidP="00F039E6">
      <w:pPr>
        <w:spacing w:before="240" w:line="276" w:lineRule="auto"/>
        <w:rPr>
          <w:rFonts w:cs="Arial"/>
          <w:b/>
          <w:sz w:val="18"/>
          <w:szCs w:val="18"/>
        </w:rPr>
      </w:pPr>
      <w:r w:rsidRPr="00F039E6">
        <w:rPr>
          <w:rFonts w:cs="Arial"/>
          <w:b/>
          <w:sz w:val="18"/>
          <w:szCs w:val="18"/>
        </w:rPr>
        <w:t>A catalogue record for this publication is available from the National Library of Australia</w:t>
      </w:r>
    </w:p>
    <w:p w14:paraId="6B88CA6D" w14:textId="77777777" w:rsidR="00853B17" w:rsidRDefault="00853B17" w:rsidP="00F039E6">
      <w:pPr>
        <w:spacing w:before="240" w:line="276" w:lineRule="auto"/>
        <w:rPr>
          <w:rFonts w:eastAsia="MS Mincho" w:cs="Arial"/>
          <w:sz w:val="18"/>
          <w:szCs w:val="18"/>
          <w:lang w:val="en-AU" w:eastAsia="ja-JP"/>
        </w:rPr>
      </w:pPr>
    </w:p>
    <w:p w14:paraId="79CAB34D" w14:textId="77777777" w:rsidR="00250475" w:rsidRPr="002D3ACB" w:rsidRDefault="00250475" w:rsidP="00F039E6">
      <w:pPr>
        <w:spacing w:before="240" w:line="276" w:lineRule="auto"/>
        <w:rPr>
          <w:rFonts w:eastAsia="MS Mincho" w:cs="Arial"/>
          <w:sz w:val="18"/>
          <w:szCs w:val="18"/>
          <w:lang w:val="en-AU" w:eastAsia="ja-JP"/>
        </w:rPr>
      </w:pPr>
      <w:r w:rsidRPr="002D3ACB">
        <w:rPr>
          <w:rFonts w:eastAsia="MS Mincho" w:cs="Arial"/>
          <w:sz w:val="18"/>
          <w:szCs w:val="18"/>
          <w:lang w:val="en-AU" w:eastAsia="ja-JP"/>
        </w:rPr>
        <w:t xml:space="preserve">Front cover image: </w:t>
      </w:r>
      <w:r w:rsidR="00704844" w:rsidRPr="00F039E6">
        <w:rPr>
          <w:rFonts w:cs="Arial"/>
          <w:sz w:val="18"/>
          <w:szCs w:val="18"/>
        </w:rPr>
        <w:t>View south towards the Russell River National Park and the junction of the Russell and Mulgrave Rivers over flooded sugar fields © Dieter Tracey, 2015.</w:t>
      </w:r>
    </w:p>
    <w:p w14:paraId="704D8CFA" w14:textId="77777777" w:rsidR="00250475" w:rsidRPr="002D3ACB" w:rsidRDefault="00250475" w:rsidP="00F039E6">
      <w:pPr>
        <w:spacing w:before="240" w:line="276" w:lineRule="auto"/>
        <w:rPr>
          <w:rFonts w:eastAsia="MS Mincho" w:cs="Arial"/>
          <w:b/>
          <w:sz w:val="18"/>
          <w:szCs w:val="18"/>
          <w:lang w:val="en-AU" w:eastAsia="ja-JP"/>
        </w:rPr>
      </w:pPr>
      <w:r w:rsidRPr="002D3ACB">
        <w:rPr>
          <w:rFonts w:eastAsia="MS Mincho" w:cs="Arial"/>
          <w:b/>
          <w:sz w:val="18"/>
          <w:szCs w:val="18"/>
          <w:lang w:val="en-AU" w:eastAsia="ja-JP"/>
        </w:rPr>
        <w:t>DISCLAIMER</w:t>
      </w:r>
    </w:p>
    <w:p w14:paraId="6A264456" w14:textId="77777777" w:rsidR="00250475" w:rsidRPr="002D3ACB" w:rsidRDefault="00250475" w:rsidP="00F039E6">
      <w:pPr>
        <w:spacing w:before="240" w:line="276" w:lineRule="auto"/>
        <w:rPr>
          <w:rFonts w:eastAsia="MS Mincho" w:cs="Arial"/>
          <w:sz w:val="18"/>
          <w:szCs w:val="18"/>
          <w:lang w:val="en-AU" w:eastAsia="ja-JP"/>
        </w:rPr>
      </w:pPr>
      <w:r w:rsidRPr="002D3ACB">
        <w:rPr>
          <w:rFonts w:eastAsia="MS Mincho" w:cs="Arial"/>
          <w:sz w:val="18"/>
          <w:szCs w:val="18"/>
          <w:lang w:val="en-AU" w:eastAsia="ja-JP"/>
        </w:rPr>
        <w:t xml:space="preserve">While reasonable efforts have been made to ensure that the contents of this document are factually correct, </w:t>
      </w:r>
      <w:r w:rsidR="00704844" w:rsidRPr="002D3ACB">
        <w:rPr>
          <w:rFonts w:eastAsia="MS Mincho" w:cs="Arial"/>
          <w:sz w:val="18"/>
          <w:szCs w:val="18"/>
          <w:lang w:val="en-AU" w:eastAsia="ja-JP"/>
        </w:rPr>
        <w:t>UQ</w:t>
      </w:r>
      <w:r w:rsidRPr="002D3ACB">
        <w:rPr>
          <w:rFonts w:eastAsia="MS Mincho" w:cs="Arial"/>
          <w:sz w:val="18"/>
          <w:szCs w:val="18"/>
          <w:lang w:val="en-AU" w:eastAsia="ja-JP"/>
        </w:rPr>
        <w:t xml:space="preserve"> </w:t>
      </w:r>
      <w:r w:rsidR="00704844" w:rsidRPr="002D3ACB">
        <w:rPr>
          <w:rFonts w:eastAsia="MS Mincho" w:cs="Arial"/>
          <w:sz w:val="18"/>
          <w:szCs w:val="18"/>
          <w:lang w:val="en-AU" w:eastAsia="ja-JP"/>
        </w:rPr>
        <w:t xml:space="preserve">and JCU </w:t>
      </w:r>
      <w:r w:rsidRPr="002D3ACB">
        <w:rPr>
          <w:rFonts w:eastAsia="MS Mincho" w:cs="Arial"/>
          <w:sz w:val="18"/>
          <w:szCs w:val="18"/>
          <w:lang w:val="en-AU" w:eastAsia="ja-JP"/>
        </w:rPr>
        <w:t xml:space="preserve">do not make any representation or give any warranty regarding the accuracy, completeness, currency or suitability for any particular purpose of the information or statements contained in this document. To the extent permitted by law </w:t>
      </w:r>
      <w:r w:rsidR="00704844" w:rsidRPr="002D3ACB">
        <w:rPr>
          <w:rFonts w:eastAsia="MS Mincho" w:cs="Arial"/>
          <w:sz w:val="18"/>
          <w:szCs w:val="18"/>
          <w:lang w:val="en-AU" w:eastAsia="ja-JP"/>
        </w:rPr>
        <w:t>UQ</w:t>
      </w:r>
      <w:r w:rsidRPr="002D3ACB">
        <w:rPr>
          <w:rFonts w:eastAsia="MS Mincho" w:cs="Arial"/>
          <w:sz w:val="18"/>
          <w:szCs w:val="18"/>
          <w:lang w:val="en-AU" w:eastAsia="ja-JP"/>
        </w:rPr>
        <w:t xml:space="preserve"> </w:t>
      </w:r>
      <w:r w:rsidR="00704844" w:rsidRPr="002D3ACB">
        <w:rPr>
          <w:rFonts w:eastAsia="MS Mincho" w:cs="Arial"/>
          <w:sz w:val="18"/>
          <w:szCs w:val="18"/>
          <w:lang w:val="en-AU" w:eastAsia="ja-JP"/>
        </w:rPr>
        <w:t xml:space="preserve">and JCU </w:t>
      </w:r>
      <w:r w:rsidRPr="002D3ACB">
        <w:rPr>
          <w:rFonts w:eastAsia="MS Mincho" w:cs="Arial"/>
          <w:sz w:val="18"/>
          <w:szCs w:val="18"/>
          <w:lang w:val="en-AU" w:eastAsia="ja-JP"/>
        </w:rPr>
        <w:t>shall not be liable for any loss, damage, cost or expense that may be occasioned directly or indirectly through the use of or reliance on the contents of this document.</w:t>
      </w:r>
    </w:p>
    <w:p w14:paraId="59187846" w14:textId="77777777" w:rsidR="00250475" w:rsidRPr="002D3ACB" w:rsidRDefault="00250475" w:rsidP="00F039E6">
      <w:pPr>
        <w:spacing w:before="240" w:line="276" w:lineRule="auto"/>
        <w:rPr>
          <w:rFonts w:cs="Arial"/>
          <w:sz w:val="18"/>
          <w:szCs w:val="18"/>
        </w:rPr>
      </w:pPr>
      <w:r w:rsidRPr="002D3ACB">
        <w:rPr>
          <w:rFonts w:cs="Arial"/>
          <w:sz w:val="18"/>
          <w:szCs w:val="18"/>
        </w:rPr>
        <w:t>Co</w:t>
      </w:r>
      <w:r w:rsidR="00704844" w:rsidRPr="002D3ACB">
        <w:rPr>
          <w:rFonts w:cs="Arial"/>
          <w:sz w:val="18"/>
          <w:szCs w:val="18"/>
        </w:rPr>
        <w:t>m</w:t>
      </w:r>
      <w:r w:rsidRPr="002D3ACB">
        <w:rPr>
          <w:rFonts w:cs="Arial"/>
          <w:sz w:val="18"/>
          <w:szCs w:val="18"/>
        </w:rPr>
        <w:t>ments and questions regarding this document are welcome and should be addressed to:</w:t>
      </w:r>
    </w:p>
    <w:p w14:paraId="1ACAF7E3" w14:textId="77777777" w:rsidR="00704844" w:rsidRPr="00F039E6" w:rsidRDefault="00704844" w:rsidP="00F039E6">
      <w:pPr>
        <w:spacing w:before="240" w:line="276" w:lineRule="auto"/>
        <w:rPr>
          <w:rFonts w:cs="Arial"/>
          <w:sz w:val="18"/>
          <w:szCs w:val="18"/>
          <w:lang w:val="en-AU"/>
        </w:rPr>
      </w:pPr>
      <w:r w:rsidRPr="00F039E6">
        <w:rPr>
          <w:rFonts w:cs="Arial"/>
          <w:sz w:val="18"/>
          <w:szCs w:val="18"/>
          <w:vertAlign w:val="superscript"/>
          <w:lang w:val="en-AU"/>
        </w:rPr>
        <w:t>1</w:t>
      </w:r>
      <w:r w:rsidRPr="00F039E6">
        <w:rPr>
          <w:rFonts w:cs="Arial"/>
          <w:sz w:val="18"/>
          <w:szCs w:val="18"/>
          <w:lang w:val="en-AU"/>
        </w:rPr>
        <w:t>Queensland Alliance for Environmental Health Sciences (QAEHS)</w:t>
      </w:r>
    </w:p>
    <w:p w14:paraId="77948CDD" w14:textId="77777777" w:rsidR="00704844" w:rsidRPr="00F039E6" w:rsidRDefault="00704844" w:rsidP="00704844">
      <w:pPr>
        <w:spacing w:line="276" w:lineRule="auto"/>
        <w:rPr>
          <w:rFonts w:cs="Arial"/>
          <w:sz w:val="18"/>
          <w:szCs w:val="18"/>
          <w:lang w:val="en-AU"/>
        </w:rPr>
      </w:pPr>
      <w:r w:rsidRPr="00F039E6">
        <w:rPr>
          <w:rFonts w:cs="Arial"/>
          <w:sz w:val="18"/>
          <w:szCs w:val="18"/>
          <w:lang w:val="en-AU"/>
        </w:rPr>
        <w:t>Incorporating the former National Research Centre for Environmental Toxicology (Entox)</w:t>
      </w:r>
    </w:p>
    <w:p w14:paraId="18ECEC7B" w14:textId="77777777" w:rsidR="00704844" w:rsidRPr="00F039E6" w:rsidRDefault="00704844" w:rsidP="00704844">
      <w:pPr>
        <w:pStyle w:val="BodyText3"/>
        <w:spacing w:after="0" w:line="276" w:lineRule="auto"/>
        <w:rPr>
          <w:rFonts w:cs="Arial"/>
          <w:sz w:val="18"/>
          <w:szCs w:val="18"/>
          <w:lang w:val="en-AU"/>
        </w:rPr>
      </w:pPr>
      <w:r w:rsidRPr="00F039E6">
        <w:rPr>
          <w:rFonts w:cs="Arial"/>
          <w:sz w:val="18"/>
          <w:szCs w:val="18"/>
          <w:lang w:val="en-AU"/>
        </w:rPr>
        <w:t>The University of Queensland</w:t>
      </w:r>
    </w:p>
    <w:p w14:paraId="5438D744" w14:textId="77777777" w:rsidR="00704844" w:rsidRPr="00F039E6" w:rsidRDefault="00704844" w:rsidP="00704844">
      <w:pPr>
        <w:pStyle w:val="BodyText3"/>
        <w:spacing w:after="0" w:line="276" w:lineRule="auto"/>
        <w:rPr>
          <w:rFonts w:cs="Arial"/>
          <w:sz w:val="18"/>
          <w:szCs w:val="18"/>
          <w:lang w:val="en-AU"/>
        </w:rPr>
      </w:pPr>
      <w:r w:rsidRPr="00F039E6">
        <w:rPr>
          <w:rFonts w:cs="Arial"/>
          <w:sz w:val="18"/>
          <w:szCs w:val="18"/>
          <w:lang w:val="en-AU"/>
        </w:rPr>
        <w:t>39 Kessels Rd</w:t>
      </w:r>
    </w:p>
    <w:p w14:paraId="23A72877" w14:textId="77777777" w:rsidR="00704844" w:rsidRPr="00F039E6" w:rsidRDefault="00704844" w:rsidP="00704844">
      <w:pPr>
        <w:pStyle w:val="BodyText3"/>
        <w:spacing w:after="0" w:line="276" w:lineRule="auto"/>
        <w:rPr>
          <w:rFonts w:cs="Arial"/>
          <w:sz w:val="18"/>
          <w:szCs w:val="18"/>
          <w:lang w:val="en-AU"/>
        </w:rPr>
      </w:pPr>
      <w:r w:rsidRPr="00F039E6">
        <w:rPr>
          <w:rFonts w:cs="Arial"/>
          <w:sz w:val="18"/>
          <w:szCs w:val="18"/>
          <w:lang w:val="en-AU"/>
        </w:rPr>
        <w:t>Coopers Plains Qld 4108</w:t>
      </w:r>
    </w:p>
    <w:p w14:paraId="5EC8321F" w14:textId="77777777" w:rsidR="00704844" w:rsidRPr="00F039E6" w:rsidRDefault="00704844" w:rsidP="00704844">
      <w:pPr>
        <w:spacing w:line="276" w:lineRule="auto"/>
        <w:rPr>
          <w:rFonts w:cs="Arial"/>
          <w:sz w:val="18"/>
          <w:szCs w:val="18"/>
          <w:lang w:val="en-AU"/>
        </w:rPr>
      </w:pPr>
    </w:p>
    <w:p w14:paraId="4137C7BF" w14:textId="77777777" w:rsidR="00704844" w:rsidRPr="00F039E6" w:rsidRDefault="00704844" w:rsidP="00704844">
      <w:pPr>
        <w:spacing w:line="276" w:lineRule="auto"/>
        <w:rPr>
          <w:rFonts w:cs="Arial"/>
          <w:sz w:val="18"/>
          <w:szCs w:val="18"/>
        </w:rPr>
      </w:pPr>
      <w:r w:rsidRPr="00F039E6">
        <w:rPr>
          <w:rFonts w:cs="Arial"/>
          <w:sz w:val="18"/>
          <w:szCs w:val="18"/>
          <w:vertAlign w:val="superscript"/>
          <w:lang w:val="en-AU"/>
        </w:rPr>
        <w:t>2</w:t>
      </w:r>
      <w:r w:rsidRPr="00F039E6">
        <w:rPr>
          <w:rFonts w:cs="Arial"/>
          <w:sz w:val="18"/>
          <w:szCs w:val="18"/>
        </w:rPr>
        <w:t xml:space="preserve"> The Centre for Tropical Water &amp; Aquatic Ecosystem Research</w:t>
      </w:r>
      <w:r w:rsidRPr="00F039E6" w:rsidDel="003A6B4D">
        <w:rPr>
          <w:rFonts w:cs="Arial"/>
          <w:sz w:val="18"/>
          <w:szCs w:val="18"/>
        </w:rPr>
        <w:t xml:space="preserve"> </w:t>
      </w:r>
      <w:r w:rsidRPr="00F039E6">
        <w:rPr>
          <w:rFonts w:cs="Arial"/>
          <w:sz w:val="18"/>
          <w:szCs w:val="18"/>
        </w:rPr>
        <w:t xml:space="preserve">(TropWATER), </w:t>
      </w:r>
    </w:p>
    <w:p w14:paraId="13F6C73A" w14:textId="77777777" w:rsidR="00704844" w:rsidRPr="00F039E6" w:rsidRDefault="00704844" w:rsidP="00704844">
      <w:pPr>
        <w:spacing w:line="276" w:lineRule="auto"/>
        <w:rPr>
          <w:rFonts w:cs="Arial"/>
          <w:sz w:val="18"/>
          <w:szCs w:val="18"/>
        </w:rPr>
      </w:pPr>
      <w:r w:rsidRPr="00F039E6">
        <w:rPr>
          <w:rFonts w:cs="Arial"/>
          <w:sz w:val="18"/>
          <w:szCs w:val="18"/>
        </w:rPr>
        <w:t xml:space="preserve">Catchment to Reef Processes Research Group, </w:t>
      </w:r>
    </w:p>
    <w:p w14:paraId="7D45B191" w14:textId="77777777" w:rsidR="00704844" w:rsidRPr="00F039E6" w:rsidRDefault="00704844" w:rsidP="00704844">
      <w:pPr>
        <w:spacing w:line="276" w:lineRule="auto"/>
        <w:rPr>
          <w:rFonts w:cs="Arial"/>
          <w:sz w:val="18"/>
          <w:szCs w:val="18"/>
          <w:lang w:val="en-AU"/>
        </w:rPr>
      </w:pPr>
      <w:r w:rsidRPr="00F039E6">
        <w:rPr>
          <w:rFonts w:cs="Arial"/>
          <w:sz w:val="18"/>
          <w:szCs w:val="18"/>
        </w:rPr>
        <w:t>James Cook University</w:t>
      </w:r>
    </w:p>
    <w:p w14:paraId="75B9FC09" w14:textId="77777777" w:rsidR="00704844" w:rsidRPr="00F039E6" w:rsidRDefault="00704844" w:rsidP="00704844">
      <w:pPr>
        <w:spacing w:line="276" w:lineRule="auto"/>
        <w:rPr>
          <w:rFonts w:cs="Arial"/>
          <w:color w:val="000000"/>
          <w:sz w:val="18"/>
          <w:szCs w:val="18"/>
          <w:lang w:val="en-AU" w:eastAsia="en-GB"/>
        </w:rPr>
      </w:pPr>
      <w:r w:rsidRPr="00F039E6">
        <w:rPr>
          <w:rFonts w:cs="Arial"/>
          <w:color w:val="000000"/>
          <w:sz w:val="18"/>
          <w:szCs w:val="18"/>
          <w:lang w:val="en-AU" w:eastAsia="en-GB"/>
        </w:rPr>
        <w:t>Townsville, Qld 4811</w:t>
      </w:r>
    </w:p>
    <w:p w14:paraId="7B06E8EA" w14:textId="77777777" w:rsidR="00250475" w:rsidRPr="002D3ACB" w:rsidRDefault="00250475" w:rsidP="00F039E6">
      <w:pPr>
        <w:spacing w:before="240" w:after="100" w:afterAutospacing="1" w:line="276" w:lineRule="auto"/>
        <w:rPr>
          <w:rFonts w:cs="Arial"/>
          <w:i/>
          <w:iCs/>
          <w:sz w:val="18"/>
          <w:szCs w:val="18"/>
        </w:rPr>
      </w:pPr>
      <w:r w:rsidRPr="002D3ACB">
        <w:rPr>
          <w:rFonts w:cs="Arial"/>
          <w:i/>
          <w:iCs/>
          <w:sz w:val="18"/>
          <w:szCs w:val="18"/>
        </w:rPr>
        <w:t xml:space="preserve">This project is supported by the Great Barrier Reef Marine Park Authority through funding from the Australian Government Reef Program, the Reef 2050 Integrated Monitoring, and Reporting Program, </w:t>
      </w:r>
      <w:r w:rsidR="00704844" w:rsidRPr="002D3ACB">
        <w:rPr>
          <w:rFonts w:cs="Arial"/>
          <w:i/>
          <w:iCs/>
          <w:sz w:val="18"/>
          <w:szCs w:val="18"/>
        </w:rPr>
        <w:t>UQ and JCU.</w:t>
      </w:r>
    </w:p>
    <w:p w14:paraId="450C33B3" w14:textId="77777777" w:rsidR="00465B04" w:rsidRDefault="00D40EBE" w:rsidP="00DF61BF">
      <w:pPr>
        <w:spacing w:before="120" w:line="276" w:lineRule="auto"/>
        <w:rPr>
          <w:rFonts w:ascii="Arial Narrow" w:eastAsia="Dotum" w:hAnsi="Arial Narrow" w:cs="Arial"/>
          <w:color w:val="262626" w:themeColor="text1" w:themeTint="D9"/>
          <w:vertAlign w:val="superscript"/>
          <w:lang w:val="en-AU"/>
        </w:rPr>
      </w:pPr>
      <w:r w:rsidRPr="00D40EBE">
        <w:rPr>
          <w:rFonts w:ascii="Arial Narrow" w:eastAsia="Dotum" w:hAnsi="Arial Narrow" w:cs="Arial"/>
          <w:lang w:val="en-AU"/>
        </w:rPr>
        <w:t>Project Team</w:t>
      </w:r>
      <w:r w:rsidRPr="00D40EBE">
        <w:rPr>
          <w:rFonts w:ascii="Arial Narrow" w:eastAsia="Dotum" w:hAnsi="Arial Narrow" w:cs="Arial"/>
          <w:color w:val="262626" w:themeColor="text1" w:themeTint="D9"/>
          <w:lang w:val="en-AU"/>
        </w:rPr>
        <w:t xml:space="preserve"> - </w:t>
      </w:r>
      <w:r w:rsidR="0059608E" w:rsidRPr="00D40EBE">
        <w:rPr>
          <w:rFonts w:ascii="Arial Narrow" w:eastAsia="Dotum" w:hAnsi="Arial Narrow" w:cs="Arial"/>
          <w:color w:val="262626" w:themeColor="text1" w:themeTint="D9"/>
          <w:lang w:val="en-AU"/>
        </w:rPr>
        <w:t>Inshore Marine Water Quality Monitoring</w:t>
      </w:r>
      <w:r w:rsidR="007A17C3" w:rsidRPr="00D40EBE">
        <w:rPr>
          <w:rFonts w:ascii="Arial Narrow" w:eastAsia="Dotum" w:hAnsi="Arial Narrow" w:cs="Arial"/>
          <w:color w:val="262626" w:themeColor="text1" w:themeTint="D9"/>
          <w:lang w:val="en-AU"/>
        </w:rPr>
        <w:t xml:space="preserve"> </w:t>
      </w:r>
      <w:r w:rsidR="00314346">
        <w:rPr>
          <w:rFonts w:ascii="Arial Narrow" w:eastAsia="Dotum" w:hAnsi="Arial Narrow" w:cs="Arial"/>
          <w:color w:val="262626" w:themeColor="text1" w:themeTint="D9"/>
          <w:lang w:val="en-AU"/>
        </w:rPr>
        <w:t>–</w:t>
      </w:r>
      <w:r w:rsidR="007A17C3" w:rsidRPr="00D40EBE">
        <w:rPr>
          <w:rFonts w:ascii="Arial Narrow" w:eastAsia="Dotum" w:hAnsi="Arial Narrow" w:cs="Arial"/>
          <w:color w:val="262626" w:themeColor="text1" w:themeTint="D9"/>
          <w:lang w:val="en-AU"/>
        </w:rPr>
        <w:t xml:space="preserve"> </w:t>
      </w:r>
      <w:r w:rsidR="00314346">
        <w:rPr>
          <w:rFonts w:ascii="Arial Narrow" w:eastAsia="Dotum" w:hAnsi="Arial Narrow" w:cs="Arial"/>
          <w:color w:val="262626" w:themeColor="text1" w:themeTint="D9"/>
          <w:lang w:val="en-AU"/>
        </w:rPr>
        <w:t>Sharon Grant</w:t>
      </w:r>
      <w:r w:rsidR="00314346" w:rsidRPr="00314346">
        <w:rPr>
          <w:rFonts w:ascii="Arial Narrow" w:eastAsia="Dotum" w:hAnsi="Arial Narrow" w:cs="Arial"/>
          <w:color w:val="262626" w:themeColor="text1" w:themeTint="D9"/>
          <w:vertAlign w:val="superscript"/>
          <w:lang w:val="en-AU"/>
        </w:rPr>
        <w:t>1</w:t>
      </w:r>
      <w:r w:rsidR="00314346">
        <w:rPr>
          <w:rFonts w:ascii="Arial Narrow" w:eastAsia="Dotum" w:hAnsi="Arial Narrow" w:cs="Arial"/>
          <w:color w:val="262626" w:themeColor="text1" w:themeTint="D9"/>
          <w:lang w:val="en-AU"/>
        </w:rPr>
        <w:t xml:space="preserve">, </w:t>
      </w:r>
      <w:r w:rsidR="0059608E" w:rsidRPr="00D40EBE">
        <w:rPr>
          <w:rFonts w:ascii="Arial Narrow" w:eastAsia="Dotum" w:hAnsi="Arial Narrow" w:cs="Arial"/>
          <w:color w:val="262626" w:themeColor="text1" w:themeTint="D9"/>
          <w:lang w:val="en-AU"/>
        </w:rPr>
        <w:t>Christie Gallen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Chris Paxman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Kristie Thompson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xml:space="preserve">, </w:t>
      </w:r>
      <w:r w:rsidR="00314346">
        <w:rPr>
          <w:rFonts w:ascii="Arial Narrow" w:eastAsia="Dotum" w:hAnsi="Arial Narrow" w:cs="Arial"/>
          <w:color w:val="262626" w:themeColor="text1" w:themeTint="D9"/>
          <w:lang w:val="en-AU"/>
        </w:rPr>
        <w:t>Rachel Mackie</w:t>
      </w:r>
      <w:r w:rsidR="00314346" w:rsidRPr="00314346">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Jochen Mueller</w:t>
      </w:r>
      <w:r w:rsidR="0059608E" w:rsidRPr="00D40EBE">
        <w:rPr>
          <w:rFonts w:ascii="Arial Narrow" w:eastAsia="Dotum" w:hAnsi="Arial Narrow" w:cs="Arial"/>
          <w:color w:val="262626" w:themeColor="text1" w:themeTint="D9"/>
          <w:vertAlign w:val="superscript"/>
          <w:lang w:val="en-AU"/>
        </w:rPr>
        <w:t>1</w:t>
      </w:r>
      <w:r w:rsidR="00465B04">
        <w:rPr>
          <w:rFonts w:ascii="Arial Narrow" w:eastAsia="Dotum" w:hAnsi="Arial Narrow" w:cs="Arial"/>
          <w:color w:val="262626" w:themeColor="text1" w:themeTint="D9"/>
          <w:vertAlign w:val="superscript"/>
          <w:lang w:val="en-AU"/>
        </w:rPr>
        <w:t xml:space="preserve"> </w:t>
      </w:r>
    </w:p>
    <w:p w14:paraId="15720B87" w14:textId="175C2536" w:rsidR="0059608E" w:rsidRPr="00D40EBE" w:rsidRDefault="00D40EBE" w:rsidP="00DF61BF">
      <w:pPr>
        <w:spacing w:before="120" w:line="276" w:lineRule="auto"/>
        <w:rPr>
          <w:rFonts w:ascii="Arial Narrow" w:eastAsia="Dotum" w:hAnsi="Arial Narrow" w:cs="Arial"/>
          <w:color w:val="262626" w:themeColor="text1" w:themeTint="D9"/>
          <w:lang w:val="en-AU"/>
        </w:rPr>
      </w:pPr>
      <w:r w:rsidRPr="00D40EBE">
        <w:rPr>
          <w:rFonts w:ascii="Arial Narrow" w:eastAsia="Dotum" w:hAnsi="Arial Narrow" w:cs="Arial"/>
          <w:lang w:val="en-AU"/>
        </w:rPr>
        <w:t>Project Team</w:t>
      </w:r>
      <w:r w:rsidRPr="00D40EBE">
        <w:rPr>
          <w:rFonts w:ascii="Arial Narrow" w:eastAsia="Dotum" w:hAnsi="Arial Narrow" w:cs="Arial"/>
          <w:color w:val="262626" w:themeColor="text1" w:themeTint="D9"/>
          <w:lang w:val="en-AU"/>
        </w:rPr>
        <w:t xml:space="preserve"> - </w:t>
      </w:r>
      <w:r w:rsidR="0059608E" w:rsidRPr="00D40EBE">
        <w:rPr>
          <w:rFonts w:ascii="Arial Narrow" w:eastAsia="Dotum" w:hAnsi="Arial Narrow" w:cs="Arial"/>
          <w:color w:val="262626" w:themeColor="text1" w:themeTint="D9"/>
          <w:lang w:val="en-AU"/>
        </w:rPr>
        <w:t>Assessment of Terrestrial Run-off Entering the Reef</w:t>
      </w:r>
      <w:r w:rsidR="007A17C3" w:rsidRPr="00D40EBE">
        <w:rPr>
          <w:rFonts w:ascii="Arial Narrow" w:eastAsia="Dotum" w:hAnsi="Arial Narrow" w:cs="Arial"/>
          <w:color w:val="262626" w:themeColor="text1" w:themeTint="D9"/>
          <w:lang w:val="en-AU"/>
        </w:rPr>
        <w:t xml:space="preserve">: </w:t>
      </w:r>
      <w:r w:rsidR="00314346">
        <w:rPr>
          <w:rFonts w:ascii="Arial Narrow" w:eastAsia="Dotum" w:hAnsi="Arial Narrow" w:cs="Arial"/>
          <w:color w:val="262626" w:themeColor="text1" w:themeTint="D9"/>
          <w:lang w:val="en-AU"/>
        </w:rPr>
        <w:t>Sharon Grant</w:t>
      </w:r>
      <w:r w:rsidR="00314346" w:rsidRPr="00314346">
        <w:rPr>
          <w:rFonts w:ascii="Arial Narrow" w:eastAsia="Dotum" w:hAnsi="Arial Narrow" w:cs="Arial"/>
          <w:color w:val="262626" w:themeColor="text1" w:themeTint="D9"/>
          <w:vertAlign w:val="superscript"/>
          <w:lang w:val="en-AU"/>
        </w:rPr>
        <w:t>1</w:t>
      </w:r>
      <w:r w:rsidR="00314346">
        <w:rPr>
          <w:rFonts w:ascii="Arial Narrow" w:eastAsia="Dotum" w:hAnsi="Arial Narrow" w:cs="Arial"/>
          <w:color w:val="262626" w:themeColor="text1" w:themeTint="D9"/>
          <w:lang w:val="en-AU"/>
        </w:rPr>
        <w:t xml:space="preserve">, </w:t>
      </w:r>
      <w:r w:rsidR="0059608E" w:rsidRPr="00D40EBE">
        <w:rPr>
          <w:rFonts w:ascii="Arial Narrow" w:eastAsia="Dotum" w:hAnsi="Arial Narrow" w:cs="Arial"/>
          <w:color w:val="262626" w:themeColor="text1" w:themeTint="D9"/>
          <w:lang w:val="en-AU"/>
        </w:rPr>
        <w:t>Christie Gallen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Kristie Thompson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Chris Paxman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Joche</w:t>
      </w:r>
      <w:r w:rsidR="0059608E" w:rsidRPr="00030BBA">
        <w:rPr>
          <w:rFonts w:ascii="Arial Narrow" w:eastAsia="Dotum" w:hAnsi="Arial Narrow" w:cs="Arial"/>
          <w:color w:val="262626" w:themeColor="text1" w:themeTint="D9"/>
          <w:lang w:val="en-AU"/>
        </w:rPr>
        <w:t>n Mueller</w:t>
      </w:r>
      <w:r w:rsidR="0059608E" w:rsidRPr="00030BBA">
        <w:rPr>
          <w:rFonts w:ascii="Arial Narrow" w:eastAsia="Dotum" w:hAnsi="Arial Narrow" w:cs="Arial"/>
          <w:color w:val="262626" w:themeColor="text1" w:themeTint="D9"/>
          <w:vertAlign w:val="superscript"/>
          <w:lang w:val="en-AU"/>
        </w:rPr>
        <w:t>1</w:t>
      </w:r>
      <w:r w:rsidR="0059608E" w:rsidRPr="00030BBA">
        <w:rPr>
          <w:rFonts w:ascii="Arial Narrow" w:eastAsia="Dotum" w:hAnsi="Arial Narrow" w:cs="Arial"/>
          <w:color w:val="262626" w:themeColor="text1" w:themeTint="D9"/>
          <w:lang w:val="en-AU"/>
        </w:rPr>
        <w:t xml:space="preserve">, Eduardo </w:t>
      </w:r>
      <w:r w:rsidR="0059608E" w:rsidRPr="00030BBA">
        <w:rPr>
          <w:rFonts w:ascii="Arial Narrow" w:hAnsi="Arial Narrow"/>
          <w:color w:val="262626"/>
        </w:rPr>
        <w:t>Da Silva</w:t>
      </w:r>
      <w:r w:rsidR="0059608E" w:rsidRPr="00030BBA">
        <w:rPr>
          <w:rFonts w:ascii="Arial Narrow" w:hAnsi="Arial Narrow"/>
          <w:color w:val="262626"/>
          <w:vertAlign w:val="superscript"/>
        </w:rPr>
        <w:t>2</w:t>
      </w:r>
      <w:r w:rsidR="00314346" w:rsidRPr="00030BBA">
        <w:rPr>
          <w:rFonts w:ascii="Arial Narrow" w:eastAsia="Dotum" w:hAnsi="Arial Narrow" w:cs="Arial"/>
          <w:color w:val="262626" w:themeColor="text1" w:themeTint="D9"/>
          <w:lang w:val="en-AU"/>
        </w:rPr>
        <w:t>, Jane Waterhouse</w:t>
      </w:r>
      <w:r w:rsidR="00314346" w:rsidRPr="00030BBA">
        <w:rPr>
          <w:rFonts w:ascii="Arial Narrow" w:eastAsia="Dotum" w:hAnsi="Arial Narrow" w:cs="Arial"/>
          <w:color w:val="262626" w:themeColor="text1" w:themeTint="D9"/>
          <w:vertAlign w:val="superscript"/>
          <w:lang w:val="en-AU"/>
        </w:rPr>
        <w:t>2</w:t>
      </w:r>
      <w:r w:rsidR="0059608E" w:rsidRPr="00030BBA">
        <w:rPr>
          <w:rFonts w:ascii="Arial Narrow" w:hAnsi="Arial Narrow"/>
          <w:color w:val="262626"/>
        </w:rPr>
        <w:t xml:space="preserve">, </w:t>
      </w:r>
      <w:r w:rsidR="00314346" w:rsidRPr="00030BBA">
        <w:rPr>
          <w:rFonts w:ascii="Arial Narrow" w:hAnsi="Arial Narrow"/>
          <w:color w:val="262626"/>
        </w:rPr>
        <w:t>Stephen Lewis</w:t>
      </w:r>
      <w:r w:rsidR="00314346" w:rsidRPr="00030BBA">
        <w:rPr>
          <w:rFonts w:ascii="Arial Narrow" w:hAnsi="Arial Narrow"/>
          <w:color w:val="262626"/>
          <w:vertAlign w:val="superscript"/>
        </w:rPr>
        <w:t>2</w:t>
      </w:r>
      <w:r w:rsidR="00314346" w:rsidRPr="00030BBA">
        <w:rPr>
          <w:rFonts w:ascii="Arial Narrow" w:hAnsi="Arial Narrow"/>
          <w:color w:val="262626"/>
        </w:rPr>
        <w:t xml:space="preserve">, </w:t>
      </w:r>
      <w:r w:rsidR="00030BBA" w:rsidRPr="00030BBA">
        <w:rPr>
          <w:rFonts w:ascii="Arial Narrow" w:hAnsi="Arial Narrow"/>
          <w:color w:val="262626"/>
        </w:rPr>
        <w:t>Dieter Tracey</w:t>
      </w:r>
      <w:r w:rsidR="00030BBA" w:rsidRPr="00030BBA">
        <w:rPr>
          <w:rFonts w:ascii="Arial Narrow" w:hAnsi="Arial Narrow"/>
          <w:color w:val="262626"/>
          <w:vertAlign w:val="superscript"/>
        </w:rPr>
        <w:t>2</w:t>
      </w:r>
      <w:r w:rsidR="00030BBA" w:rsidRPr="00030BBA">
        <w:rPr>
          <w:rFonts w:ascii="Arial Narrow" w:eastAsia="Dotum" w:hAnsi="Arial Narrow" w:cs="Arial"/>
          <w:color w:val="262626" w:themeColor="text1" w:themeTint="D9"/>
          <w:lang w:val="en-AU"/>
        </w:rPr>
        <w:t xml:space="preserve">, </w:t>
      </w:r>
      <w:r w:rsidR="0059608E" w:rsidRPr="00030BBA">
        <w:rPr>
          <w:rFonts w:ascii="Arial Narrow" w:hAnsi="Arial Narrow"/>
          <w:color w:val="262626"/>
        </w:rPr>
        <w:t>Dominique O’Brien</w:t>
      </w:r>
      <w:r w:rsidR="0059608E" w:rsidRPr="00030BBA">
        <w:rPr>
          <w:rFonts w:ascii="Arial Narrow" w:hAnsi="Arial Narrow"/>
          <w:color w:val="262626"/>
          <w:vertAlign w:val="superscript"/>
        </w:rPr>
        <w:t>2</w:t>
      </w:r>
      <w:r w:rsidR="0059608E" w:rsidRPr="00030BBA">
        <w:rPr>
          <w:rFonts w:ascii="Arial Narrow" w:hAnsi="Arial Narrow"/>
          <w:color w:val="262626"/>
        </w:rPr>
        <w:t xml:space="preserve">, </w:t>
      </w:r>
      <w:r w:rsidR="0059608E" w:rsidRPr="00030BBA">
        <w:rPr>
          <w:rFonts w:ascii="Arial Narrow" w:eastAsia="Dotum" w:hAnsi="Arial Narrow" w:cs="Arial"/>
          <w:color w:val="262626" w:themeColor="text1" w:themeTint="D9"/>
          <w:lang w:val="en-AU"/>
        </w:rPr>
        <w:t>Caroline Petus</w:t>
      </w:r>
      <w:r w:rsidR="0059608E" w:rsidRPr="00030BBA">
        <w:rPr>
          <w:rFonts w:ascii="Arial Narrow" w:eastAsia="Dotum" w:hAnsi="Arial Narrow" w:cs="Arial"/>
          <w:color w:val="262626" w:themeColor="text1" w:themeTint="D9"/>
          <w:vertAlign w:val="superscript"/>
          <w:lang w:val="en-AU"/>
        </w:rPr>
        <w:t>2</w:t>
      </w:r>
    </w:p>
    <w:p w14:paraId="15720B88" w14:textId="77777777" w:rsidR="0059608E" w:rsidRPr="007A17C3" w:rsidRDefault="0059608E" w:rsidP="00DF61BF">
      <w:pPr>
        <w:spacing w:line="276" w:lineRule="auto"/>
        <w:rPr>
          <w:rFonts w:ascii="Arial Narrow" w:eastAsia="Dotum" w:hAnsi="Arial Narrow" w:cs="Arial"/>
          <w:lang w:val="en-AU"/>
        </w:rPr>
      </w:pPr>
    </w:p>
    <w:sdt>
      <w:sdtPr>
        <w:rPr>
          <w:rFonts w:eastAsiaTheme="minorEastAsia" w:cstheme="minorBidi"/>
          <w:b w:val="0"/>
          <w:bCs/>
          <w:caps/>
          <w:color w:val="auto"/>
          <w:sz w:val="22"/>
          <w:szCs w:val="22"/>
          <w:u w:val="single"/>
          <w:lang w:val="en-US" w:bidi="en-US"/>
        </w:rPr>
        <w:id w:val="-2104402256"/>
        <w:docPartObj>
          <w:docPartGallery w:val="Table of Contents"/>
          <w:docPartUnique/>
        </w:docPartObj>
      </w:sdtPr>
      <w:sdtEndPr>
        <w:rPr>
          <w:rFonts w:cs="Arial"/>
          <w:bCs w:val="0"/>
          <w:caps w:val="0"/>
          <w:noProof/>
        </w:rPr>
      </w:sdtEndPr>
      <w:sdtContent>
        <w:p w14:paraId="15720BA9" w14:textId="77777777" w:rsidR="00C34E72" w:rsidRDefault="00C34E72" w:rsidP="00DF61BF">
          <w:pPr>
            <w:pStyle w:val="Headers"/>
          </w:pPr>
          <w:r>
            <w:t>Contents</w:t>
          </w:r>
        </w:p>
        <w:p w14:paraId="0F8F9523" w14:textId="69D30D8F" w:rsidR="00305667" w:rsidRPr="00305667" w:rsidRDefault="00C91BF5">
          <w:pPr>
            <w:pStyle w:val="TOC1"/>
            <w:tabs>
              <w:tab w:val="right" w:leader="dot" w:pos="10456"/>
            </w:tabs>
            <w:rPr>
              <w:rFonts w:ascii="Arial" w:hAnsi="Arial" w:cs="Arial"/>
              <w:b w:val="0"/>
              <w:bCs w:val="0"/>
              <w:noProof/>
              <w:sz w:val="22"/>
              <w:szCs w:val="22"/>
              <w:lang w:val="en-AU" w:eastAsia="en-AU" w:bidi="ar-SA"/>
            </w:rPr>
          </w:pPr>
          <w:r w:rsidRPr="00305667">
            <w:rPr>
              <w:rFonts w:ascii="Arial" w:hAnsi="Arial" w:cs="Arial"/>
              <w:bCs w:val="0"/>
              <w:sz w:val="22"/>
              <w:szCs w:val="22"/>
            </w:rPr>
            <w:fldChar w:fldCharType="begin"/>
          </w:r>
          <w:r w:rsidR="002B1A9C" w:rsidRPr="00305667">
            <w:rPr>
              <w:rFonts w:ascii="Arial" w:hAnsi="Arial" w:cs="Arial"/>
              <w:bCs w:val="0"/>
              <w:sz w:val="22"/>
              <w:szCs w:val="22"/>
            </w:rPr>
            <w:instrText xml:space="preserve"> TOC \o "1-3" \h \z \u \t "Heading 7,1" </w:instrText>
          </w:r>
          <w:r w:rsidRPr="00305667">
            <w:rPr>
              <w:rFonts w:ascii="Arial" w:hAnsi="Arial" w:cs="Arial"/>
              <w:bCs w:val="0"/>
              <w:sz w:val="22"/>
              <w:szCs w:val="22"/>
            </w:rPr>
            <w:fldChar w:fldCharType="separate"/>
          </w:r>
          <w:hyperlink w:anchor="_Toc502499982" w:history="1">
            <w:r w:rsidR="00305667" w:rsidRPr="00305667">
              <w:rPr>
                <w:rStyle w:val="Hyperlink"/>
                <w:rFonts w:ascii="Arial" w:eastAsia="SimSun" w:hAnsi="Arial" w:cs="Arial"/>
                <w:noProof/>
                <w:kern w:val="28"/>
                <w:sz w:val="22"/>
                <w:szCs w:val="22"/>
                <w:lang w:val="en-GB"/>
              </w:rPr>
              <w:t>Acknowledgements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_Toc502499982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ix</w:t>
            </w:r>
            <w:r w:rsidR="00305667" w:rsidRPr="00305667">
              <w:rPr>
                <w:rFonts w:ascii="Arial" w:hAnsi="Arial" w:cs="Arial"/>
                <w:noProof/>
                <w:webHidden/>
                <w:sz w:val="22"/>
                <w:szCs w:val="22"/>
              </w:rPr>
              <w:fldChar w:fldCharType="end"/>
            </w:r>
          </w:hyperlink>
        </w:p>
        <w:p w14:paraId="12592759" w14:textId="2072ED15" w:rsidR="00305667" w:rsidRPr="00305667" w:rsidRDefault="008A61E1">
          <w:pPr>
            <w:pStyle w:val="TOC1"/>
            <w:tabs>
              <w:tab w:val="left" w:pos="440"/>
              <w:tab w:val="right" w:leader="dot" w:pos="10456"/>
            </w:tabs>
            <w:rPr>
              <w:rFonts w:ascii="Arial" w:hAnsi="Arial" w:cs="Arial"/>
              <w:b w:val="0"/>
              <w:bCs w:val="0"/>
              <w:noProof/>
              <w:sz w:val="22"/>
              <w:szCs w:val="22"/>
              <w:lang w:val="en-AU" w:eastAsia="en-AU" w:bidi="ar-SA"/>
            </w:rPr>
          </w:pPr>
          <w:hyperlink w:anchor="_Toc502499983" w:history="1">
            <w:r w:rsidR="00305667" w:rsidRPr="00305667">
              <w:rPr>
                <w:rStyle w:val="Hyperlink"/>
                <w:rFonts w:ascii="Arial" w:eastAsia="Times New Roman" w:hAnsi="Arial" w:cs="Arial"/>
                <w:noProof/>
                <w:kern w:val="28"/>
                <w:sz w:val="22"/>
                <w:szCs w:val="22"/>
              </w:rPr>
              <w:t>1.</w:t>
            </w:r>
            <w:r w:rsidR="00305667" w:rsidRPr="00305667">
              <w:rPr>
                <w:rFonts w:ascii="Arial" w:hAnsi="Arial" w:cs="Arial"/>
                <w:b w:val="0"/>
                <w:bCs w:val="0"/>
                <w:noProof/>
                <w:sz w:val="22"/>
                <w:szCs w:val="22"/>
                <w:lang w:val="en-AU" w:eastAsia="en-AU" w:bidi="ar-SA"/>
              </w:rPr>
              <w:tab/>
            </w:r>
            <w:r w:rsidR="00305667" w:rsidRPr="00305667">
              <w:rPr>
                <w:rStyle w:val="Hyperlink"/>
                <w:rFonts w:ascii="Arial" w:eastAsia="Times New Roman" w:hAnsi="Arial" w:cs="Arial"/>
                <w:noProof/>
                <w:kern w:val="28"/>
                <w:sz w:val="22"/>
                <w:szCs w:val="22"/>
              </w:rPr>
              <w:t>Executive Summary</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_Toc502499983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10</w:t>
            </w:r>
            <w:r w:rsidR="00305667" w:rsidRPr="00305667">
              <w:rPr>
                <w:rFonts w:ascii="Arial" w:hAnsi="Arial" w:cs="Arial"/>
                <w:noProof/>
                <w:webHidden/>
                <w:sz w:val="22"/>
                <w:szCs w:val="22"/>
              </w:rPr>
              <w:fldChar w:fldCharType="end"/>
            </w:r>
          </w:hyperlink>
        </w:p>
        <w:p w14:paraId="01474DB0" w14:textId="1F6E941A" w:rsidR="00305667" w:rsidRPr="00305667" w:rsidRDefault="008A61E1">
          <w:pPr>
            <w:pStyle w:val="TOC1"/>
            <w:tabs>
              <w:tab w:val="left" w:pos="440"/>
              <w:tab w:val="right" w:leader="dot" w:pos="10456"/>
            </w:tabs>
            <w:rPr>
              <w:rFonts w:ascii="Arial" w:hAnsi="Arial" w:cs="Arial"/>
              <w:b w:val="0"/>
              <w:bCs w:val="0"/>
              <w:noProof/>
              <w:sz w:val="22"/>
              <w:szCs w:val="22"/>
              <w:lang w:val="en-AU" w:eastAsia="en-AU" w:bidi="ar-SA"/>
            </w:rPr>
          </w:pPr>
          <w:hyperlink w:anchor="_Toc502499984" w:history="1">
            <w:r w:rsidR="00305667" w:rsidRPr="00305667">
              <w:rPr>
                <w:rStyle w:val="Hyperlink"/>
                <w:rFonts w:ascii="Arial" w:eastAsia="Times New Roman" w:hAnsi="Arial" w:cs="Arial"/>
                <w:noProof/>
                <w:kern w:val="28"/>
                <w:sz w:val="22"/>
                <w:szCs w:val="22"/>
              </w:rPr>
              <w:t>2.</w:t>
            </w:r>
            <w:r w:rsidR="00305667" w:rsidRPr="00305667">
              <w:rPr>
                <w:rFonts w:ascii="Arial" w:hAnsi="Arial" w:cs="Arial"/>
                <w:b w:val="0"/>
                <w:bCs w:val="0"/>
                <w:noProof/>
                <w:sz w:val="22"/>
                <w:szCs w:val="22"/>
                <w:lang w:val="en-AU" w:eastAsia="en-AU" w:bidi="ar-SA"/>
              </w:rPr>
              <w:tab/>
            </w:r>
            <w:r w:rsidR="00305667" w:rsidRPr="00305667">
              <w:rPr>
                <w:rStyle w:val="Hyperlink"/>
                <w:rFonts w:ascii="Arial" w:eastAsia="Times New Roman" w:hAnsi="Arial" w:cs="Arial"/>
                <w:noProof/>
                <w:kern w:val="28"/>
                <w:sz w:val="22"/>
                <w:szCs w:val="22"/>
              </w:rPr>
              <w:t>Introduction</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_Toc502499984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14</w:t>
            </w:r>
            <w:r w:rsidR="00305667" w:rsidRPr="00305667">
              <w:rPr>
                <w:rFonts w:ascii="Arial" w:hAnsi="Arial" w:cs="Arial"/>
                <w:noProof/>
                <w:webHidden/>
                <w:sz w:val="22"/>
                <w:szCs w:val="22"/>
              </w:rPr>
              <w:fldChar w:fldCharType="end"/>
            </w:r>
          </w:hyperlink>
        </w:p>
        <w:p w14:paraId="277C0FF0" w14:textId="089AB4E8" w:rsidR="00305667" w:rsidRPr="00305667" w:rsidRDefault="008A61E1">
          <w:pPr>
            <w:pStyle w:val="TOC1"/>
            <w:tabs>
              <w:tab w:val="left" w:pos="440"/>
              <w:tab w:val="right" w:leader="dot" w:pos="10456"/>
            </w:tabs>
            <w:rPr>
              <w:rFonts w:ascii="Arial" w:hAnsi="Arial" w:cs="Arial"/>
              <w:b w:val="0"/>
              <w:bCs w:val="0"/>
              <w:noProof/>
              <w:sz w:val="22"/>
              <w:szCs w:val="22"/>
              <w:lang w:val="en-AU" w:eastAsia="en-AU" w:bidi="ar-SA"/>
            </w:rPr>
          </w:pPr>
          <w:hyperlink w:anchor="_Toc502499985" w:history="1">
            <w:r w:rsidR="00305667" w:rsidRPr="00305667">
              <w:rPr>
                <w:rStyle w:val="Hyperlink"/>
                <w:rFonts w:ascii="Arial" w:eastAsia="Times New Roman" w:hAnsi="Arial" w:cs="Arial"/>
                <w:noProof/>
                <w:kern w:val="28"/>
                <w:sz w:val="22"/>
                <w:szCs w:val="22"/>
              </w:rPr>
              <w:t>3.</w:t>
            </w:r>
            <w:r w:rsidR="00305667" w:rsidRPr="00305667">
              <w:rPr>
                <w:rFonts w:ascii="Arial" w:hAnsi="Arial" w:cs="Arial"/>
                <w:b w:val="0"/>
                <w:bCs w:val="0"/>
                <w:noProof/>
                <w:sz w:val="22"/>
                <w:szCs w:val="22"/>
                <w:lang w:val="en-AU" w:eastAsia="en-AU" w:bidi="ar-SA"/>
              </w:rPr>
              <w:tab/>
            </w:r>
            <w:r w:rsidR="00305667" w:rsidRPr="00305667">
              <w:rPr>
                <w:rStyle w:val="Hyperlink"/>
                <w:rFonts w:ascii="Arial" w:eastAsia="Times New Roman" w:hAnsi="Arial" w:cs="Arial"/>
                <w:noProof/>
                <w:kern w:val="28"/>
                <w:sz w:val="22"/>
                <w:szCs w:val="22"/>
              </w:rPr>
              <w:t>Methodology</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_Toc502499985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16</w:t>
            </w:r>
            <w:r w:rsidR="00305667" w:rsidRPr="00305667">
              <w:rPr>
                <w:rFonts w:ascii="Arial" w:hAnsi="Arial" w:cs="Arial"/>
                <w:noProof/>
                <w:webHidden/>
                <w:sz w:val="22"/>
                <w:szCs w:val="22"/>
              </w:rPr>
              <w:fldChar w:fldCharType="end"/>
            </w:r>
          </w:hyperlink>
        </w:p>
        <w:p w14:paraId="5D7C2A1A" w14:textId="2608615E" w:rsidR="00305667" w:rsidRPr="00305667" w:rsidRDefault="008A61E1">
          <w:pPr>
            <w:pStyle w:val="TOC2"/>
            <w:tabs>
              <w:tab w:val="left" w:pos="880"/>
              <w:tab w:val="right" w:leader="dot" w:pos="10456"/>
            </w:tabs>
            <w:rPr>
              <w:rFonts w:ascii="Arial" w:hAnsi="Arial" w:cs="Arial"/>
              <w:i w:val="0"/>
              <w:iCs w:val="0"/>
              <w:noProof/>
              <w:sz w:val="22"/>
              <w:szCs w:val="22"/>
              <w:lang w:val="en-AU" w:eastAsia="en-AU" w:bidi="ar-SA"/>
            </w:rPr>
          </w:pPr>
          <w:hyperlink w:anchor="_Toc502499986" w:history="1">
            <w:r w:rsidR="00305667" w:rsidRPr="00305667">
              <w:rPr>
                <w:rStyle w:val="Hyperlink"/>
                <w:rFonts w:ascii="Arial" w:hAnsi="Arial" w:cs="Arial"/>
                <w:bCs/>
                <w:noProof/>
                <w:sz w:val="22"/>
                <w:szCs w:val="22"/>
                <w:lang w:val="en-AU"/>
              </w:rPr>
              <w:t>3.1</w:t>
            </w:r>
            <w:r w:rsidR="00305667" w:rsidRPr="00305667">
              <w:rPr>
                <w:rFonts w:ascii="Arial" w:hAnsi="Arial" w:cs="Arial"/>
                <w:i w:val="0"/>
                <w:iCs w:val="0"/>
                <w:noProof/>
                <w:sz w:val="22"/>
                <w:szCs w:val="22"/>
                <w:lang w:val="en-AU" w:eastAsia="en-AU" w:bidi="ar-SA"/>
              </w:rPr>
              <w:tab/>
            </w:r>
            <w:r w:rsidR="00305667" w:rsidRPr="00305667">
              <w:rPr>
                <w:rStyle w:val="Hyperlink"/>
                <w:rFonts w:ascii="Arial" w:hAnsi="Arial" w:cs="Arial"/>
                <w:bCs/>
                <w:noProof/>
                <w:sz w:val="22"/>
                <w:szCs w:val="22"/>
                <w:lang w:val="en-AU"/>
              </w:rPr>
              <w:t>Overview</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_Toc502499986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16</w:t>
            </w:r>
            <w:r w:rsidR="00305667" w:rsidRPr="00305667">
              <w:rPr>
                <w:rFonts w:ascii="Arial" w:hAnsi="Arial" w:cs="Arial"/>
                <w:noProof/>
                <w:webHidden/>
                <w:sz w:val="22"/>
                <w:szCs w:val="22"/>
              </w:rPr>
              <w:fldChar w:fldCharType="end"/>
            </w:r>
          </w:hyperlink>
        </w:p>
        <w:p w14:paraId="7F680A76" w14:textId="4903F06B" w:rsidR="00305667" w:rsidRPr="00305667" w:rsidRDefault="008A61E1">
          <w:pPr>
            <w:pStyle w:val="TOC2"/>
            <w:tabs>
              <w:tab w:val="left" w:pos="880"/>
              <w:tab w:val="right" w:leader="dot" w:pos="10456"/>
            </w:tabs>
            <w:rPr>
              <w:rFonts w:ascii="Arial" w:hAnsi="Arial" w:cs="Arial"/>
              <w:i w:val="0"/>
              <w:iCs w:val="0"/>
              <w:noProof/>
              <w:sz w:val="22"/>
              <w:szCs w:val="22"/>
              <w:lang w:val="en-AU" w:eastAsia="en-AU" w:bidi="ar-SA"/>
            </w:rPr>
          </w:pPr>
          <w:hyperlink w:anchor="_Toc502499987" w:history="1">
            <w:r w:rsidR="00305667" w:rsidRPr="00305667">
              <w:rPr>
                <w:rStyle w:val="Hyperlink"/>
                <w:rFonts w:ascii="Arial" w:hAnsi="Arial" w:cs="Arial"/>
                <w:bCs/>
                <w:noProof/>
                <w:sz w:val="22"/>
                <w:szCs w:val="22"/>
                <w:lang w:val="en-AU"/>
              </w:rPr>
              <w:t>3.2</w:t>
            </w:r>
            <w:r w:rsidR="00305667" w:rsidRPr="00305667">
              <w:rPr>
                <w:rFonts w:ascii="Arial" w:hAnsi="Arial" w:cs="Arial"/>
                <w:i w:val="0"/>
                <w:iCs w:val="0"/>
                <w:noProof/>
                <w:sz w:val="22"/>
                <w:szCs w:val="22"/>
                <w:lang w:val="en-AU" w:eastAsia="en-AU" w:bidi="ar-SA"/>
              </w:rPr>
              <w:tab/>
            </w:r>
            <w:r w:rsidR="00305667" w:rsidRPr="00305667">
              <w:rPr>
                <w:rStyle w:val="Hyperlink"/>
                <w:rFonts w:ascii="Arial" w:hAnsi="Arial" w:cs="Arial"/>
                <w:bCs/>
                <w:noProof/>
                <w:sz w:val="22"/>
                <w:szCs w:val="22"/>
                <w:lang w:val="en-AU"/>
              </w:rPr>
              <w:t>Study area and sampling sites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_Toc502499987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16</w:t>
            </w:r>
            <w:r w:rsidR="00305667" w:rsidRPr="00305667">
              <w:rPr>
                <w:rFonts w:ascii="Arial" w:hAnsi="Arial" w:cs="Arial"/>
                <w:noProof/>
                <w:webHidden/>
                <w:sz w:val="22"/>
                <w:szCs w:val="22"/>
              </w:rPr>
              <w:fldChar w:fldCharType="end"/>
            </w:r>
          </w:hyperlink>
        </w:p>
        <w:p w14:paraId="55663F4F" w14:textId="62CB9AEE"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499988" w:history="1">
            <w:r w:rsidR="00305667" w:rsidRPr="00305667">
              <w:rPr>
                <w:rStyle w:val="Hyperlink"/>
                <w:rFonts w:ascii="Arial" w:hAnsi="Arial" w:cs="Arial"/>
                <w:noProof/>
                <w:sz w:val="22"/>
                <w:szCs w:val="22"/>
              </w:rPr>
              <w:t>3.2.1</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Fixed monitoring sites (passive samplers)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_Toc502499988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16</w:t>
            </w:r>
            <w:r w:rsidR="00305667" w:rsidRPr="00305667">
              <w:rPr>
                <w:rFonts w:ascii="Arial" w:hAnsi="Arial" w:cs="Arial"/>
                <w:noProof/>
                <w:webHidden/>
                <w:sz w:val="22"/>
                <w:szCs w:val="22"/>
              </w:rPr>
              <w:fldChar w:fldCharType="end"/>
            </w:r>
          </w:hyperlink>
        </w:p>
        <w:p w14:paraId="4E97B003" w14:textId="007B0CF1"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499989" w:history="1">
            <w:r w:rsidR="00305667" w:rsidRPr="00305667">
              <w:rPr>
                <w:rStyle w:val="Hyperlink"/>
                <w:rFonts w:ascii="Arial" w:hAnsi="Arial" w:cs="Arial"/>
                <w:noProof/>
                <w:sz w:val="22"/>
                <w:szCs w:val="22"/>
              </w:rPr>
              <w:t>3.2.2</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Flood plume monitoring (grab sampling)</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_Toc502499989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19</w:t>
            </w:r>
            <w:r w:rsidR="00305667" w:rsidRPr="00305667">
              <w:rPr>
                <w:rFonts w:ascii="Arial" w:hAnsi="Arial" w:cs="Arial"/>
                <w:noProof/>
                <w:webHidden/>
                <w:sz w:val="22"/>
                <w:szCs w:val="22"/>
              </w:rPr>
              <w:fldChar w:fldCharType="end"/>
            </w:r>
          </w:hyperlink>
        </w:p>
        <w:p w14:paraId="2C4835AA" w14:textId="2577AC6B" w:rsidR="00305667" w:rsidRPr="00305667" w:rsidRDefault="008A61E1">
          <w:pPr>
            <w:pStyle w:val="TOC2"/>
            <w:tabs>
              <w:tab w:val="left" w:pos="880"/>
              <w:tab w:val="right" w:leader="dot" w:pos="10456"/>
            </w:tabs>
            <w:rPr>
              <w:rFonts w:ascii="Arial" w:hAnsi="Arial" w:cs="Arial"/>
              <w:i w:val="0"/>
              <w:iCs w:val="0"/>
              <w:noProof/>
              <w:sz w:val="22"/>
              <w:szCs w:val="22"/>
              <w:lang w:val="en-AU" w:eastAsia="en-AU" w:bidi="ar-SA"/>
            </w:rPr>
          </w:pPr>
          <w:hyperlink w:anchor="_Toc502499990" w:history="1">
            <w:r w:rsidR="00305667" w:rsidRPr="00305667">
              <w:rPr>
                <w:rStyle w:val="Hyperlink"/>
                <w:rFonts w:ascii="Arial" w:hAnsi="Arial" w:cs="Arial"/>
                <w:bCs/>
                <w:noProof/>
                <w:sz w:val="22"/>
                <w:szCs w:val="22"/>
                <w:lang w:val="en-AU"/>
              </w:rPr>
              <w:t>3.3</w:t>
            </w:r>
            <w:r w:rsidR="00305667" w:rsidRPr="00305667">
              <w:rPr>
                <w:rFonts w:ascii="Arial" w:hAnsi="Arial" w:cs="Arial"/>
                <w:i w:val="0"/>
                <w:iCs w:val="0"/>
                <w:noProof/>
                <w:sz w:val="22"/>
                <w:szCs w:val="22"/>
                <w:lang w:val="en-AU" w:eastAsia="en-AU" w:bidi="ar-SA"/>
              </w:rPr>
              <w:tab/>
            </w:r>
            <w:r w:rsidR="00305667" w:rsidRPr="00305667">
              <w:rPr>
                <w:rStyle w:val="Hyperlink"/>
                <w:rFonts w:ascii="Arial" w:hAnsi="Arial" w:cs="Arial"/>
                <w:bCs/>
                <w:noProof/>
                <w:sz w:val="22"/>
                <w:szCs w:val="22"/>
                <w:lang w:val="en-AU"/>
              </w:rPr>
              <w:t>Sampling approaches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_Toc502499990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21</w:t>
            </w:r>
            <w:r w:rsidR="00305667" w:rsidRPr="00305667">
              <w:rPr>
                <w:rFonts w:ascii="Arial" w:hAnsi="Arial" w:cs="Arial"/>
                <w:noProof/>
                <w:webHidden/>
                <w:sz w:val="22"/>
                <w:szCs w:val="22"/>
              </w:rPr>
              <w:fldChar w:fldCharType="end"/>
            </w:r>
          </w:hyperlink>
        </w:p>
        <w:p w14:paraId="693F74AD" w14:textId="6DEAB61A"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499991" w:history="1">
            <w:r w:rsidR="00305667" w:rsidRPr="00305667">
              <w:rPr>
                <w:rStyle w:val="Hyperlink"/>
                <w:rFonts w:ascii="Arial" w:hAnsi="Arial" w:cs="Arial"/>
                <w:noProof/>
                <w:sz w:val="22"/>
                <w:szCs w:val="22"/>
              </w:rPr>
              <w:t>3.3.1</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Passive sampling (fixed monitoring sites) to establish long-term trends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_Toc502499991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21</w:t>
            </w:r>
            <w:r w:rsidR="00305667" w:rsidRPr="00305667">
              <w:rPr>
                <w:rFonts w:ascii="Arial" w:hAnsi="Arial" w:cs="Arial"/>
                <w:noProof/>
                <w:webHidden/>
                <w:sz w:val="22"/>
                <w:szCs w:val="22"/>
              </w:rPr>
              <w:fldChar w:fldCharType="end"/>
            </w:r>
          </w:hyperlink>
        </w:p>
        <w:p w14:paraId="426BFA59" w14:textId="60D89DC8"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499992" w:history="1">
            <w:r w:rsidR="00305667" w:rsidRPr="00305667">
              <w:rPr>
                <w:rStyle w:val="Hyperlink"/>
                <w:rFonts w:ascii="Arial" w:hAnsi="Arial" w:cs="Arial"/>
                <w:noProof/>
                <w:sz w:val="22"/>
                <w:szCs w:val="22"/>
              </w:rPr>
              <w:t>3.3.2</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Grab sampling to assess flood plume profiles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_Toc502499992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22</w:t>
            </w:r>
            <w:r w:rsidR="00305667" w:rsidRPr="00305667">
              <w:rPr>
                <w:rFonts w:ascii="Arial" w:hAnsi="Arial" w:cs="Arial"/>
                <w:noProof/>
                <w:webHidden/>
                <w:sz w:val="22"/>
                <w:szCs w:val="22"/>
              </w:rPr>
              <w:fldChar w:fldCharType="end"/>
            </w:r>
          </w:hyperlink>
        </w:p>
        <w:p w14:paraId="436FF895" w14:textId="0BA1568E"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499993" w:history="1">
            <w:r w:rsidR="00305667" w:rsidRPr="00305667">
              <w:rPr>
                <w:rStyle w:val="Hyperlink"/>
                <w:rFonts w:ascii="Arial" w:hAnsi="Arial" w:cs="Arial"/>
                <w:noProof/>
                <w:sz w:val="22"/>
                <w:szCs w:val="22"/>
              </w:rPr>
              <w:t>3.3.3</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Sampler deployment and approaches for missing data</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_Toc502499993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22</w:t>
            </w:r>
            <w:r w:rsidR="00305667" w:rsidRPr="00305667">
              <w:rPr>
                <w:rFonts w:ascii="Arial" w:hAnsi="Arial" w:cs="Arial"/>
                <w:noProof/>
                <w:webHidden/>
                <w:sz w:val="22"/>
                <w:szCs w:val="22"/>
              </w:rPr>
              <w:fldChar w:fldCharType="end"/>
            </w:r>
          </w:hyperlink>
        </w:p>
        <w:p w14:paraId="39A03436" w14:textId="71F6EF4E" w:rsidR="00305667" w:rsidRPr="00305667" w:rsidRDefault="008A61E1">
          <w:pPr>
            <w:pStyle w:val="TOC2"/>
            <w:tabs>
              <w:tab w:val="left" w:pos="880"/>
              <w:tab w:val="right" w:leader="dot" w:pos="10456"/>
            </w:tabs>
            <w:rPr>
              <w:rFonts w:ascii="Arial" w:hAnsi="Arial" w:cs="Arial"/>
              <w:i w:val="0"/>
              <w:iCs w:val="0"/>
              <w:noProof/>
              <w:sz w:val="22"/>
              <w:szCs w:val="22"/>
              <w:lang w:val="en-AU" w:eastAsia="en-AU" w:bidi="ar-SA"/>
            </w:rPr>
          </w:pPr>
          <w:hyperlink w:anchor="_Toc502499994" w:history="1">
            <w:r w:rsidR="00305667" w:rsidRPr="00305667">
              <w:rPr>
                <w:rStyle w:val="Hyperlink"/>
                <w:rFonts w:ascii="Arial" w:hAnsi="Arial" w:cs="Arial"/>
                <w:bCs/>
                <w:noProof/>
                <w:sz w:val="22"/>
                <w:szCs w:val="22"/>
                <w:lang w:val="en-AU"/>
              </w:rPr>
              <w:t>3.4</w:t>
            </w:r>
            <w:r w:rsidR="00305667" w:rsidRPr="00305667">
              <w:rPr>
                <w:rFonts w:ascii="Arial" w:hAnsi="Arial" w:cs="Arial"/>
                <w:i w:val="0"/>
                <w:iCs w:val="0"/>
                <w:noProof/>
                <w:sz w:val="22"/>
                <w:szCs w:val="22"/>
                <w:lang w:val="en-AU" w:eastAsia="en-AU" w:bidi="ar-SA"/>
              </w:rPr>
              <w:tab/>
            </w:r>
            <w:r w:rsidR="00305667" w:rsidRPr="00305667">
              <w:rPr>
                <w:rStyle w:val="Hyperlink"/>
                <w:rFonts w:ascii="Arial" w:hAnsi="Arial" w:cs="Arial"/>
                <w:bCs/>
                <w:noProof/>
                <w:sz w:val="22"/>
                <w:szCs w:val="22"/>
                <w:lang w:val="en-AU"/>
              </w:rPr>
              <w:t>Pesticide analyses and reporting QA/QC (GC-MS and LC-MS/MS)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_Toc502499994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23</w:t>
            </w:r>
            <w:r w:rsidR="00305667" w:rsidRPr="00305667">
              <w:rPr>
                <w:rFonts w:ascii="Arial" w:hAnsi="Arial" w:cs="Arial"/>
                <w:noProof/>
                <w:webHidden/>
                <w:sz w:val="22"/>
                <w:szCs w:val="22"/>
              </w:rPr>
              <w:fldChar w:fldCharType="end"/>
            </w:r>
          </w:hyperlink>
        </w:p>
        <w:p w14:paraId="51FFCB6A" w14:textId="7D76D9B9"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499995" w:history="1">
            <w:r w:rsidR="00305667" w:rsidRPr="00305667">
              <w:rPr>
                <w:rStyle w:val="Hyperlink"/>
                <w:rFonts w:ascii="Arial" w:hAnsi="Arial" w:cs="Arial"/>
                <w:noProof/>
                <w:sz w:val="22"/>
                <w:szCs w:val="22"/>
              </w:rPr>
              <w:t>3.4.1</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Target pesticides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_Toc502499995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23</w:t>
            </w:r>
            <w:r w:rsidR="00305667" w:rsidRPr="00305667">
              <w:rPr>
                <w:rFonts w:ascii="Arial" w:hAnsi="Arial" w:cs="Arial"/>
                <w:noProof/>
                <w:webHidden/>
                <w:sz w:val="22"/>
                <w:szCs w:val="22"/>
              </w:rPr>
              <w:fldChar w:fldCharType="end"/>
            </w:r>
          </w:hyperlink>
        </w:p>
        <w:p w14:paraId="5D2B8C81" w14:textId="6E13F64E"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499996" w:history="1">
            <w:r w:rsidR="00305667" w:rsidRPr="00305667">
              <w:rPr>
                <w:rStyle w:val="Hyperlink"/>
                <w:rFonts w:ascii="Arial" w:hAnsi="Arial" w:cs="Arial"/>
                <w:noProof/>
                <w:sz w:val="22"/>
                <w:szCs w:val="22"/>
              </w:rPr>
              <w:t>3.4.2</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Instrument analyses and analytical quality assurance quality control (QA/QC)</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_Toc502499996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23</w:t>
            </w:r>
            <w:r w:rsidR="00305667" w:rsidRPr="00305667">
              <w:rPr>
                <w:rFonts w:ascii="Arial" w:hAnsi="Arial" w:cs="Arial"/>
                <w:noProof/>
                <w:webHidden/>
                <w:sz w:val="22"/>
                <w:szCs w:val="22"/>
              </w:rPr>
              <w:fldChar w:fldCharType="end"/>
            </w:r>
          </w:hyperlink>
        </w:p>
        <w:p w14:paraId="6ABA1963" w14:textId="7FEC38A7" w:rsidR="00305667" w:rsidRPr="00305667" w:rsidRDefault="008A61E1">
          <w:pPr>
            <w:pStyle w:val="TOC2"/>
            <w:tabs>
              <w:tab w:val="left" w:pos="880"/>
              <w:tab w:val="right" w:leader="dot" w:pos="10456"/>
            </w:tabs>
            <w:rPr>
              <w:rFonts w:ascii="Arial" w:hAnsi="Arial" w:cs="Arial"/>
              <w:i w:val="0"/>
              <w:iCs w:val="0"/>
              <w:noProof/>
              <w:sz w:val="22"/>
              <w:szCs w:val="22"/>
              <w:lang w:val="en-AU" w:eastAsia="en-AU" w:bidi="ar-SA"/>
            </w:rPr>
          </w:pPr>
          <w:hyperlink w:anchor="_Toc502499997" w:history="1">
            <w:r w:rsidR="00305667" w:rsidRPr="00305667">
              <w:rPr>
                <w:rStyle w:val="Hyperlink"/>
                <w:rFonts w:ascii="Arial" w:hAnsi="Arial" w:cs="Arial"/>
                <w:bCs/>
                <w:noProof/>
                <w:sz w:val="22"/>
                <w:szCs w:val="22"/>
                <w:lang w:val="en-AU"/>
              </w:rPr>
              <w:t>3.5</w:t>
            </w:r>
            <w:r w:rsidR="00305667" w:rsidRPr="00305667">
              <w:rPr>
                <w:rFonts w:ascii="Arial" w:hAnsi="Arial" w:cs="Arial"/>
                <w:i w:val="0"/>
                <w:iCs w:val="0"/>
                <w:noProof/>
                <w:sz w:val="22"/>
                <w:szCs w:val="22"/>
                <w:lang w:val="en-AU" w:eastAsia="en-AU" w:bidi="ar-SA"/>
              </w:rPr>
              <w:tab/>
            </w:r>
            <w:r w:rsidR="00305667" w:rsidRPr="00305667">
              <w:rPr>
                <w:rStyle w:val="Hyperlink"/>
                <w:rFonts w:ascii="Arial" w:hAnsi="Arial" w:cs="Arial"/>
                <w:bCs/>
                <w:noProof/>
                <w:sz w:val="22"/>
                <w:szCs w:val="22"/>
                <w:lang w:val="en-AU"/>
              </w:rPr>
              <w:t>Data analyses and reporting metrics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_Toc502499997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24</w:t>
            </w:r>
            <w:r w:rsidR="00305667" w:rsidRPr="00305667">
              <w:rPr>
                <w:rFonts w:ascii="Arial" w:hAnsi="Arial" w:cs="Arial"/>
                <w:noProof/>
                <w:webHidden/>
                <w:sz w:val="22"/>
                <w:szCs w:val="22"/>
              </w:rPr>
              <w:fldChar w:fldCharType="end"/>
            </w:r>
          </w:hyperlink>
        </w:p>
        <w:p w14:paraId="006CD3B8" w14:textId="1429E464"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499998" w:history="1">
            <w:r w:rsidR="00305667" w:rsidRPr="00305667">
              <w:rPr>
                <w:rStyle w:val="Hyperlink"/>
                <w:rFonts w:ascii="Arial" w:hAnsi="Arial" w:cs="Arial"/>
                <w:noProof/>
                <w:sz w:val="22"/>
                <w:szCs w:val="22"/>
              </w:rPr>
              <w:t>3.5.1</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Water quality guideline values (GVs)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_Toc502499998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24</w:t>
            </w:r>
            <w:r w:rsidR="00305667" w:rsidRPr="00305667">
              <w:rPr>
                <w:rFonts w:ascii="Arial" w:hAnsi="Arial" w:cs="Arial"/>
                <w:noProof/>
                <w:webHidden/>
                <w:sz w:val="22"/>
                <w:szCs w:val="22"/>
              </w:rPr>
              <w:fldChar w:fldCharType="end"/>
            </w:r>
          </w:hyperlink>
        </w:p>
        <w:p w14:paraId="6A02EAC5" w14:textId="55516AEF"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499999" w:history="1">
            <w:r w:rsidR="00305667" w:rsidRPr="00305667">
              <w:rPr>
                <w:rStyle w:val="Hyperlink"/>
                <w:rFonts w:ascii="Arial" w:hAnsi="Arial" w:cs="Arial"/>
                <w:noProof/>
                <w:sz w:val="22"/>
                <w:szCs w:val="22"/>
              </w:rPr>
              <w:t>3.5.2</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Comparison to end-of-catchment annual loads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_Toc502499999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25</w:t>
            </w:r>
            <w:r w:rsidR="00305667" w:rsidRPr="00305667">
              <w:rPr>
                <w:rFonts w:ascii="Arial" w:hAnsi="Arial" w:cs="Arial"/>
                <w:noProof/>
                <w:webHidden/>
                <w:sz w:val="22"/>
                <w:szCs w:val="22"/>
              </w:rPr>
              <w:fldChar w:fldCharType="end"/>
            </w:r>
          </w:hyperlink>
        </w:p>
        <w:p w14:paraId="0CF578DD" w14:textId="4DB44923"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00" w:history="1">
            <w:r w:rsidR="00305667" w:rsidRPr="00305667">
              <w:rPr>
                <w:rStyle w:val="Hyperlink"/>
                <w:rFonts w:ascii="Arial" w:hAnsi="Arial" w:cs="Arial"/>
                <w:noProof/>
                <w:sz w:val="22"/>
                <w:szCs w:val="22"/>
              </w:rPr>
              <w:t>3.5.3</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Risk assessment metric – PSII herbicide equivalent concentrations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_Toc502500000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25</w:t>
            </w:r>
            <w:r w:rsidR="00305667" w:rsidRPr="00305667">
              <w:rPr>
                <w:rFonts w:ascii="Arial" w:hAnsi="Arial" w:cs="Arial"/>
                <w:noProof/>
                <w:webHidden/>
                <w:sz w:val="22"/>
                <w:szCs w:val="22"/>
              </w:rPr>
              <w:fldChar w:fldCharType="end"/>
            </w:r>
          </w:hyperlink>
        </w:p>
        <w:p w14:paraId="402A6770" w14:textId="6379161C"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01" w:history="1">
            <w:r w:rsidR="00305667" w:rsidRPr="00305667">
              <w:rPr>
                <w:rStyle w:val="Hyperlink"/>
                <w:rFonts w:ascii="Arial" w:hAnsi="Arial" w:cs="Arial"/>
                <w:noProof/>
                <w:sz w:val="22"/>
                <w:szCs w:val="22"/>
              </w:rPr>
              <w:t>3.5.4</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Risk assessment metric – multisubstance-potentially affected fraction (ms-PAF)</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_Toc502500001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26</w:t>
            </w:r>
            <w:r w:rsidR="00305667" w:rsidRPr="00305667">
              <w:rPr>
                <w:rFonts w:ascii="Arial" w:hAnsi="Arial" w:cs="Arial"/>
                <w:noProof/>
                <w:webHidden/>
                <w:sz w:val="22"/>
                <w:szCs w:val="22"/>
              </w:rPr>
              <w:fldChar w:fldCharType="end"/>
            </w:r>
          </w:hyperlink>
        </w:p>
        <w:p w14:paraId="35CF1386" w14:textId="103E09E2"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02" w:history="1">
            <w:r w:rsidR="00305667" w:rsidRPr="00305667">
              <w:rPr>
                <w:rStyle w:val="Hyperlink"/>
                <w:rFonts w:ascii="Arial" w:hAnsi="Arial" w:cs="Arial"/>
                <w:noProof/>
                <w:sz w:val="22"/>
                <w:szCs w:val="22"/>
              </w:rPr>
              <w:t>3.5.5</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Mapping the frequency and extent of flood plumes (frequency maps)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_Toc502500002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27</w:t>
            </w:r>
            <w:r w:rsidR="00305667" w:rsidRPr="00305667">
              <w:rPr>
                <w:rFonts w:ascii="Arial" w:hAnsi="Arial" w:cs="Arial"/>
                <w:noProof/>
                <w:webHidden/>
                <w:sz w:val="22"/>
                <w:szCs w:val="22"/>
              </w:rPr>
              <w:fldChar w:fldCharType="end"/>
            </w:r>
          </w:hyperlink>
        </w:p>
        <w:p w14:paraId="642CBB5E" w14:textId="02DADF48" w:rsidR="00305667" w:rsidRPr="00305667" w:rsidRDefault="008A61E1">
          <w:pPr>
            <w:pStyle w:val="TOC1"/>
            <w:tabs>
              <w:tab w:val="left" w:pos="440"/>
              <w:tab w:val="right" w:leader="dot" w:pos="10456"/>
            </w:tabs>
            <w:rPr>
              <w:rFonts w:ascii="Arial" w:hAnsi="Arial" w:cs="Arial"/>
              <w:b w:val="0"/>
              <w:bCs w:val="0"/>
              <w:noProof/>
              <w:sz w:val="22"/>
              <w:szCs w:val="22"/>
              <w:lang w:val="en-AU" w:eastAsia="en-AU" w:bidi="ar-SA"/>
            </w:rPr>
          </w:pPr>
          <w:hyperlink w:anchor="_Toc502500003" w:history="1">
            <w:r w:rsidR="00305667" w:rsidRPr="00305667">
              <w:rPr>
                <w:rStyle w:val="Hyperlink"/>
                <w:rFonts w:ascii="Arial" w:eastAsia="Times New Roman" w:hAnsi="Arial" w:cs="Arial"/>
                <w:noProof/>
                <w:kern w:val="28"/>
                <w:sz w:val="22"/>
                <w:szCs w:val="22"/>
              </w:rPr>
              <w:t>4.</w:t>
            </w:r>
            <w:r w:rsidR="00305667" w:rsidRPr="00305667">
              <w:rPr>
                <w:rFonts w:ascii="Arial" w:hAnsi="Arial" w:cs="Arial"/>
                <w:b w:val="0"/>
                <w:bCs w:val="0"/>
                <w:noProof/>
                <w:sz w:val="22"/>
                <w:szCs w:val="22"/>
                <w:lang w:val="en-AU" w:eastAsia="en-AU" w:bidi="ar-SA"/>
              </w:rPr>
              <w:tab/>
            </w:r>
            <w:r w:rsidR="00305667" w:rsidRPr="00305667">
              <w:rPr>
                <w:rStyle w:val="Hyperlink"/>
                <w:rFonts w:ascii="Arial" w:eastAsia="Times New Roman" w:hAnsi="Arial" w:cs="Arial"/>
                <w:noProof/>
                <w:kern w:val="28"/>
                <w:sz w:val="22"/>
                <w:szCs w:val="22"/>
              </w:rPr>
              <w:t>Results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_Toc502500003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28</w:t>
            </w:r>
            <w:r w:rsidR="00305667" w:rsidRPr="00305667">
              <w:rPr>
                <w:rFonts w:ascii="Arial" w:hAnsi="Arial" w:cs="Arial"/>
                <w:noProof/>
                <w:webHidden/>
                <w:sz w:val="22"/>
                <w:szCs w:val="22"/>
              </w:rPr>
              <w:fldChar w:fldCharType="end"/>
            </w:r>
          </w:hyperlink>
        </w:p>
        <w:p w14:paraId="231CEE20" w14:textId="6C1A742D" w:rsidR="00305667" w:rsidRPr="00305667" w:rsidRDefault="008A61E1">
          <w:pPr>
            <w:pStyle w:val="TOC2"/>
            <w:tabs>
              <w:tab w:val="left" w:pos="880"/>
              <w:tab w:val="right" w:leader="dot" w:pos="10456"/>
            </w:tabs>
            <w:rPr>
              <w:rFonts w:ascii="Arial" w:hAnsi="Arial" w:cs="Arial"/>
              <w:i w:val="0"/>
              <w:iCs w:val="0"/>
              <w:noProof/>
              <w:sz w:val="22"/>
              <w:szCs w:val="22"/>
              <w:lang w:val="en-AU" w:eastAsia="en-AU" w:bidi="ar-SA"/>
            </w:rPr>
          </w:pPr>
          <w:hyperlink w:anchor="_Toc502500004" w:history="1">
            <w:r w:rsidR="00305667" w:rsidRPr="00305667">
              <w:rPr>
                <w:rStyle w:val="Hyperlink"/>
                <w:rFonts w:ascii="Arial" w:hAnsi="Arial" w:cs="Arial"/>
                <w:bCs/>
                <w:noProof/>
                <w:sz w:val="22"/>
                <w:szCs w:val="22"/>
                <w:lang w:val="en-AU"/>
              </w:rPr>
              <w:t>4.1</w:t>
            </w:r>
            <w:r w:rsidR="00305667" w:rsidRPr="00305667">
              <w:rPr>
                <w:rFonts w:ascii="Arial" w:hAnsi="Arial" w:cs="Arial"/>
                <w:i w:val="0"/>
                <w:iCs w:val="0"/>
                <w:noProof/>
                <w:sz w:val="22"/>
                <w:szCs w:val="22"/>
                <w:lang w:val="en-AU" w:eastAsia="en-AU" w:bidi="ar-SA"/>
              </w:rPr>
              <w:tab/>
            </w:r>
            <w:r w:rsidR="00305667" w:rsidRPr="00305667">
              <w:rPr>
                <w:rStyle w:val="Hyperlink"/>
                <w:rFonts w:ascii="Arial" w:hAnsi="Arial" w:cs="Arial"/>
                <w:bCs/>
                <w:noProof/>
                <w:sz w:val="22"/>
                <w:szCs w:val="22"/>
                <w:lang w:val="en-AU"/>
              </w:rPr>
              <w:t>Drivers and pressures influencing pesticide concentrations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_Toc502500004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29</w:t>
            </w:r>
            <w:r w:rsidR="00305667" w:rsidRPr="00305667">
              <w:rPr>
                <w:rFonts w:ascii="Arial" w:hAnsi="Arial" w:cs="Arial"/>
                <w:noProof/>
                <w:webHidden/>
                <w:sz w:val="22"/>
                <w:szCs w:val="22"/>
              </w:rPr>
              <w:fldChar w:fldCharType="end"/>
            </w:r>
          </w:hyperlink>
        </w:p>
        <w:p w14:paraId="27E80776" w14:textId="190F737C"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05" w:history="1">
            <w:r w:rsidR="00305667" w:rsidRPr="00305667">
              <w:rPr>
                <w:rStyle w:val="Hyperlink"/>
                <w:rFonts w:ascii="Arial" w:hAnsi="Arial" w:cs="Arial"/>
                <w:noProof/>
                <w:sz w:val="22"/>
                <w:szCs w:val="22"/>
              </w:rPr>
              <w:t>4.1.1</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Land use</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_Toc502500005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29</w:t>
            </w:r>
            <w:r w:rsidR="00305667" w:rsidRPr="00305667">
              <w:rPr>
                <w:rFonts w:ascii="Arial" w:hAnsi="Arial" w:cs="Arial"/>
                <w:noProof/>
                <w:webHidden/>
                <w:sz w:val="22"/>
                <w:szCs w:val="22"/>
              </w:rPr>
              <w:fldChar w:fldCharType="end"/>
            </w:r>
          </w:hyperlink>
        </w:p>
        <w:p w14:paraId="0B72F870" w14:textId="64E4A985"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06" w:history="1">
            <w:r w:rsidR="00305667" w:rsidRPr="00305667">
              <w:rPr>
                <w:rStyle w:val="Hyperlink"/>
                <w:rFonts w:ascii="Arial" w:hAnsi="Arial" w:cs="Arial"/>
                <w:noProof/>
                <w:sz w:val="22"/>
                <w:szCs w:val="22"/>
              </w:rPr>
              <w:t>4.1.2</w:t>
            </w:r>
            <w:r w:rsidR="00305667" w:rsidRPr="00305667">
              <w:rPr>
                <w:rFonts w:ascii="Arial" w:hAnsi="Arial" w:cs="Arial"/>
                <w:noProof/>
                <w:sz w:val="22"/>
                <w:szCs w:val="22"/>
                <w:lang w:val="en-AU" w:eastAsia="en-AU" w:bidi="ar-SA"/>
              </w:rPr>
              <w:tab/>
            </w:r>
            <w:r w:rsidR="00185EFD">
              <w:rPr>
                <w:rStyle w:val="Hyperlink"/>
                <w:rFonts w:ascii="Arial" w:hAnsi="Arial" w:cs="Arial"/>
                <w:noProof/>
                <w:sz w:val="22"/>
                <w:szCs w:val="22"/>
              </w:rPr>
              <w:t>Hydrological</w:t>
            </w:r>
            <w:r w:rsidR="00305667" w:rsidRPr="00305667">
              <w:rPr>
                <w:rStyle w:val="Hyperlink"/>
                <w:rFonts w:ascii="Arial" w:hAnsi="Arial" w:cs="Arial"/>
                <w:noProof/>
                <w:sz w:val="22"/>
                <w:szCs w:val="22"/>
              </w:rPr>
              <w:t xml:space="preserve"> conditions in the Reef catchments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_Toc502500006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30</w:t>
            </w:r>
            <w:r w:rsidR="00305667" w:rsidRPr="00305667">
              <w:rPr>
                <w:rFonts w:ascii="Arial" w:hAnsi="Arial" w:cs="Arial"/>
                <w:noProof/>
                <w:webHidden/>
                <w:sz w:val="22"/>
                <w:szCs w:val="22"/>
              </w:rPr>
              <w:fldChar w:fldCharType="end"/>
            </w:r>
          </w:hyperlink>
        </w:p>
        <w:p w14:paraId="54B18780" w14:textId="114896BD" w:rsidR="00305667" w:rsidRPr="00305667" w:rsidRDefault="008A61E1">
          <w:pPr>
            <w:pStyle w:val="TOC3"/>
            <w:tabs>
              <w:tab w:val="left" w:pos="1320"/>
              <w:tab w:val="right" w:leader="dot" w:pos="10456"/>
            </w:tabs>
            <w:rPr>
              <w:rFonts w:ascii="Arial" w:hAnsi="Arial" w:cs="Arial"/>
              <w:noProof/>
              <w:sz w:val="22"/>
              <w:szCs w:val="22"/>
              <w:lang w:val="en-AU" w:eastAsia="en-AU" w:bidi="ar-SA"/>
            </w:rPr>
          </w:pPr>
          <w:hyperlink w:anchor="_Toc502500007" w:history="1">
            <w:r w:rsidR="00305667" w:rsidRPr="00305667">
              <w:rPr>
                <w:rStyle w:val="Hyperlink"/>
                <w:rFonts w:ascii="Arial" w:hAnsi="Arial" w:cs="Arial"/>
                <w:noProof/>
                <w:sz w:val="22"/>
                <w:szCs w:val="22"/>
              </w:rPr>
              <w:t>4.1.2.1</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Rainfall</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_Toc502500007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30</w:t>
            </w:r>
            <w:r w:rsidR="00305667" w:rsidRPr="00305667">
              <w:rPr>
                <w:rFonts w:ascii="Arial" w:hAnsi="Arial" w:cs="Arial"/>
                <w:noProof/>
                <w:webHidden/>
                <w:sz w:val="22"/>
                <w:szCs w:val="22"/>
              </w:rPr>
              <w:fldChar w:fldCharType="end"/>
            </w:r>
          </w:hyperlink>
        </w:p>
        <w:p w14:paraId="39A816C9" w14:textId="3E6BB76C" w:rsidR="00305667" w:rsidRPr="00305667" w:rsidRDefault="008A61E1">
          <w:pPr>
            <w:pStyle w:val="TOC3"/>
            <w:tabs>
              <w:tab w:val="left" w:pos="1320"/>
              <w:tab w:val="right" w:leader="dot" w:pos="10456"/>
            </w:tabs>
            <w:rPr>
              <w:rFonts w:ascii="Arial" w:hAnsi="Arial" w:cs="Arial"/>
              <w:noProof/>
              <w:sz w:val="22"/>
              <w:szCs w:val="22"/>
              <w:lang w:val="en-AU" w:eastAsia="en-AU" w:bidi="ar-SA"/>
            </w:rPr>
          </w:pPr>
          <w:hyperlink w:anchor="_Toc502500008" w:history="1">
            <w:r w:rsidR="00305667" w:rsidRPr="00305667">
              <w:rPr>
                <w:rStyle w:val="Hyperlink"/>
                <w:rFonts w:ascii="Arial" w:hAnsi="Arial" w:cs="Arial"/>
                <w:noProof/>
                <w:sz w:val="22"/>
                <w:szCs w:val="22"/>
              </w:rPr>
              <w:t>4.1.2.2</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Cyclones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_Toc502500008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32</w:t>
            </w:r>
            <w:r w:rsidR="00305667" w:rsidRPr="00305667">
              <w:rPr>
                <w:rFonts w:ascii="Arial" w:hAnsi="Arial" w:cs="Arial"/>
                <w:noProof/>
                <w:webHidden/>
                <w:sz w:val="22"/>
                <w:szCs w:val="22"/>
              </w:rPr>
              <w:fldChar w:fldCharType="end"/>
            </w:r>
          </w:hyperlink>
        </w:p>
        <w:p w14:paraId="007EFC55" w14:textId="0935302A" w:rsidR="00305667" w:rsidRPr="00305667" w:rsidRDefault="008A61E1">
          <w:pPr>
            <w:pStyle w:val="TOC3"/>
            <w:tabs>
              <w:tab w:val="left" w:pos="1320"/>
              <w:tab w:val="right" w:leader="dot" w:pos="10456"/>
            </w:tabs>
            <w:rPr>
              <w:rFonts w:ascii="Arial" w:hAnsi="Arial" w:cs="Arial"/>
              <w:noProof/>
              <w:sz w:val="22"/>
              <w:szCs w:val="22"/>
              <w:lang w:val="en-AU" w:eastAsia="en-AU" w:bidi="ar-SA"/>
            </w:rPr>
          </w:pPr>
          <w:hyperlink w:anchor="_Toc502500009" w:history="1">
            <w:r w:rsidR="00305667" w:rsidRPr="00305667">
              <w:rPr>
                <w:rStyle w:val="Hyperlink"/>
                <w:rFonts w:ascii="Arial" w:hAnsi="Arial" w:cs="Arial"/>
                <w:noProof/>
                <w:sz w:val="22"/>
                <w:szCs w:val="22"/>
              </w:rPr>
              <w:t>4.1.2.3</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River discharge</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_Toc502500009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32</w:t>
            </w:r>
            <w:r w:rsidR="00305667" w:rsidRPr="00305667">
              <w:rPr>
                <w:rFonts w:ascii="Arial" w:hAnsi="Arial" w:cs="Arial"/>
                <w:noProof/>
                <w:webHidden/>
                <w:sz w:val="22"/>
                <w:szCs w:val="22"/>
              </w:rPr>
              <w:fldChar w:fldCharType="end"/>
            </w:r>
          </w:hyperlink>
        </w:p>
        <w:p w14:paraId="22A2FE28" w14:textId="03F320DC"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10" w:history="1">
            <w:r w:rsidR="00305667" w:rsidRPr="00305667">
              <w:rPr>
                <w:rStyle w:val="Hyperlink"/>
                <w:rFonts w:ascii="Arial" w:hAnsi="Arial" w:cs="Arial"/>
                <w:noProof/>
                <w:sz w:val="22"/>
                <w:szCs w:val="22"/>
              </w:rPr>
              <w:t>4.1.3</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End-of-catchment annual pesticide loads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_Toc502500010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33</w:t>
            </w:r>
            <w:r w:rsidR="00305667" w:rsidRPr="00305667">
              <w:rPr>
                <w:rFonts w:ascii="Arial" w:hAnsi="Arial" w:cs="Arial"/>
                <w:noProof/>
                <w:webHidden/>
                <w:sz w:val="22"/>
                <w:szCs w:val="22"/>
              </w:rPr>
              <w:fldChar w:fldCharType="end"/>
            </w:r>
          </w:hyperlink>
        </w:p>
        <w:p w14:paraId="61FCFDA0" w14:textId="22906899" w:rsidR="00305667" w:rsidRPr="00305667" w:rsidRDefault="008A61E1">
          <w:pPr>
            <w:pStyle w:val="TOC2"/>
            <w:tabs>
              <w:tab w:val="left" w:pos="880"/>
              <w:tab w:val="right" w:leader="dot" w:pos="10456"/>
            </w:tabs>
            <w:rPr>
              <w:rFonts w:ascii="Arial" w:hAnsi="Arial" w:cs="Arial"/>
              <w:i w:val="0"/>
              <w:iCs w:val="0"/>
              <w:noProof/>
              <w:sz w:val="22"/>
              <w:szCs w:val="22"/>
              <w:lang w:val="en-AU" w:eastAsia="en-AU" w:bidi="ar-SA"/>
            </w:rPr>
          </w:pPr>
          <w:hyperlink w:anchor="_Toc502500011" w:history="1">
            <w:r w:rsidR="00305667" w:rsidRPr="00305667">
              <w:rPr>
                <w:rStyle w:val="Hyperlink"/>
                <w:rFonts w:ascii="Arial" w:hAnsi="Arial" w:cs="Arial"/>
                <w:bCs/>
                <w:noProof/>
                <w:sz w:val="22"/>
                <w:szCs w:val="22"/>
                <w:lang w:val="en-AU"/>
              </w:rPr>
              <w:t>4.2</w:t>
            </w:r>
            <w:r w:rsidR="00305667" w:rsidRPr="00305667">
              <w:rPr>
                <w:rFonts w:ascii="Arial" w:hAnsi="Arial" w:cs="Arial"/>
                <w:i w:val="0"/>
                <w:iCs w:val="0"/>
                <w:noProof/>
                <w:sz w:val="22"/>
                <w:szCs w:val="22"/>
                <w:lang w:val="en-AU" w:eastAsia="en-AU" w:bidi="ar-SA"/>
              </w:rPr>
              <w:tab/>
            </w:r>
            <w:r w:rsidR="00305667" w:rsidRPr="00305667">
              <w:rPr>
                <w:rStyle w:val="Hyperlink"/>
                <w:rFonts w:ascii="Arial" w:hAnsi="Arial" w:cs="Arial"/>
                <w:bCs/>
                <w:noProof/>
                <w:sz w:val="22"/>
                <w:szCs w:val="22"/>
                <w:lang w:val="en-AU"/>
              </w:rPr>
              <w:t>Reef-wide results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_Toc502500011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35</w:t>
            </w:r>
            <w:r w:rsidR="00305667" w:rsidRPr="00305667">
              <w:rPr>
                <w:rFonts w:ascii="Arial" w:hAnsi="Arial" w:cs="Arial"/>
                <w:noProof/>
                <w:webHidden/>
                <w:sz w:val="22"/>
                <w:szCs w:val="22"/>
              </w:rPr>
              <w:fldChar w:fldCharType="end"/>
            </w:r>
          </w:hyperlink>
        </w:p>
        <w:p w14:paraId="419AD833" w14:textId="05DEA41E"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12" w:history="1">
            <w:r w:rsidR="00305667" w:rsidRPr="00305667">
              <w:rPr>
                <w:rStyle w:val="Hyperlink"/>
                <w:rFonts w:ascii="Arial" w:hAnsi="Arial" w:cs="Arial"/>
                <w:noProof/>
                <w:sz w:val="22"/>
                <w:szCs w:val="22"/>
              </w:rPr>
              <w:t>4.2.1</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Fixed monitoring site passive sampler return record</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_Toc502500012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35</w:t>
            </w:r>
            <w:r w:rsidR="00305667" w:rsidRPr="00305667">
              <w:rPr>
                <w:rFonts w:ascii="Arial" w:hAnsi="Arial" w:cs="Arial"/>
                <w:noProof/>
                <w:webHidden/>
                <w:sz w:val="22"/>
                <w:szCs w:val="22"/>
              </w:rPr>
              <w:fldChar w:fldCharType="end"/>
            </w:r>
          </w:hyperlink>
        </w:p>
        <w:p w14:paraId="6C65026D" w14:textId="24537923"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13" w:history="1">
            <w:r w:rsidR="00305667" w:rsidRPr="00305667">
              <w:rPr>
                <w:rStyle w:val="Hyperlink"/>
                <w:rFonts w:ascii="Arial" w:hAnsi="Arial" w:cs="Arial"/>
                <w:noProof/>
                <w:sz w:val="22"/>
                <w:szCs w:val="22"/>
              </w:rPr>
              <w:t>4.2.2</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Reef-wide summary pesticide results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_Toc502500013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35</w:t>
            </w:r>
            <w:r w:rsidR="00305667" w:rsidRPr="00305667">
              <w:rPr>
                <w:rFonts w:ascii="Arial" w:hAnsi="Arial" w:cs="Arial"/>
                <w:noProof/>
                <w:webHidden/>
                <w:sz w:val="22"/>
                <w:szCs w:val="22"/>
              </w:rPr>
              <w:fldChar w:fldCharType="end"/>
            </w:r>
          </w:hyperlink>
        </w:p>
        <w:p w14:paraId="7A1B10FF" w14:textId="51DCE2D8" w:rsidR="00305667" w:rsidRPr="00305667" w:rsidRDefault="008A61E1">
          <w:pPr>
            <w:pStyle w:val="TOC3"/>
            <w:tabs>
              <w:tab w:val="left" w:pos="1320"/>
              <w:tab w:val="right" w:leader="dot" w:pos="10456"/>
            </w:tabs>
            <w:rPr>
              <w:rFonts w:ascii="Arial" w:hAnsi="Arial" w:cs="Arial"/>
              <w:noProof/>
              <w:sz w:val="22"/>
              <w:szCs w:val="22"/>
              <w:lang w:val="en-AU" w:eastAsia="en-AU" w:bidi="ar-SA"/>
            </w:rPr>
          </w:pPr>
          <w:hyperlink w:anchor="_Toc502500014" w:history="1">
            <w:r w:rsidR="00305667" w:rsidRPr="00305667">
              <w:rPr>
                <w:rStyle w:val="Hyperlink"/>
                <w:rFonts w:ascii="Arial" w:hAnsi="Arial" w:cs="Arial"/>
                <w:noProof/>
                <w:sz w:val="22"/>
                <w:szCs w:val="22"/>
              </w:rPr>
              <w:t>4.2.2.1</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Frequency of pesticide detections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_Toc502500014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35</w:t>
            </w:r>
            <w:r w:rsidR="00305667" w:rsidRPr="00305667">
              <w:rPr>
                <w:rFonts w:ascii="Arial" w:hAnsi="Arial" w:cs="Arial"/>
                <w:noProof/>
                <w:webHidden/>
                <w:sz w:val="22"/>
                <w:szCs w:val="22"/>
              </w:rPr>
              <w:fldChar w:fldCharType="end"/>
            </w:r>
          </w:hyperlink>
        </w:p>
        <w:p w14:paraId="7B67FB26" w14:textId="4841F5EE" w:rsidR="00305667" w:rsidRPr="00305667" w:rsidRDefault="008A61E1">
          <w:pPr>
            <w:pStyle w:val="TOC3"/>
            <w:tabs>
              <w:tab w:val="left" w:pos="1320"/>
              <w:tab w:val="right" w:leader="dot" w:pos="10456"/>
            </w:tabs>
            <w:rPr>
              <w:rFonts w:ascii="Arial" w:hAnsi="Arial" w:cs="Arial"/>
              <w:noProof/>
              <w:sz w:val="22"/>
              <w:szCs w:val="22"/>
              <w:lang w:val="en-AU" w:eastAsia="en-AU" w:bidi="ar-SA"/>
            </w:rPr>
          </w:pPr>
          <w:hyperlink w:anchor="_Toc502500015" w:history="1">
            <w:r w:rsidR="00305667" w:rsidRPr="00305667">
              <w:rPr>
                <w:rStyle w:val="Hyperlink"/>
                <w:rFonts w:ascii="Arial" w:hAnsi="Arial" w:cs="Arial"/>
                <w:noProof/>
                <w:sz w:val="22"/>
                <w:szCs w:val="22"/>
              </w:rPr>
              <w:t>4.2.2.2</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Summary of pesticide concentrations in 2015-16</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_Toc502500015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36</w:t>
            </w:r>
            <w:r w:rsidR="00305667" w:rsidRPr="00305667">
              <w:rPr>
                <w:rFonts w:ascii="Arial" w:hAnsi="Arial" w:cs="Arial"/>
                <w:noProof/>
                <w:webHidden/>
                <w:sz w:val="22"/>
                <w:szCs w:val="22"/>
              </w:rPr>
              <w:fldChar w:fldCharType="end"/>
            </w:r>
          </w:hyperlink>
        </w:p>
        <w:p w14:paraId="5F1ACC07" w14:textId="35CA7B0A" w:rsidR="00305667" w:rsidRPr="00305667" w:rsidRDefault="008A61E1">
          <w:pPr>
            <w:pStyle w:val="TOC3"/>
            <w:tabs>
              <w:tab w:val="left" w:pos="1320"/>
              <w:tab w:val="right" w:leader="dot" w:pos="10456"/>
            </w:tabs>
            <w:rPr>
              <w:rFonts w:ascii="Arial" w:hAnsi="Arial" w:cs="Arial"/>
              <w:noProof/>
              <w:sz w:val="22"/>
              <w:szCs w:val="22"/>
              <w:lang w:val="en-AU" w:eastAsia="en-AU" w:bidi="ar-SA"/>
            </w:rPr>
          </w:pPr>
          <w:hyperlink w:anchor="_Toc502500016" w:history="1">
            <w:r w:rsidR="00305667" w:rsidRPr="00305667">
              <w:rPr>
                <w:rStyle w:val="Hyperlink"/>
                <w:rFonts w:ascii="Arial" w:hAnsi="Arial" w:cs="Arial"/>
                <w:noProof/>
                <w:sz w:val="22"/>
                <w:szCs w:val="22"/>
              </w:rPr>
              <w:t>4.2.2.3</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Comparison to guideline values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_Toc502500016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36</w:t>
            </w:r>
            <w:r w:rsidR="00305667" w:rsidRPr="00305667">
              <w:rPr>
                <w:rFonts w:ascii="Arial" w:hAnsi="Arial" w:cs="Arial"/>
                <w:noProof/>
                <w:webHidden/>
                <w:sz w:val="22"/>
                <w:szCs w:val="22"/>
              </w:rPr>
              <w:fldChar w:fldCharType="end"/>
            </w:r>
          </w:hyperlink>
        </w:p>
        <w:p w14:paraId="2211FFB0" w14:textId="17775541" w:rsidR="00305667" w:rsidRPr="00305667" w:rsidRDefault="008A61E1">
          <w:pPr>
            <w:pStyle w:val="TOC3"/>
            <w:tabs>
              <w:tab w:val="left" w:pos="1320"/>
              <w:tab w:val="right" w:leader="dot" w:pos="10456"/>
            </w:tabs>
            <w:rPr>
              <w:rFonts w:ascii="Arial" w:hAnsi="Arial" w:cs="Arial"/>
              <w:noProof/>
              <w:sz w:val="22"/>
              <w:szCs w:val="22"/>
              <w:lang w:val="en-AU" w:eastAsia="en-AU" w:bidi="ar-SA"/>
            </w:rPr>
          </w:pPr>
          <w:hyperlink w:anchor="_Toc502500017" w:history="1">
            <w:r w:rsidR="00305667" w:rsidRPr="00305667">
              <w:rPr>
                <w:rStyle w:val="Hyperlink"/>
                <w:rFonts w:ascii="Arial" w:hAnsi="Arial" w:cs="Arial"/>
                <w:noProof/>
                <w:sz w:val="22"/>
                <w:szCs w:val="22"/>
              </w:rPr>
              <w:t>4.2.2.4</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Comparison to previous years: trends in pesticide concentrations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_Toc502500017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36</w:t>
            </w:r>
            <w:r w:rsidR="00305667" w:rsidRPr="00305667">
              <w:rPr>
                <w:rFonts w:ascii="Arial" w:hAnsi="Arial" w:cs="Arial"/>
                <w:noProof/>
                <w:webHidden/>
                <w:sz w:val="22"/>
                <w:szCs w:val="22"/>
              </w:rPr>
              <w:fldChar w:fldCharType="end"/>
            </w:r>
          </w:hyperlink>
        </w:p>
        <w:p w14:paraId="278ABFEE" w14:textId="514F1A95" w:rsidR="00305667" w:rsidRPr="00305667" w:rsidRDefault="008A61E1">
          <w:pPr>
            <w:pStyle w:val="TOC2"/>
            <w:tabs>
              <w:tab w:val="left" w:pos="880"/>
              <w:tab w:val="right" w:leader="dot" w:pos="10456"/>
            </w:tabs>
            <w:rPr>
              <w:rFonts w:ascii="Arial" w:hAnsi="Arial" w:cs="Arial"/>
              <w:i w:val="0"/>
              <w:iCs w:val="0"/>
              <w:noProof/>
              <w:sz w:val="22"/>
              <w:szCs w:val="22"/>
              <w:lang w:val="en-AU" w:eastAsia="en-AU" w:bidi="ar-SA"/>
            </w:rPr>
          </w:pPr>
          <w:hyperlink w:anchor="_Toc502500018" w:history="1">
            <w:r w:rsidR="00305667" w:rsidRPr="00305667">
              <w:rPr>
                <w:rStyle w:val="Hyperlink"/>
                <w:rFonts w:ascii="Arial" w:hAnsi="Arial" w:cs="Arial"/>
                <w:bCs/>
                <w:noProof/>
                <w:sz w:val="22"/>
                <w:szCs w:val="22"/>
                <w:lang w:val="en-AU"/>
              </w:rPr>
              <w:t>4.3</w:t>
            </w:r>
            <w:r w:rsidR="00305667" w:rsidRPr="00305667">
              <w:rPr>
                <w:rFonts w:ascii="Arial" w:hAnsi="Arial" w:cs="Arial"/>
                <w:i w:val="0"/>
                <w:iCs w:val="0"/>
                <w:noProof/>
                <w:sz w:val="22"/>
                <w:szCs w:val="22"/>
                <w:lang w:val="en-AU" w:eastAsia="en-AU" w:bidi="ar-SA"/>
              </w:rPr>
              <w:tab/>
            </w:r>
            <w:r w:rsidR="00305667" w:rsidRPr="00305667">
              <w:rPr>
                <w:rStyle w:val="Hyperlink"/>
                <w:rFonts w:ascii="Arial" w:hAnsi="Arial" w:cs="Arial"/>
                <w:bCs/>
                <w:noProof/>
                <w:sz w:val="22"/>
                <w:szCs w:val="22"/>
                <w:lang w:val="en-AU"/>
              </w:rPr>
              <w:t>Regional results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_Toc502500018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40</w:t>
            </w:r>
            <w:r w:rsidR="00305667" w:rsidRPr="00305667">
              <w:rPr>
                <w:rFonts w:ascii="Arial" w:hAnsi="Arial" w:cs="Arial"/>
                <w:noProof/>
                <w:webHidden/>
                <w:sz w:val="22"/>
                <w:szCs w:val="22"/>
              </w:rPr>
              <w:fldChar w:fldCharType="end"/>
            </w:r>
          </w:hyperlink>
        </w:p>
        <w:p w14:paraId="10F1E1C2" w14:textId="249638AF"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19" w:history="1">
            <w:r w:rsidR="00305667" w:rsidRPr="00305667">
              <w:rPr>
                <w:rStyle w:val="Hyperlink"/>
                <w:rFonts w:ascii="Arial" w:hAnsi="Arial" w:cs="Arial"/>
                <w:noProof/>
                <w:sz w:val="22"/>
                <w:szCs w:val="22"/>
              </w:rPr>
              <w:t>4.3.1</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Wet Tropics</w:t>
            </w:r>
            <w:r w:rsidR="00305667">
              <w:rPr>
                <w:rStyle w:val="Hyperlink"/>
                <w:rFonts w:ascii="Arial" w:hAnsi="Arial" w:cs="Arial"/>
                <w:noProof/>
                <w:sz w:val="22"/>
                <w:szCs w:val="22"/>
              </w:rPr>
              <w:t xml:space="preserve"> Region</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_Toc502500019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40</w:t>
            </w:r>
            <w:r w:rsidR="00305667" w:rsidRPr="00305667">
              <w:rPr>
                <w:rFonts w:ascii="Arial" w:hAnsi="Arial" w:cs="Arial"/>
                <w:noProof/>
                <w:webHidden/>
                <w:sz w:val="22"/>
                <w:szCs w:val="22"/>
              </w:rPr>
              <w:fldChar w:fldCharType="end"/>
            </w:r>
          </w:hyperlink>
        </w:p>
        <w:p w14:paraId="2A6E9037" w14:textId="4BA0065B"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20" w:history="1">
            <w:r w:rsidR="00305667" w:rsidRPr="00305667">
              <w:rPr>
                <w:rStyle w:val="Hyperlink"/>
                <w:rFonts w:ascii="Arial" w:hAnsi="Arial" w:cs="Arial"/>
                <w:noProof/>
                <w:sz w:val="22"/>
                <w:szCs w:val="22"/>
              </w:rPr>
              <w:t>4.3.2</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Burdekin Region</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_Toc502500020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43</w:t>
            </w:r>
            <w:r w:rsidR="00305667" w:rsidRPr="00305667">
              <w:rPr>
                <w:rFonts w:ascii="Arial" w:hAnsi="Arial" w:cs="Arial"/>
                <w:noProof/>
                <w:webHidden/>
                <w:sz w:val="22"/>
                <w:szCs w:val="22"/>
              </w:rPr>
              <w:fldChar w:fldCharType="end"/>
            </w:r>
          </w:hyperlink>
        </w:p>
        <w:p w14:paraId="6E9F656B" w14:textId="74EE0DB3"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21" w:history="1">
            <w:r w:rsidR="00305667" w:rsidRPr="00305667">
              <w:rPr>
                <w:rStyle w:val="Hyperlink"/>
                <w:rFonts w:ascii="Arial" w:hAnsi="Arial" w:cs="Arial"/>
                <w:noProof/>
                <w:sz w:val="22"/>
                <w:szCs w:val="22"/>
              </w:rPr>
              <w:t>4.3.3</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Mackay Whitsunday Region</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_Toc502500021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44</w:t>
            </w:r>
            <w:r w:rsidR="00305667" w:rsidRPr="00305667">
              <w:rPr>
                <w:rFonts w:ascii="Arial" w:hAnsi="Arial" w:cs="Arial"/>
                <w:noProof/>
                <w:webHidden/>
                <w:sz w:val="22"/>
                <w:szCs w:val="22"/>
              </w:rPr>
              <w:fldChar w:fldCharType="end"/>
            </w:r>
          </w:hyperlink>
        </w:p>
        <w:p w14:paraId="7402B919" w14:textId="41B19E21" w:rsidR="00305667" w:rsidRPr="00305667" w:rsidRDefault="008A61E1">
          <w:pPr>
            <w:pStyle w:val="TOC3"/>
            <w:tabs>
              <w:tab w:val="left" w:pos="1100"/>
              <w:tab w:val="right" w:leader="dot" w:pos="10456"/>
            </w:tabs>
            <w:rPr>
              <w:rFonts w:ascii="Arial" w:hAnsi="Arial" w:cs="Arial"/>
              <w:noProof/>
              <w:sz w:val="22"/>
              <w:szCs w:val="22"/>
              <w:lang w:val="en-AU" w:eastAsia="en-AU" w:bidi="ar-SA"/>
            </w:rPr>
          </w:pPr>
          <w:hyperlink w:anchor="_Toc502500022" w:history="1">
            <w:r w:rsidR="00305667" w:rsidRPr="00305667">
              <w:rPr>
                <w:rStyle w:val="Hyperlink"/>
                <w:rFonts w:ascii="Arial" w:hAnsi="Arial" w:cs="Arial"/>
                <w:noProof/>
                <w:sz w:val="22"/>
                <w:szCs w:val="22"/>
              </w:rPr>
              <w:t>4.3.4</w:t>
            </w:r>
            <w:r w:rsidR="00305667" w:rsidRPr="00305667">
              <w:rPr>
                <w:rFonts w:ascii="Arial" w:hAnsi="Arial" w:cs="Arial"/>
                <w:noProof/>
                <w:sz w:val="22"/>
                <w:szCs w:val="22"/>
                <w:lang w:val="en-AU" w:eastAsia="en-AU" w:bidi="ar-SA"/>
              </w:rPr>
              <w:tab/>
            </w:r>
            <w:r w:rsidR="00305667" w:rsidRPr="00305667">
              <w:rPr>
                <w:rStyle w:val="Hyperlink"/>
                <w:rFonts w:ascii="Arial" w:hAnsi="Arial" w:cs="Arial"/>
                <w:noProof/>
                <w:sz w:val="22"/>
                <w:szCs w:val="22"/>
              </w:rPr>
              <w:t>Fitzroy Region</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_Toc502500022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47</w:t>
            </w:r>
            <w:r w:rsidR="00305667" w:rsidRPr="00305667">
              <w:rPr>
                <w:rFonts w:ascii="Arial" w:hAnsi="Arial" w:cs="Arial"/>
                <w:noProof/>
                <w:webHidden/>
                <w:sz w:val="22"/>
                <w:szCs w:val="22"/>
              </w:rPr>
              <w:fldChar w:fldCharType="end"/>
            </w:r>
          </w:hyperlink>
        </w:p>
        <w:p w14:paraId="2783DE68" w14:textId="5C97C6E7" w:rsidR="00305667" w:rsidRPr="00305667" w:rsidRDefault="008A61E1">
          <w:pPr>
            <w:pStyle w:val="TOC1"/>
            <w:tabs>
              <w:tab w:val="left" w:pos="440"/>
              <w:tab w:val="right" w:leader="dot" w:pos="10456"/>
            </w:tabs>
            <w:rPr>
              <w:rFonts w:ascii="Arial" w:hAnsi="Arial" w:cs="Arial"/>
              <w:b w:val="0"/>
              <w:bCs w:val="0"/>
              <w:noProof/>
              <w:sz w:val="22"/>
              <w:szCs w:val="22"/>
              <w:lang w:val="en-AU" w:eastAsia="en-AU" w:bidi="ar-SA"/>
            </w:rPr>
          </w:pPr>
          <w:hyperlink w:anchor="_Toc502500023" w:history="1">
            <w:r w:rsidR="00305667" w:rsidRPr="00305667">
              <w:rPr>
                <w:rStyle w:val="Hyperlink"/>
                <w:rFonts w:ascii="Arial" w:eastAsia="Times New Roman" w:hAnsi="Arial" w:cs="Arial"/>
                <w:noProof/>
                <w:kern w:val="28"/>
                <w:sz w:val="22"/>
                <w:szCs w:val="22"/>
              </w:rPr>
              <w:t>5.</w:t>
            </w:r>
            <w:r w:rsidR="00305667" w:rsidRPr="00305667">
              <w:rPr>
                <w:rFonts w:ascii="Arial" w:hAnsi="Arial" w:cs="Arial"/>
                <w:b w:val="0"/>
                <w:bCs w:val="0"/>
                <w:noProof/>
                <w:sz w:val="22"/>
                <w:szCs w:val="22"/>
                <w:lang w:val="en-AU" w:eastAsia="en-AU" w:bidi="ar-SA"/>
              </w:rPr>
              <w:tab/>
            </w:r>
            <w:r w:rsidR="00305667" w:rsidRPr="00305667">
              <w:rPr>
                <w:rStyle w:val="Hyperlink"/>
                <w:rFonts w:ascii="Arial" w:eastAsia="Times New Roman" w:hAnsi="Arial" w:cs="Arial"/>
                <w:noProof/>
                <w:kern w:val="28"/>
                <w:sz w:val="22"/>
                <w:szCs w:val="22"/>
              </w:rPr>
              <w:t>Discussion</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_Toc502500023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48</w:t>
            </w:r>
            <w:r w:rsidR="00305667" w:rsidRPr="00305667">
              <w:rPr>
                <w:rFonts w:ascii="Arial" w:hAnsi="Arial" w:cs="Arial"/>
                <w:noProof/>
                <w:webHidden/>
                <w:sz w:val="22"/>
                <w:szCs w:val="22"/>
              </w:rPr>
              <w:fldChar w:fldCharType="end"/>
            </w:r>
          </w:hyperlink>
        </w:p>
        <w:p w14:paraId="08F80C08" w14:textId="64F848AE" w:rsidR="00305667" w:rsidRPr="00305667" w:rsidRDefault="008A61E1">
          <w:pPr>
            <w:pStyle w:val="TOC1"/>
            <w:tabs>
              <w:tab w:val="left" w:pos="440"/>
              <w:tab w:val="right" w:leader="dot" w:pos="10456"/>
            </w:tabs>
            <w:rPr>
              <w:rFonts w:ascii="Arial" w:hAnsi="Arial" w:cs="Arial"/>
              <w:b w:val="0"/>
              <w:bCs w:val="0"/>
              <w:noProof/>
              <w:sz w:val="22"/>
              <w:szCs w:val="22"/>
              <w:lang w:val="en-AU" w:eastAsia="en-AU" w:bidi="ar-SA"/>
            </w:rPr>
          </w:pPr>
          <w:hyperlink w:anchor="_Toc502500024" w:history="1">
            <w:r w:rsidR="00305667" w:rsidRPr="00305667">
              <w:rPr>
                <w:rStyle w:val="Hyperlink"/>
                <w:rFonts w:ascii="Arial" w:eastAsia="Times New Roman" w:hAnsi="Arial" w:cs="Arial"/>
                <w:noProof/>
                <w:kern w:val="28"/>
                <w:sz w:val="22"/>
                <w:szCs w:val="22"/>
              </w:rPr>
              <w:t>6.</w:t>
            </w:r>
            <w:r w:rsidR="00305667" w:rsidRPr="00305667">
              <w:rPr>
                <w:rFonts w:ascii="Arial" w:hAnsi="Arial" w:cs="Arial"/>
                <w:b w:val="0"/>
                <w:bCs w:val="0"/>
                <w:noProof/>
                <w:sz w:val="22"/>
                <w:szCs w:val="22"/>
                <w:lang w:val="en-AU" w:eastAsia="en-AU" w:bidi="ar-SA"/>
              </w:rPr>
              <w:tab/>
            </w:r>
            <w:r w:rsidR="00305667" w:rsidRPr="00305667">
              <w:rPr>
                <w:rStyle w:val="Hyperlink"/>
                <w:rFonts w:ascii="Arial" w:eastAsia="Times New Roman" w:hAnsi="Arial" w:cs="Arial"/>
                <w:noProof/>
                <w:kern w:val="28"/>
                <w:sz w:val="22"/>
                <w:szCs w:val="22"/>
              </w:rPr>
              <w:t>Conclusions and Directions for Monitoring</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_Toc502500024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53</w:t>
            </w:r>
            <w:r w:rsidR="00305667" w:rsidRPr="00305667">
              <w:rPr>
                <w:rFonts w:ascii="Arial" w:hAnsi="Arial" w:cs="Arial"/>
                <w:noProof/>
                <w:webHidden/>
                <w:sz w:val="22"/>
                <w:szCs w:val="22"/>
              </w:rPr>
              <w:fldChar w:fldCharType="end"/>
            </w:r>
          </w:hyperlink>
        </w:p>
        <w:p w14:paraId="2EF256FD" w14:textId="2ABF9AB5" w:rsidR="00305667" w:rsidRPr="00305667" w:rsidRDefault="008A61E1">
          <w:pPr>
            <w:pStyle w:val="TOC1"/>
            <w:tabs>
              <w:tab w:val="left" w:pos="440"/>
              <w:tab w:val="right" w:leader="dot" w:pos="10456"/>
            </w:tabs>
            <w:rPr>
              <w:rFonts w:ascii="Arial" w:hAnsi="Arial" w:cs="Arial"/>
              <w:b w:val="0"/>
              <w:bCs w:val="0"/>
              <w:noProof/>
              <w:sz w:val="22"/>
              <w:szCs w:val="22"/>
              <w:lang w:val="en-AU" w:eastAsia="en-AU" w:bidi="ar-SA"/>
            </w:rPr>
          </w:pPr>
          <w:hyperlink w:anchor="_Toc502500025" w:history="1">
            <w:r w:rsidR="00305667" w:rsidRPr="00305667">
              <w:rPr>
                <w:rStyle w:val="Hyperlink"/>
                <w:rFonts w:ascii="Arial" w:eastAsia="Times New Roman" w:hAnsi="Arial" w:cs="Arial"/>
                <w:noProof/>
                <w:kern w:val="28"/>
                <w:sz w:val="22"/>
                <w:szCs w:val="22"/>
              </w:rPr>
              <w:t>7.</w:t>
            </w:r>
            <w:r w:rsidR="00305667" w:rsidRPr="00305667">
              <w:rPr>
                <w:rFonts w:ascii="Arial" w:hAnsi="Arial" w:cs="Arial"/>
                <w:b w:val="0"/>
                <w:bCs w:val="0"/>
                <w:noProof/>
                <w:sz w:val="22"/>
                <w:szCs w:val="22"/>
                <w:lang w:val="en-AU" w:eastAsia="en-AU" w:bidi="ar-SA"/>
              </w:rPr>
              <w:tab/>
            </w:r>
            <w:r w:rsidR="00305667" w:rsidRPr="00305667">
              <w:rPr>
                <w:rStyle w:val="Hyperlink"/>
                <w:rFonts w:ascii="Arial" w:eastAsia="Times New Roman" w:hAnsi="Arial" w:cs="Arial"/>
                <w:noProof/>
                <w:kern w:val="28"/>
                <w:sz w:val="22"/>
                <w:szCs w:val="22"/>
              </w:rPr>
              <w:t>References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_Toc502500025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54</w:t>
            </w:r>
            <w:r w:rsidR="00305667" w:rsidRPr="00305667">
              <w:rPr>
                <w:rFonts w:ascii="Arial" w:hAnsi="Arial" w:cs="Arial"/>
                <w:noProof/>
                <w:webHidden/>
                <w:sz w:val="22"/>
                <w:szCs w:val="22"/>
              </w:rPr>
              <w:fldChar w:fldCharType="end"/>
            </w:r>
          </w:hyperlink>
        </w:p>
        <w:p w14:paraId="21FFF7B6" w14:textId="73B898F2" w:rsidR="00305667" w:rsidRPr="00305667" w:rsidRDefault="008A61E1">
          <w:pPr>
            <w:pStyle w:val="TOC1"/>
            <w:tabs>
              <w:tab w:val="left" w:pos="440"/>
              <w:tab w:val="right" w:leader="dot" w:pos="10456"/>
            </w:tabs>
            <w:rPr>
              <w:rFonts w:ascii="Arial" w:hAnsi="Arial" w:cs="Arial"/>
              <w:b w:val="0"/>
              <w:bCs w:val="0"/>
              <w:noProof/>
              <w:sz w:val="22"/>
              <w:szCs w:val="22"/>
              <w:lang w:val="en-AU" w:eastAsia="en-AU" w:bidi="ar-SA"/>
            </w:rPr>
          </w:pPr>
          <w:hyperlink w:anchor="_Toc502500026" w:history="1">
            <w:r w:rsidR="00305667" w:rsidRPr="00305667">
              <w:rPr>
                <w:rStyle w:val="Hyperlink"/>
                <w:rFonts w:ascii="Arial" w:eastAsia="Times New Roman" w:hAnsi="Arial" w:cs="Arial"/>
                <w:noProof/>
                <w:kern w:val="28"/>
                <w:sz w:val="22"/>
                <w:szCs w:val="22"/>
              </w:rPr>
              <w:t>8.</w:t>
            </w:r>
            <w:r w:rsidR="00305667" w:rsidRPr="00305667">
              <w:rPr>
                <w:rFonts w:ascii="Arial" w:hAnsi="Arial" w:cs="Arial"/>
                <w:b w:val="0"/>
                <w:bCs w:val="0"/>
                <w:noProof/>
                <w:sz w:val="22"/>
                <w:szCs w:val="22"/>
                <w:lang w:val="en-AU" w:eastAsia="en-AU" w:bidi="ar-SA"/>
              </w:rPr>
              <w:tab/>
            </w:r>
            <w:r w:rsidR="00305667" w:rsidRPr="00305667">
              <w:rPr>
                <w:rStyle w:val="Hyperlink"/>
                <w:rFonts w:ascii="Arial" w:eastAsia="Times New Roman" w:hAnsi="Arial" w:cs="Arial"/>
                <w:noProof/>
                <w:kern w:val="28"/>
                <w:sz w:val="22"/>
                <w:szCs w:val="22"/>
              </w:rPr>
              <w:t>CASE STUDY: Comparison of the multisubstance - potentially affected fraction (ms-PAF) and PSII-HEq methods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_Toc502500026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59</w:t>
            </w:r>
            <w:r w:rsidR="00305667" w:rsidRPr="00305667">
              <w:rPr>
                <w:rFonts w:ascii="Arial" w:hAnsi="Arial" w:cs="Arial"/>
                <w:noProof/>
                <w:webHidden/>
                <w:sz w:val="22"/>
                <w:szCs w:val="22"/>
              </w:rPr>
              <w:fldChar w:fldCharType="end"/>
            </w:r>
          </w:hyperlink>
        </w:p>
        <w:p w14:paraId="73CEC5C0" w14:textId="1822EFB9" w:rsidR="00305667" w:rsidRPr="00305667" w:rsidRDefault="008A61E1">
          <w:pPr>
            <w:pStyle w:val="TOC1"/>
            <w:tabs>
              <w:tab w:val="left" w:pos="1320"/>
              <w:tab w:val="right" w:leader="dot" w:pos="10456"/>
            </w:tabs>
            <w:rPr>
              <w:rFonts w:ascii="Arial" w:hAnsi="Arial" w:cs="Arial"/>
              <w:b w:val="0"/>
              <w:bCs w:val="0"/>
              <w:noProof/>
              <w:sz w:val="22"/>
              <w:szCs w:val="22"/>
              <w:lang w:val="en-AU" w:eastAsia="en-AU" w:bidi="ar-SA"/>
            </w:rPr>
          </w:pPr>
          <w:hyperlink w:anchor="_Toc502500027" w:history="1">
            <w:r w:rsidR="00305667" w:rsidRPr="00305667">
              <w:rPr>
                <w:rStyle w:val="Hyperlink"/>
                <w:rFonts w:ascii="Arial" w:hAnsi="Arial" w:cs="Arial"/>
                <w:noProof/>
                <w:sz w:val="22"/>
                <w:szCs w:val="22"/>
              </w:rPr>
              <w:t>Appendix A</w:t>
            </w:r>
            <w:r w:rsidR="00305667" w:rsidRPr="00305667">
              <w:rPr>
                <w:rFonts w:ascii="Arial" w:hAnsi="Arial" w:cs="Arial"/>
                <w:b w:val="0"/>
                <w:bCs w:val="0"/>
                <w:noProof/>
                <w:sz w:val="22"/>
                <w:szCs w:val="22"/>
                <w:lang w:val="en-AU" w:eastAsia="en-AU" w:bidi="ar-SA"/>
              </w:rPr>
              <w:tab/>
            </w:r>
            <w:r w:rsidR="00305667" w:rsidRPr="00305667">
              <w:rPr>
                <w:rStyle w:val="Hyperlink"/>
                <w:rFonts w:ascii="Arial" w:hAnsi="Arial" w:cs="Arial"/>
                <w:noProof/>
                <w:sz w:val="22"/>
                <w:szCs w:val="22"/>
              </w:rPr>
              <w:t>Complete analyte list for LC-MS and GC-MS analysis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_Toc502500027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68</w:t>
            </w:r>
            <w:r w:rsidR="00305667" w:rsidRPr="00305667">
              <w:rPr>
                <w:rFonts w:ascii="Arial" w:hAnsi="Arial" w:cs="Arial"/>
                <w:noProof/>
                <w:webHidden/>
                <w:sz w:val="22"/>
                <w:szCs w:val="22"/>
              </w:rPr>
              <w:fldChar w:fldCharType="end"/>
            </w:r>
          </w:hyperlink>
        </w:p>
        <w:p w14:paraId="5E853F46" w14:textId="77B148A1" w:rsidR="00305667" w:rsidRPr="00305667" w:rsidRDefault="008A61E1">
          <w:pPr>
            <w:pStyle w:val="TOC1"/>
            <w:tabs>
              <w:tab w:val="left" w:pos="1320"/>
              <w:tab w:val="right" w:leader="dot" w:pos="10456"/>
            </w:tabs>
            <w:rPr>
              <w:rFonts w:ascii="Arial" w:hAnsi="Arial" w:cs="Arial"/>
              <w:b w:val="0"/>
              <w:bCs w:val="0"/>
              <w:noProof/>
              <w:sz w:val="22"/>
              <w:szCs w:val="22"/>
              <w:lang w:val="en-AU" w:eastAsia="en-AU" w:bidi="ar-SA"/>
            </w:rPr>
          </w:pPr>
          <w:hyperlink w:anchor="_Toc502500028" w:history="1">
            <w:r w:rsidR="00305667" w:rsidRPr="00305667">
              <w:rPr>
                <w:rStyle w:val="Hyperlink"/>
                <w:rFonts w:ascii="Arial" w:hAnsi="Arial" w:cs="Arial"/>
                <w:noProof/>
                <w:sz w:val="22"/>
                <w:szCs w:val="22"/>
              </w:rPr>
              <w:t>Appendix B</w:t>
            </w:r>
            <w:r w:rsidR="00305667" w:rsidRPr="00305667">
              <w:rPr>
                <w:rFonts w:ascii="Arial" w:hAnsi="Arial" w:cs="Arial"/>
                <w:b w:val="0"/>
                <w:bCs w:val="0"/>
                <w:noProof/>
                <w:sz w:val="22"/>
                <w:szCs w:val="22"/>
                <w:lang w:val="en-AU" w:eastAsia="en-AU" w:bidi="ar-SA"/>
              </w:rPr>
              <w:tab/>
            </w:r>
            <w:r w:rsidR="00305667" w:rsidRPr="00305667">
              <w:rPr>
                <w:rStyle w:val="Hyperlink"/>
                <w:rFonts w:ascii="Arial" w:hAnsi="Arial" w:cs="Arial"/>
                <w:noProof/>
                <w:sz w:val="22"/>
                <w:szCs w:val="22"/>
              </w:rPr>
              <w:t>Water quality guidelines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_Toc502500028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73</w:t>
            </w:r>
            <w:r w:rsidR="00305667" w:rsidRPr="00305667">
              <w:rPr>
                <w:rFonts w:ascii="Arial" w:hAnsi="Arial" w:cs="Arial"/>
                <w:noProof/>
                <w:webHidden/>
                <w:sz w:val="22"/>
                <w:szCs w:val="22"/>
              </w:rPr>
              <w:fldChar w:fldCharType="end"/>
            </w:r>
          </w:hyperlink>
        </w:p>
        <w:p w14:paraId="38D94941" w14:textId="5446A2D4" w:rsidR="00305667" w:rsidRPr="00305667" w:rsidRDefault="008A61E1">
          <w:pPr>
            <w:pStyle w:val="TOC1"/>
            <w:tabs>
              <w:tab w:val="left" w:pos="1320"/>
              <w:tab w:val="right" w:leader="dot" w:pos="10456"/>
            </w:tabs>
            <w:rPr>
              <w:rFonts w:ascii="Arial" w:hAnsi="Arial" w:cs="Arial"/>
              <w:b w:val="0"/>
              <w:bCs w:val="0"/>
              <w:noProof/>
              <w:sz w:val="22"/>
              <w:szCs w:val="22"/>
              <w:lang w:val="en-AU" w:eastAsia="en-AU" w:bidi="ar-SA"/>
            </w:rPr>
          </w:pPr>
          <w:hyperlink w:anchor="_Toc502500029" w:history="1">
            <w:r w:rsidR="00305667" w:rsidRPr="00305667">
              <w:rPr>
                <w:rStyle w:val="Hyperlink"/>
                <w:rFonts w:ascii="Arial" w:hAnsi="Arial" w:cs="Arial"/>
                <w:noProof/>
                <w:sz w:val="22"/>
                <w:szCs w:val="22"/>
              </w:rPr>
              <w:t>Appendix C</w:t>
            </w:r>
            <w:r w:rsidR="00305667" w:rsidRPr="00305667">
              <w:rPr>
                <w:rFonts w:ascii="Arial" w:hAnsi="Arial" w:cs="Arial"/>
                <w:b w:val="0"/>
                <w:bCs w:val="0"/>
                <w:noProof/>
                <w:sz w:val="22"/>
                <w:szCs w:val="22"/>
                <w:lang w:val="en-AU" w:eastAsia="en-AU" w:bidi="ar-SA"/>
              </w:rPr>
              <w:tab/>
            </w:r>
            <w:r w:rsidR="00305667" w:rsidRPr="00305667">
              <w:rPr>
                <w:rStyle w:val="Hyperlink"/>
                <w:rFonts w:ascii="Arial" w:hAnsi="Arial" w:cs="Arial"/>
                <w:noProof/>
                <w:sz w:val="22"/>
                <w:szCs w:val="22"/>
              </w:rPr>
              <w:t>Supporting literature for PSII-HEq index</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_Toc502500029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76</w:t>
            </w:r>
            <w:r w:rsidR="00305667" w:rsidRPr="00305667">
              <w:rPr>
                <w:rFonts w:ascii="Arial" w:hAnsi="Arial" w:cs="Arial"/>
                <w:noProof/>
                <w:webHidden/>
                <w:sz w:val="22"/>
                <w:szCs w:val="22"/>
              </w:rPr>
              <w:fldChar w:fldCharType="end"/>
            </w:r>
          </w:hyperlink>
        </w:p>
        <w:p w14:paraId="02DC20E1" w14:textId="58408DCA" w:rsidR="00305667" w:rsidRPr="00305667" w:rsidRDefault="008A61E1">
          <w:pPr>
            <w:pStyle w:val="TOC1"/>
            <w:tabs>
              <w:tab w:val="left" w:pos="1320"/>
              <w:tab w:val="right" w:leader="dot" w:pos="10456"/>
            </w:tabs>
            <w:rPr>
              <w:rFonts w:ascii="Arial" w:hAnsi="Arial" w:cs="Arial"/>
              <w:b w:val="0"/>
              <w:bCs w:val="0"/>
              <w:noProof/>
              <w:sz w:val="22"/>
              <w:szCs w:val="22"/>
              <w:lang w:val="en-AU" w:eastAsia="en-AU" w:bidi="ar-SA"/>
            </w:rPr>
          </w:pPr>
          <w:hyperlink w:anchor="_Toc502500030" w:history="1">
            <w:r w:rsidR="00305667" w:rsidRPr="00305667">
              <w:rPr>
                <w:rStyle w:val="Hyperlink"/>
                <w:rFonts w:ascii="Arial" w:hAnsi="Arial" w:cs="Arial"/>
                <w:noProof/>
                <w:sz w:val="22"/>
                <w:szCs w:val="22"/>
              </w:rPr>
              <w:t>Appendix D</w:t>
            </w:r>
            <w:r w:rsidR="00305667" w:rsidRPr="00305667">
              <w:rPr>
                <w:rFonts w:ascii="Arial" w:hAnsi="Arial" w:cs="Arial"/>
                <w:b w:val="0"/>
                <w:bCs w:val="0"/>
                <w:noProof/>
                <w:sz w:val="22"/>
                <w:szCs w:val="22"/>
                <w:lang w:val="en-AU" w:eastAsia="en-AU" w:bidi="ar-SA"/>
              </w:rPr>
              <w:tab/>
            </w:r>
            <w:r w:rsidR="00305667">
              <w:rPr>
                <w:rStyle w:val="Hyperlink"/>
                <w:rFonts w:ascii="Arial" w:hAnsi="Arial" w:cs="Arial"/>
                <w:noProof/>
                <w:sz w:val="22"/>
                <w:szCs w:val="22"/>
              </w:rPr>
              <w:t>Supplemental information on driver</w:t>
            </w:r>
            <w:r w:rsidR="00305667" w:rsidRPr="00305667">
              <w:rPr>
                <w:rStyle w:val="Hyperlink"/>
                <w:rFonts w:ascii="Arial" w:hAnsi="Arial" w:cs="Arial"/>
                <w:noProof/>
                <w:sz w:val="22"/>
                <w:szCs w:val="22"/>
              </w:rPr>
              <w:t>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_Toc502500030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83</w:t>
            </w:r>
            <w:r w:rsidR="00305667" w:rsidRPr="00305667">
              <w:rPr>
                <w:rFonts w:ascii="Arial" w:hAnsi="Arial" w:cs="Arial"/>
                <w:noProof/>
                <w:webHidden/>
                <w:sz w:val="22"/>
                <w:szCs w:val="22"/>
              </w:rPr>
              <w:fldChar w:fldCharType="end"/>
            </w:r>
          </w:hyperlink>
        </w:p>
        <w:p w14:paraId="51E5F82E" w14:textId="59C2FBE1" w:rsidR="00305667" w:rsidRPr="00305667" w:rsidRDefault="008A61E1">
          <w:pPr>
            <w:pStyle w:val="TOC1"/>
            <w:tabs>
              <w:tab w:val="left" w:pos="1320"/>
              <w:tab w:val="right" w:leader="dot" w:pos="10456"/>
            </w:tabs>
            <w:rPr>
              <w:rFonts w:ascii="Arial" w:hAnsi="Arial" w:cs="Arial"/>
              <w:b w:val="0"/>
              <w:bCs w:val="0"/>
              <w:noProof/>
              <w:sz w:val="22"/>
              <w:szCs w:val="22"/>
              <w:lang w:val="en-AU" w:eastAsia="en-AU" w:bidi="ar-SA"/>
            </w:rPr>
          </w:pPr>
          <w:hyperlink w:anchor="_Toc502500031" w:history="1">
            <w:r w:rsidR="00305667" w:rsidRPr="00305667">
              <w:rPr>
                <w:rStyle w:val="Hyperlink"/>
                <w:rFonts w:ascii="Arial" w:hAnsi="Arial" w:cs="Arial"/>
                <w:noProof/>
                <w:sz w:val="22"/>
                <w:szCs w:val="22"/>
              </w:rPr>
              <w:t>Appendix E</w:t>
            </w:r>
            <w:r w:rsidR="00305667" w:rsidRPr="00305667">
              <w:rPr>
                <w:rFonts w:ascii="Arial" w:hAnsi="Arial" w:cs="Arial"/>
                <w:b w:val="0"/>
                <w:bCs w:val="0"/>
                <w:noProof/>
                <w:sz w:val="22"/>
                <w:szCs w:val="22"/>
                <w:lang w:val="en-AU" w:eastAsia="en-AU" w:bidi="ar-SA"/>
              </w:rPr>
              <w:tab/>
            </w:r>
            <w:r w:rsidR="00305667" w:rsidRPr="00305667">
              <w:rPr>
                <w:rStyle w:val="Hyperlink"/>
                <w:rFonts w:ascii="Arial" w:hAnsi="Arial" w:cs="Arial"/>
                <w:noProof/>
                <w:sz w:val="22"/>
                <w:szCs w:val="22"/>
              </w:rPr>
              <w:t>Supplemental information on pressures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_Toc502500031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84</w:t>
            </w:r>
            <w:r w:rsidR="00305667" w:rsidRPr="00305667">
              <w:rPr>
                <w:rFonts w:ascii="Arial" w:hAnsi="Arial" w:cs="Arial"/>
                <w:noProof/>
                <w:webHidden/>
                <w:sz w:val="22"/>
                <w:szCs w:val="22"/>
              </w:rPr>
              <w:fldChar w:fldCharType="end"/>
            </w:r>
          </w:hyperlink>
        </w:p>
        <w:p w14:paraId="7E6EEF80" w14:textId="3B28A5EC" w:rsidR="00305667" w:rsidRPr="00305667" w:rsidRDefault="008A61E1">
          <w:pPr>
            <w:pStyle w:val="TOC1"/>
            <w:tabs>
              <w:tab w:val="left" w:pos="1320"/>
              <w:tab w:val="right" w:leader="dot" w:pos="10456"/>
            </w:tabs>
            <w:rPr>
              <w:rFonts w:ascii="Arial" w:hAnsi="Arial" w:cs="Arial"/>
              <w:b w:val="0"/>
              <w:bCs w:val="0"/>
              <w:noProof/>
              <w:sz w:val="22"/>
              <w:szCs w:val="22"/>
              <w:lang w:val="en-AU" w:eastAsia="en-AU" w:bidi="ar-SA"/>
            </w:rPr>
          </w:pPr>
          <w:hyperlink w:anchor="_Toc502500032" w:history="1">
            <w:r w:rsidR="00305667" w:rsidRPr="00305667">
              <w:rPr>
                <w:rStyle w:val="Hyperlink"/>
                <w:rFonts w:ascii="Arial" w:hAnsi="Arial" w:cs="Arial"/>
                <w:noProof/>
                <w:sz w:val="22"/>
                <w:szCs w:val="22"/>
              </w:rPr>
              <w:t>Appendix F</w:t>
            </w:r>
            <w:r w:rsidR="00305667" w:rsidRPr="00305667">
              <w:rPr>
                <w:rFonts w:ascii="Arial" w:hAnsi="Arial" w:cs="Arial"/>
                <w:b w:val="0"/>
                <w:bCs w:val="0"/>
                <w:noProof/>
                <w:sz w:val="22"/>
                <w:szCs w:val="22"/>
                <w:lang w:val="en-AU" w:eastAsia="en-AU" w:bidi="ar-SA"/>
              </w:rPr>
              <w:tab/>
            </w:r>
            <w:r w:rsidR="00305667">
              <w:rPr>
                <w:rStyle w:val="Hyperlink"/>
                <w:rFonts w:ascii="Arial" w:hAnsi="Arial" w:cs="Arial"/>
                <w:noProof/>
                <w:sz w:val="22"/>
                <w:szCs w:val="22"/>
              </w:rPr>
              <w:t xml:space="preserve">Fixed </w:t>
            </w:r>
            <w:r w:rsidR="00305667" w:rsidRPr="00305667">
              <w:rPr>
                <w:rStyle w:val="Hyperlink"/>
                <w:rFonts w:ascii="Arial" w:hAnsi="Arial" w:cs="Arial"/>
                <w:noProof/>
                <w:sz w:val="22"/>
                <w:szCs w:val="22"/>
              </w:rPr>
              <w:t xml:space="preserve">monitoring </w:t>
            </w:r>
            <w:r w:rsidR="00185EFD" w:rsidRPr="00185EFD">
              <w:rPr>
                <w:rStyle w:val="Hyperlink"/>
                <w:rFonts w:ascii="Arial" w:hAnsi="Arial" w:cs="Arial"/>
                <w:noProof/>
                <w:sz w:val="22"/>
                <w:szCs w:val="22"/>
              </w:rPr>
              <w:t>site</w:t>
            </w:r>
            <w:r w:rsidR="00185EFD">
              <w:rPr>
                <w:rStyle w:val="Hyperlink"/>
                <w:rFonts w:ascii="Arial" w:hAnsi="Arial" w:cs="Arial"/>
                <w:noProof/>
                <w:sz w:val="22"/>
                <w:szCs w:val="22"/>
              </w:rPr>
              <w:t>s</w:t>
            </w:r>
            <w:r w:rsidR="00185EFD" w:rsidRPr="00185EFD">
              <w:rPr>
                <w:rStyle w:val="Hyperlink"/>
                <w:rFonts w:ascii="Arial" w:hAnsi="Arial" w:cs="Arial"/>
                <w:noProof/>
                <w:sz w:val="22"/>
                <w:szCs w:val="22"/>
              </w:rPr>
              <w:t xml:space="preserve"> </w:t>
            </w:r>
            <w:r w:rsidR="00305667">
              <w:rPr>
                <w:rStyle w:val="Hyperlink"/>
                <w:rFonts w:ascii="Arial" w:hAnsi="Arial" w:cs="Arial"/>
                <w:noProof/>
                <w:sz w:val="22"/>
                <w:szCs w:val="22"/>
              </w:rPr>
              <w:t>-</w:t>
            </w:r>
            <w:r w:rsidR="00305667" w:rsidRPr="00305667">
              <w:rPr>
                <w:rStyle w:val="Hyperlink"/>
                <w:rFonts w:ascii="Arial" w:hAnsi="Arial" w:cs="Arial"/>
                <w:noProof/>
                <w:sz w:val="22"/>
                <w:szCs w:val="22"/>
              </w:rPr>
              <w:t xml:space="preserve"> sampler returns and individual site results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_Toc502500032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90</w:t>
            </w:r>
            <w:r w:rsidR="00305667" w:rsidRPr="00305667">
              <w:rPr>
                <w:rFonts w:ascii="Arial" w:hAnsi="Arial" w:cs="Arial"/>
                <w:noProof/>
                <w:webHidden/>
                <w:sz w:val="22"/>
                <w:szCs w:val="22"/>
              </w:rPr>
              <w:fldChar w:fldCharType="end"/>
            </w:r>
          </w:hyperlink>
        </w:p>
        <w:p w14:paraId="00E6FCD6" w14:textId="006D15BC" w:rsidR="00305667" w:rsidRPr="00305667" w:rsidRDefault="008A61E1">
          <w:pPr>
            <w:pStyle w:val="TOC1"/>
            <w:tabs>
              <w:tab w:val="left" w:pos="1320"/>
              <w:tab w:val="right" w:leader="dot" w:pos="10456"/>
            </w:tabs>
            <w:rPr>
              <w:rFonts w:ascii="Arial" w:hAnsi="Arial" w:cs="Arial"/>
              <w:b w:val="0"/>
              <w:bCs w:val="0"/>
              <w:noProof/>
              <w:sz w:val="22"/>
              <w:szCs w:val="22"/>
              <w:lang w:val="en-AU" w:eastAsia="en-AU" w:bidi="ar-SA"/>
            </w:rPr>
          </w:pPr>
          <w:hyperlink w:anchor="_Toc502500033" w:history="1">
            <w:r w:rsidR="00305667" w:rsidRPr="00305667">
              <w:rPr>
                <w:rStyle w:val="Hyperlink"/>
                <w:rFonts w:ascii="Arial" w:hAnsi="Arial" w:cs="Arial"/>
                <w:noProof/>
                <w:sz w:val="22"/>
                <w:szCs w:val="22"/>
              </w:rPr>
              <w:t>Appendix G</w:t>
            </w:r>
            <w:r w:rsidR="00305667" w:rsidRPr="00305667">
              <w:rPr>
                <w:rFonts w:ascii="Arial" w:hAnsi="Arial" w:cs="Arial"/>
                <w:b w:val="0"/>
                <w:bCs w:val="0"/>
                <w:noProof/>
                <w:sz w:val="22"/>
                <w:szCs w:val="22"/>
                <w:lang w:val="en-AU" w:eastAsia="en-AU" w:bidi="ar-SA"/>
              </w:rPr>
              <w:tab/>
            </w:r>
            <w:r w:rsidR="00305667" w:rsidRPr="00305667">
              <w:rPr>
                <w:rStyle w:val="Hyperlink"/>
                <w:rFonts w:ascii="Arial" w:hAnsi="Arial" w:cs="Arial"/>
                <w:noProof/>
                <w:sz w:val="22"/>
                <w:szCs w:val="22"/>
              </w:rPr>
              <w:t>Terrestrial run-off assessment results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_Toc502500033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104</w:t>
            </w:r>
            <w:r w:rsidR="00305667" w:rsidRPr="00305667">
              <w:rPr>
                <w:rFonts w:ascii="Arial" w:hAnsi="Arial" w:cs="Arial"/>
                <w:noProof/>
                <w:webHidden/>
                <w:sz w:val="22"/>
                <w:szCs w:val="22"/>
              </w:rPr>
              <w:fldChar w:fldCharType="end"/>
            </w:r>
          </w:hyperlink>
        </w:p>
        <w:p w14:paraId="387E509F" w14:textId="37145A52" w:rsidR="00305667" w:rsidRPr="00305667" w:rsidRDefault="008A61E1">
          <w:pPr>
            <w:pStyle w:val="TOC1"/>
            <w:tabs>
              <w:tab w:val="left" w:pos="1320"/>
              <w:tab w:val="right" w:leader="dot" w:pos="10456"/>
            </w:tabs>
            <w:rPr>
              <w:rFonts w:ascii="Arial" w:hAnsi="Arial" w:cs="Arial"/>
              <w:b w:val="0"/>
              <w:bCs w:val="0"/>
              <w:noProof/>
              <w:sz w:val="22"/>
              <w:szCs w:val="22"/>
              <w:lang w:val="en-AU" w:eastAsia="en-AU" w:bidi="ar-SA"/>
            </w:rPr>
          </w:pPr>
          <w:hyperlink w:anchor="_Toc502500034" w:history="1">
            <w:r w:rsidR="00305667" w:rsidRPr="00305667">
              <w:rPr>
                <w:rStyle w:val="Hyperlink"/>
                <w:rFonts w:ascii="Arial" w:hAnsi="Arial" w:cs="Arial"/>
                <w:noProof/>
                <w:sz w:val="22"/>
                <w:szCs w:val="22"/>
              </w:rPr>
              <w:t>Appendix H</w:t>
            </w:r>
            <w:r w:rsidR="00305667" w:rsidRPr="00305667">
              <w:rPr>
                <w:rFonts w:ascii="Arial" w:hAnsi="Arial" w:cs="Arial"/>
                <w:b w:val="0"/>
                <w:bCs w:val="0"/>
                <w:noProof/>
                <w:sz w:val="22"/>
                <w:szCs w:val="22"/>
                <w:lang w:val="en-AU" w:eastAsia="en-AU" w:bidi="ar-SA"/>
              </w:rPr>
              <w:tab/>
            </w:r>
            <w:r w:rsidR="00305667" w:rsidRPr="00305667">
              <w:rPr>
                <w:rStyle w:val="Hyperlink"/>
                <w:rFonts w:ascii="Arial" w:hAnsi="Arial" w:cs="Arial"/>
                <w:noProof/>
                <w:sz w:val="22"/>
                <w:szCs w:val="22"/>
              </w:rPr>
              <w:t>Mean flow rates, PSII-HEq of passive samplers and plume colour class of major rivers</w:t>
            </w:r>
            <w:r w:rsidR="00305667" w:rsidRPr="00305667">
              <w:rPr>
                <w:rFonts w:ascii="Arial" w:hAnsi="Arial" w:cs="Arial"/>
                <w:noProof/>
                <w:webHidden/>
                <w:sz w:val="22"/>
                <w:szCs w:val="22"/>
              </w:rPr>
              <w:tab/>
              <w:t>………………………………………………………………………………………………………</w:t>
            </w:r>
            <w:r w:rsidR="00305667">
              <w:rPr>
                <w:rFonts w:ascii="Arial" w:hAnsi="Arial" w:cs="Arial"/>
                <w:noProof/>
                <w:webHidden/>
                <w:sz w:val="22"/>
                <w:szCs w:val="22"/>
              </w:rPr>
              <w:t xml:space="preserve">.. </w:t>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_Toc502500034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105</w:t>
            </w:r>
            <w:r w:rsidR="00305667" w:rsidRPr="00305667">
              <w:rPr>
                <w:rFonts w:ascii="Arial" w:hAnsi="Arial" w:cs="Arial"/>
                <w:noProof/>
                <w:webHidden/>
                <w:sz w:val="22"/>
                <w:szCs w:val="22"/>
              </w:rPr>
              <w:fldChar w:fldCharType="end"/>
            </w:r>
          </w:hyperlink>
        </w:p>
        <w:p w14:paraId="60E7A40D" w14:textId="11DBD379" w:rsidR="00305667" w:rsidRPr="00305667" w:rsidRDefault="008A61E1">
          <w:pPr>
            <w:pStyle w:val="TOC1"/>
            <w:tabs>
              <w:tab w:val="left" w:pos="1320"/>
              <w:tab w:val="right" w:leader="dot" w:pos="10456"/>
            </w:tabs>
            <w:rPr>
              <w:rFonts w:ascii="Arial" w:hAnsi="Arial" w:cs="Arial"/>
              <w:b w:val="0"/>
              <w:bCs w:val="0"/>
              <w:noProof/>
              <w:sz w:val="22"/>
              <w:szCs w:val="22"/>
              <w:lang w:val="en-AU" w:eastAsia="en-AU" w:bidi="ar-SA"/>
            </w:rPr>
          </w:pPr>
          <w:hyperlink w:anchor="_Toc502500035" w:history="1">
            <w:r w:rsidR="00305667" w:rsidRPr="00305667">
              <w:rPr>
                <w:rStyle w:val="Hyperlink"/>
                <w:rFonts w:ascii="Arial" w:hAnsi="Arial" w:cs="Arial"/>
                <w:noProof/>
                <w:sz w:val="22"/>
                <w:szCs w:val="22"/>
              </w:rPr>
              <w:t>Appendix I</w:t>
            </w:r>
            <w:r w:rsidR="00305667" w:rsidRPr="00305667">
              <w:rPr>
                <w:rFonts w:ascii="Arial" w:hAnsi="Arial" w:cs="Arial"/>
                <w:b w:val="0"/>
                <w:bCs w:val="0"/>
                <w:noProof/>
                <w:sz w:val="22"/>
                <w:szCs w:val="22"/>
                <w:lang w:val="en-AU" w:eastAsia="en-AU" w:bidi="ar-SA"/>
              </w:rPr>
              <w:tab/>
            </w:r>
            <w:r w:rsidR="00305667" w:rsidRPr="00305667">
              <w:rPr>
                <w:rStyle w:val="Hyperlink"/>
                <w:rFonts w:ascii="Arial" w:hAnsi="Arial" w:cs="Arial"/>
                <w:noProof/>
                <w:sz w:val="22"/>
                <w:szCs w:val="22"/>
              </w:rPr>
              <w:t xml:space="preserve">Historical concentration profiles at </w:t>
            </w:r>
            <w:r w:rsidR="00185EFD">
              <w:rPr>
                <w:rStyle w:val="Hyperlink"/>
                <w:rFonts w:ascii="Arial" w:hAnsi="Arial" w:cs="Arial"/>
                <w:noProof/>
                <w:sz w:val="22"/>
                <w:szCs w:val="22"/>
              </w:rPr>
              <w:t>fixed</w:t>
            </w:r>
            <w:r w:rsidR="00305667" w:rsidRPr="00305667">
              <w:rPr>
                <w:rStyle w:val="Hyperlink"/>
                <w:rFonts w:ascii="Arial" w:hAnsi="Arial" w:cs="Arial"/>
                <w:noProof/>
                <w:sz w:val="22"/>
                <w:szCs w:val="22"/>
              </w:rPr>
              <w:t xml:space="preserve"> monitoring sites</w:t>
            </w:r>
            <w:r w:rsidR="00305667" w:rsidRPr="00305667">
              <w:rPr>
                <w:rFonts w:ascii="Arial" w:hAnsi="Arial" w:cs="Arial"/>
                <w:noProof/>
                <w:webHidden/>
                <w:sz w:val="22"/>
                <w:szCs w:val="22"/>
              </w:rPr>
              <w:tab/>
            </w:r>
            <w:r w:rsidR="00305667" w:rsidRPr="00305667">
              <w:rPr>
                <w:rFonts w:ascii="Arial" w:hAnsi="Arial" w:cs="Arial"/>
                <w:noProof/>
                <w:webHidden/>
                <w:sz w:val="22"/>
                <w:szCs w:val="22"/>
              </w:rPr>
              <w:fldChar w:fldCharType="begin"/>
            </w:r>
            <w:r w:rsidR="00305667" w:rsidRPr="00305667">
              <w:rPr>
                <w:rFonts w:ascii="Arial" w:hAnsi="Arial" w:cs="Arial"/>
                <w:noProof/>
                <w:webHidden/>
                <w:sz w:val="22"/>
                <w:szCs w:val="22"/>
              </w:rPr>
              <w:instrText xml:space="preserve"> PAGEREF _Toc502500035 \h </w:instrText>
            </w:r>
            <w:r w:rsidR="00305667" w:rsidRPr="00305667">
              <w:rPr>
                <w:rFonts w:ascii="Arial" w:hAnsi="Arial" w:cs="Arial"/>
                <w:noProof/>
                <w:webHidden/>
                <w:sz w:val="22"/>
                <w:szCs w:val="22"/>
              </w:rPr>
            </w:r>
            <w:r w:rsidR="00305667" w:rsidRPr="00305667">
              <w:rPr>
                <w:rFonts w:ascii="Arial" w:hAnsi="Arial" w:cs="Arial"/>
                <w:noProof/>
                <w:webHidden/>
                <w:sz w:val="22"/>
                <w:szCs w:val="22"/>
              </w:rPr>
              <w:fldChar w:fldCharType="separate"/>
            </w:r>
            <w:r w:rsidR="00D12276">
              <w:rPr>
                <w:rFonts w:ascii="Arial" w:hAnsi="Arial" w:cs="Arial"/>
                <w:noProof/>
                <w:webHidden/>
                <w:sz w:val="22"/>
                <w:szCs w:val="22"/>
              </w:rPr>
              <w:t>116</w:t>
            </w:r>
            <w:r w:rsidR="00305667" w:rsidRPr="00305667">
              <w:rPr>
                <w:rFonts w:ascii="Arial" w:hAnsi="Arial" w:cs="Arial"/>
                <w:noProof/>
                <w:webHidden/>
                <w:sz w:val="22"/>
                <w:szCs w:val="22"/>
              </w:rPr>
              <w:fldChar w:fldCharType="end"/>
            </w:r>
          </w:hyperlink>
        </w:p>
        <w:p w14:paraId="15720BDF" w14:textId="36A5BEA5" w:rsidR="00C34E72" w:rsidRPr="00035468" w:rsidRDefault="00C91BF5" w:rsidP="00015606">
          <w:pPr>
            <w:spacing w:line="276" w:lineRule="auto"/>
            <w:rPr>
              <w:rFonts w:cs="Arial"/>
            </w:rPr>
          </w:pPr>
          <w:r w:rsidRPr="00305667">
            <w:rPr>
              <w:rFonts w:cs="Arial"/>
              <w:bCs/>
            </w:rPr>
            <w:fldChar w:fldCharType="end"/>
          </w:r>
        </w:p>
      </w:sdtContent>
    </w:sdt>
    <w:p w14:paraId="15720BE0" w14:textId="77777777" w:rsidR="002B1A9C" w:rsidRDefault="002B1A9C" w:rsidP="00015606">
      <w:pPr>
        <w:tabs>
          <w:tab w:val="left" w:pos="4993"/>
        </w:tabs>
        <w:spacing w:line="276" w:lineRule="auto"/>
        <w:outlineLvl w:val="0"/>
        <w:rPr>
          <w:rFonts w:cs="Arial"/>
          <w:lang w:val="en-AU"/>
        </w:rPr>
      </w:pPr>
    </w:p>
    <w:p w14:paraId="15720BE1" w14:textId="77777777" w:rsidR="00C34E72" w:rsidRDefault="0059608E" w:rsidP="00015606">
      <w:pPr>
        <w:tabs>
          <w:tab w:val="left" w:pos="4993"/>
        </w:tabs>
        <w:spacing w:line="276" w:lineRule="auto"/>
        <w:outlineLvl w:val="0"/>
        <w:rPr>
          <w:rFonts w:cs="Arial"/>
          <w:lang w:val="en-AU"/>
        </w:rPr>
      </w:pPr>
      <w:r w:rsidRPr="00B675D3">
        <w:rPr>
          <w:rFonts w:cs="Arial"/>
          <w:lang w:val="en-AU"/>
        </w:rPr>
        <w:br w:type="page"/>
      </w:r>
    </w:p>
    <w:p w14:paraId="15720BE2" w14:textId="77777777" w:rsidR="004C0824" w:rsidRPr="005D67BA" w:rsidRDefault="004C0824" w:rsidP="004C0824">
      <w:pPr>
        <w:spacing w:after="360"/>
        <w:jc w:val="center"/>
        <w:rPr>
          <w:rFonts w:eastAsia="Times New Roman" w:cs="Arial"/>
          <w:b/>
          <w:color w:val="0070C0"/>
          <w:sz w:val="36"/>
          <w:szCs w:val="36"/>
          <w:lang w:val="en-GB" w:bidi="ar-SA"/>
        </w:rPr>
      </w:pPr>
      <w:bookmarkStart w:id="2" w:name="_Toc437424397"/>
      <w:bookmarkStart w:id="3" w:name="_Toc437424521"/>
      <w:bookmarkStart w:id="4" w:name="_Ref437429116"/>
      <w:bookmarkStart w:id="5" w:name="_Toc437432451"/>
      <w:bookmarkStart w:id="6" w:name="_Toc437432524"/>
      <w:r w:rsidRPr="005D67BA">
        <w:rPr>
          <w:rFonts w:eastAsia="Times New Roman" w:cs="Arial"/>
          <w:b/>
          <w:color w:val="0070C0"/>
          <w:sz w:val="36"/>
          <w:szCs w:val="36"/>
          <w:lang w:val="en-GB" w:bidi="ar-SA"/>
        </w:rPr>
        <w:lastRenderedPageBreak/>
        <w:t>List of Figures and Tables</w:t>
      </w:r>
      <w:bookmarkEnd w:id="2"/>
      <w:bookmarkEnd w:id="3"/>
      <w:bookmarkEnd w:id="4"/>
      <w:bookmarkEnd w:id="5"/>
      <w:bookmarkEnd w:id="6"/>
    </w:p>
    <w:p w14:paraId="3637DB40" w14:textId="7072FAB1" w:rsidR="00305667" w:rsidRDefault="00C91BF5"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r w:rsidRPr="00E546FA">
        <w:rPr>
          <w:lang w:val="en-AU"/>
        </w:rPr>
        <w:fldChar w:fldCharType="begin"/>
      </w:r>
      <w:r w:rsidR="0059608E" w:rsidRPr="00E546FA">
        <w:rPr>
          <w:lang w:val="en-AU"/>
        </w:rPr>
        <w:instrText xml:space="preserve"> TOC \h \z \c "Figure" </w:instrText>
      </w:r>
      <w:r w:rsidRPr="00E546FA">
        <w:rPr>
          <w:lang w:val="en-AU"/>
        </w:rPr>
        <w:fldChar w:fldCharType="separate"/>
      </w:r>
      <w:hyperlink w:anchor="_Toc502499931" w:history="1">
        <w:r w:rsidR="00305667" w:rsidRPr="00573837">
          <w:rPr>
            <w:rStyle w:val="Hyperlink"/>
            <w:noProof/>
          </w:rPr>
          <w:t>Figure 1: Locations of current inshore Reef fixed monitoring sites where time-integrated sampling of pesticides occurred in 2015-16. Sites are overlaid on the 2015-16 flood plume frequency map (for more information see Section 3.5.5). Grey triangles indicate towns. (Source – Dieter Tracy, James Cook University)</w:t>
        </w:r>
        <w:r w:rsidR="00305667">
          <w:rPr>
            <w:noProof/>
            <w:webHidden/>
          </w:rPr>
          <w:tab/>
        </w:r>
        <w:r w:rsidR="00305667">
          <w:rPr>
            <w:noProof/>
            <w:webHidden/>
          </w:rPr>
          <w:fldChar w:fldCharType="begin"/>
        </w:r>
        <w:r w:rsidR="00305667">
          <w:rPr>
            <w:noProof/>
            <w:webHidden/>
          </w:rPr>
          <w:instrText xml:space="preserve"> PAGEREF _Toc502499931 \h </w:instrText>
        </w:r>
        <w:r w:rsidR="00305667">
          <w:rPr>
            <w:noProof/>
            <w:webHidden/>
          </w:rPr>
        </w:r>
        <w:r w:rsidR="00305667">
          <w:rPr>
            <w:noProof/>
            <w:webHidden/>
          </w:rPr>
          <w:fldChar w:fldCharType="separate"/>
        </w:r>
        <w:r w:rsidR="00D12276">
          <w:rPr>
            <w:noProof/>
            <w:webHidden/>
          </w:rPr>
          <w:t>18</w:t>
        </w:r>
        <w:r w:rsidR="00305667">
          <w:rPr>
            <w:noProof/>
            <w:webHidden/>
          </w:rPr>
          <w:fldChar w:fldCharType="end"/>
        </w:r>
      </w:hyperlink>
    </w:p>
    <w:p w14:paraId="17E307A9" w14:textId="488BA6B6"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32" w:history="1">
        <w:r w:rsidR="00305667" w:rsidRPr="00573837">
          <w:rPr>
            <w:rStyle w:val="Hyperlink"/>
            <w:noProof/>
          </w:rPr>
          <w:t>Figure 2: Locations of grab (flood plume monitoring) and passive samplers (fixed monitoring) collected on the (A) Russell-Mulgrave River transect, (B) Tully River transect, and (C) Barratta Creek/Burdekin River region. Sampling sites are overlaid on a colour-scale representing the frequency of flood plumes for 2003-2016. The water quality/coral/seagrass sites relate to other MMP program monitoring sites (see (McKenzie et al., 2017, Thompson et al., 2017, Waterhouse et al., 2017b). Maps provided by Dieter Tracey, James Cook University (JCU).</w:t>
        </w:r>
        <w:r w:rsidR="00305667">
          <w:rPr>
            <w:noProof/>
            <w:webHidden/>
          </w:rPr>
          <w:tab/>
        </w:r>
        <w:r w:rsidR="00305667">
          <w:rPr>
            <w:noProof/>
            <w:webHidden/>
          </w:rPr>
          <w:fldChar w:fldCharType="begin"/>
        </w:r>
        <w:r w:rsidR="00305667">
          <w:rPr>
            <w:noProof/>
            <w:webHidden/>
          </w:rPr>
          <w:instrText xml:space="preserve"> PAGEREF _Toc502499932 \h </w:instrText>
        </w:r>
        <w:r w:rsidR="00305667">
          <w:rPr>
            <w:noProof/>
            <w:webHidden/>
          </w:rPr>
        </w:r>
        <w:r w:rsidR="00305667">
          <w:rPr>
            <w:noProof/>
            <w:webHidden/>
          </w:rPr>
          <w:fldChar w:fldCharType="separate"/>
        </w:r>
        <w:r w:rsidR="00D12276">
          <w:rPr>
            <w:noProof/>
            <w:webHidden/>
          </w:rPr>
          <w:t>20</w:t>
        </w:r>
        <w:r w:rsidR="00305667">
          <w:rPr>
            <w:noProof/>
            <w:webHidden/>
          </w:rPr>
          <w:fldChar w:fldCharType="end"/>
        </w:r>
      </w:hyperlink>
    </w:p>
    <w:p w14:paraId="7BA996F6" w14:textId="0195F83B"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33" w:history="1">
        <w:r w:rsidR="00305667" w:rsidRPr="00573837">
          <w:rPr>
            <w:rStyle w:val="Hyperlink"/>
            <w:noProof/>
          </w:rPr>
          <w:t>Figure 3: DPSIR framework used to guide the structure of the MMP, derived from the 2015 Great Barrier Reef Strategic Assessment (figure modified from Waterhouse et al. (2017b)). The aspects highlighted in yellow are included in this report.</w:t>
        </w:r>
        <w:r w:rsidR="00305667">
          <w:rPr>
            <w:noProof/>
            <w:webHidden/>
          </w:rPr>
          <w:tab/>
        </w:r>
        <w:r w:rsidR="00305667">
          <w:rPr>
            <w:noProof/>
            <w:webHidden/>
          </w:rPr>
          <w:fldChar w:fldCharType="begin"/>
        </w:r>
        <w:r w:rsidR="00305667">
          <w:rPr>
            <w:noProof/>
            <w:webHidden/>
          </w:rPr>
          <w:instrText xml:space="preserve"> PAGEREF _Toc502499933 \h </w:instrText>
        </w:r>
        <w:r w:rsidR="00305667">
          <w:rPr>
            <w:noProof/>
            <w:webHidden/>
          </w:rPr>
        </w:r>
        <w:r w:rsidR="00305667">
          <w:rPr>
            <w:noProof/>
            <w:webHidden/>
          </w:rPr>
          <w:fldChar w:fldCharType="separate"/>
        </w:r>
        <w:r w:rsidR="00D12276">
          <w:rPr>
            <w:noProof/>
            <w:webHidden/>
          </w:rPr>
          <w:t>28</w:t>
        </w:r>
        <w:r w:rsidR="00305667">
          <w:rPr>
            <w:noProof/>
            <w:webHidden/>
          </w:rPr>
          <w:fldChar w:fldCharType="end"/>
        </w:r>
      </w:hyperlink>
    </w:p>
    <w:p w14:paraId="341160E4" w14:textId="698AE977"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34" w:history="1">
        <w:r w:rsidR="00305667" w:rsidRPr="00573837">
          <w:rPr>
            <w:rStyle w:val="Hyperlink"/>
            <w:noProof/>
          </w:rPr>
          <w:t>Figure 4: Land use in the Reef catchments. Sourced from GBRMPA (2014)</w:t>
        </w:r>
        <w:r w:rsidR="00305667">
          <w:rPr>
            <w:noProof/>
            <w:webHidden/>
          </w:rPr>
          <w:tab/>
        </w:r>
        <w:r w:rsidR="00305667">
          <w:rPr>
            <w:noProof/>
            <w:webHidden/>
          </w:rPr>
          <w:fldChar w:fldCharType="begin"/>
        </w:r>
        <w:r w:rsidR="00305667">
          <w:rPr>
            <w:noProof/>
            <w:webHidden/>
          </w:rPr>
          <w:instrText xml:space="preserve"> PAGEREF _Toc502499934 \h </w:instrText>
        </w:r>
        <w:r w:rsidR="00305667">
          <w:rPr>
            <w:noProof/>
            <w:webHidden/>
          </w:rPr>
        </w:r>
        <w:r w:rsidR="00305667">
          <w:rPr>
            <w:noProof/>
            <w:webHidden/>
          </w:rPr>
          <w:fldChar w:fldCharType="separate"/>
        </w:r>
        <w:r w:rsidR="00D12276">
          <w:rPr>
            <w:noProof/>
            <w:webHidden/>
          </w:rPr>
          <w:t>29</w:t>
        </w:r>
        <w:r w:rsidR="00305667">
          <w:rPr>
            <w:noProof/>
            <w:webHidden/>
          </w:rPr>
          <w:fldChar w:fldCharType="end"/>
        </w:r>
      </w:hyperlink>
    </w:p>
    <w:p w14:paraId="19BED8AE" w14:textId="31E6F7B2"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35" w:history="1">
        <w:r w:rsidR="00305667" w:rsidRPr="00573837">
          <w:rPr>
            <w:rStyle w:val="Hyperlink"/>
            <w:noProof/>
          </w:rPr>
          <w:t xml:space="preserve">Figure 5:  Annual average wet season rainfall (December 2015 - April 2016), as compared to the long-term wet season rainfall average (1961 – 1990). </w:t>
        </w:r>
        <w:r w:rsidR="00305667" w:rsidRPr="00573837">
          <w:rPr>
            <w:rStyle w:val="Hyperlink"/>
            <w:rFonts w:eastAsiaTheme="majorEastAsia"/>
            <w:noProof/>
            <w:u w:color="9BBB59" w:themeColor="accent3"/>
          </w:rPr>
          <w:t>Red bars denote catchments with rainfall below the long-term average, blue above the long-term average. Source Waterhouse et al. (2017b)</w:t>
        </w:r>
        <w:r w:rsidR="00305667">
          <w:rPr>
            <w:noProof/>
            <w:webHidden/>
          </w:rPr>
          <w:tab/>
        </w:r>
        <w:r w:rsidR="00305667">
          <w:rPr>
            <w:noProof/>
            <w:webHidden/>
          </w:rPr>
          <w:fldChar w:fldCharType="begin"/>
        </w:r>
        <w:r w:rsidR="00305667">
          <w:rPr>
            <w:noProof/>
            <w:webHidden/>
          </w:rPr>
          <w:instrText xml:space="preserve"> PAGEREF _Toc502499935 \h </w:instrText>
        </w:r>
        <w:r w:rsidR="00305667">
          <w:rPr>
            <w:noProof/>
            <w:webHidden/>
          </w:rPr>
        </w:r>
        <w:r w:rsidR="00305667">
          <w:rPr>
            <w:noProof/>
            <w:webHidden/>
          </w:rPr>
          <w:fldChar w:fldCharType="separate"/>
        </w:r>
        <w:r w:rsidR="00D12276">
          <w:rPr>
            <w:noProof/>
            <w:webHidden/>
          </w:rPr>
          <w:t>30</w:t>
        </w:r>
        <w:r w:rsidR="00305667">
          <w:rPr>
            <w:noProof/>
            <w:webHidden/>
          </w:rPr>
          <w:fldChar w:fldCharType="end"/>
        </w:r>
      </w:hyperlink>
    </w:p>
    <w:p w14:paraId="498B5A7C" w14:textId="49A60DBD"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36" w:history="1">
        <w:r w:rsidR="00305667" w:rsidRPr="00573837">
          <w:rPr>
            <w:rStyle w:val="Hyperlink"/>
            <w:noProof/>
          </w:rPr>
          <w:t>Figure 6: Long-term total annual discharge in mega litres (ML) (hydrological year: 1 October to 30 September) for the 35 main Reef river catchments. Data derived from DNRM http://watermonitoring.dnrm.qld.gov.au/host.htm and raw gauge discharge data were corrected by Waterhouse et al. (2017b) to account for different placement position of gauges within each catchment. Figure reproduced from Waterhouse et al. (2017b).</w:t>
        </w:r>
        <w:r w:rsidR="00305667">
          <w:rPr>
            <w:noProof/>
            <w:webHidden/>
          </w:rPr>
          <w:tab/>
        </w:r>
        <w:r w:rsidR="00305667">
          <w:rPr>
            <w:noProof/>
            <w:webHidden/>
          </w:rPr>
          <w:fldChar w:fldCharType="begin"/>
        </w:r>
        <w:r w:rsidR="00305667">
          <w:rPr>
            <w:noProof/>
            <w:webHidden/>
          </w:rPr>
          <w:instrText xml:space="preserve"> PAGEREF _Toc502499936 \h </w:instrText>
        </w:r>
        <w:r w:rsidR="00305667">
          <w:rPr>
            <w:noProof/>
            <w:webHidden/>
          </w:rPr>
        </w:r>
        <w:r w:rsidR="00305667">
          <w:rPr>
            <w:noProof/>
            <w:webHidden/>
          </w:rPr>
          <w:fldChar w:fldCharType="separate"/>
        </w:r>
        <w:r w:rsidR="00D12276">
          <w:rPr>
            <w:noProof/>
            <w:webHidden/>
          </w:rPr>
          <w:t>32</w:t>
        </w:r>
        <w:r w:rsidR="00305667">
          <w:rPr>
            <w:noProof/>
            <w:webHidden/>
          </w:rPr>
          <w:fldChar w:fldCharType="end"/>
        </w:r>
      </w:hyperlink>
    </w:p>
    <w:p w14:paraId="021B27A2" w14:textId="0BBBE4E4"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37" w:history="1">
        <w:r w:rsidR="00305667" w:rsidRPr="00573837">
          <w:rPr>
            <w:rStyle w:val="Hyperlink"/>
            <w:bCs/>
            <w:noProof/>
          </w:rPr>
          <w:t>Figure 7: Corrected annual discharge from each NRM region for 2002-2003 to 2015-16 in millions of megalitres (ML) per year. Data derived from DNRM http://watermonitoring.dnrm.qld.gov.au/host.htm and figure reproduced from Waterhouse et al. (2017b).</w:t>
        </w:r>
        <w:r w:rsidR="00305667">
          <w:rPr>
            <w:noProof/>
            <w:webHidden/>
          </w:rPr>
          <w:tab/>
        </w:r>
        <w:r w:rsidR="00305667">
          <w:rPr>
            <w:noProof/>
            <w:webHidden/>
          </w:rPr>
          <w:fldChar w:fldCharType="begin"/>
        </w:r>
        <w:r w:rsidR="00305667">
          <w:rPr>
            <w:noProof/>
            <w:webHidden/>
          </w:rPr>
          <w:instrText xml:space="preserve"> PAGEREF _Toc502499937 \h </w:instrText>
        </w:r>
        <w:r w:rsidR="00305667">
          <w:rPr>
            <w:noProof/>
            <w:webHidden/>
          </w:rPr>
        </w:r>
        <w:r w:rsidR="00305667">
          <w:rPr>
            <w:noProof/>
            <w:webHidden/>
          </w:rPr>
          <w:fldChar w:fldCharType="separate"/>
        </w:r>
        <w:r w:rsidR="00D12276">
          <w:rPr>
            <w:noProof/>
            <w:webHidden/>
          </w:rPr>
          <w:t>33</w:t>
        </w:r>
        <w:r w:rsidR="00305667">
          <w:rPr>
            <w:noProof/>
            <w:webHidden/>
          </w:rPr>
          <w:fldChar w:fldCharType="end"/>
        </w:r>
      </w:hyperlink>
    </w:p>
    <w:p w14:paraId="66CC2A7F" w14:textId="32AFA11E"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38" w:history="1">
        <w:r w:rsidR="00305667" w:rsidRPr="00573837">
          <w:rPr>
            <w:rStyle w:val="Hyperlink"/>
            <w:noProof/>
          </w:rPr>
          <w:t>Figure 8: Number of ED and PDMS samplers that had measurable pesticide levels (i.e. above the limit of detection, LOD) for each pesticide included in this study, out of a total of 68 ED samplers and 13 PDMS samplers returned in 2015-16 (Table F-1, Appendix F).</w:t>
        </w:r>
        <w:r w:rsidR="00305667">
          <w:rPr>
            <w:noProof/>
            <w:webHidden/>
          </w:rPr>
          <w:tab/>
        </w:r>
        <w:r w:rsidR="00305667">
          <w:rPr>
            <w:noProof/>
            <w:webHidden/>
          </w:rPr>
          <w:fldChar w:fldCharType="begin"/>
        </w:r>
        <w:r w:rsidR="00305667">
          <w:rPr>
            <w:noProof/>
            <w:webHidden/>
          </w:rPr>
          <w:instrText xml:space="preserve"> PAGEREF _Toc502499938 \h </w:instrText>
        </w:r>
        <w:r w:rsidR="00305667">
          <w:rPr>
            <w:noProof/>
            <w:webHidden/>
          </w:rPr>
        </w:r>
        <w:r w:rsidR="00305667">
          <w:rPr>
            <w:noProof/>
            <w:webHidden/>
          </w:rPr>
          <w:fldChar w:fldCharType="separate"/>
        </w:r>
        <w:r w:rsidR="00D12276">
          <w:rPr>
            <w:noProof/>
            <w:webHidden/>
          </w:rPr>
          <w:t>35</w:t>
        </w:r>
        <w:r w:rsidR="00305667">
          <w:rPr>
            <w:noProof/>
            <w:webHidden/>
          </w:rPr>
          <w:fldChar w:fldCharType="end"/>
        </w:r>
      </w:hyperlink>
    </w:p>
    <w:p w14:paraId="41873044" w14:textId="1E685883"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39" w:history="1">
        <w:r w:rsidR="00305667" w:rsidRPr="00573837">
          <w:rPr>
            <w:rStyle w:val="Hyperlink"/>
            <w:noProof/>
          </w:rPr>
          <w:t>Figure 9: Relative contribution of each pesticide to the maximum water concentration at all sites monitored in 2015–16 compared to previous years (2008-09 onwards). Diuron dominated the profile at most sites, the exceptions being Barratta Creek mouth (atrazine was the highest contributor) and North Keppel Island (tebuthiuron was the highest contributor).</w:t>
        </w:r>
        <w:r w:rsidR="00305667">
          <w:rPr>
            <w:noProof/>
            <w:webHidden/>
          </w:rPr>
          <w:tab/>
        </w:r>
        <w:r w:rsidR="00305667">
          <w:rPr>
            <w:noProof/>
            <w:webHidden/>
          </w:rPr>
          <w:fldChar w:fldCharType="begin"/>
        </w:r>
        <w:r w:rsidR="00305667">
          <w:rPr>
            <w:noProof/>
            <w:webHidden/>
          </w:rPr>
          <w:instrText xml:space="preserve"> PAGEREF _Toc502499939 \h </w:instrText>
        </w:r>
        <w:r w:rsidR="00305667">
          <w:rPr>
            <w:noProof/>
            <w:webHidden/>
          </w:rPr>
        </w:r>
        <w:r w:rsidR="00305667">
          <w:rPr>
            <w:noProof/>
            <w:webHidden/>
          </w:rPr>
          <w:fldChar w:fldCharType="separate"/>
        </w:r>
        <w:r w:rsidR="00D12276">
          <w:rPr>
            <w:noProof/>
            <w:webHidden/>
          </w:rPr>
          <w:t>38</w:t>
        </w:r>
        <w:r w:rsidR="00305667">
          <w:rPr>
            <w:noProof/>
            <w:webHidden/>
          </w:rPr>
          <w:fldChar w:fldCharType="end"/>
        </w:r>
      </w:hyperlink>
    </w:p>
    <w:p w14:paraId="7A538148" w14:textId="2CB1E4F2"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40" w:history="1">
        <w:r w:rsidR="00305667" w:rsidRPr="00573837">
          <w:rPr>
            <w:rStyle w:val="Hyperlink"/>
            <w:noProof/>
          </w:rPr>
          <w:t>Figure 10: Maximum PSII herbicide equivalent concentrations at all sites monitored in 2015–16 compared to previous years (2008-09 onwards). The five categories of the PSII index reflect published effects on photosynthesis, where Category 5 is no impact and Category 1 is the equivalent to the 99 per cent species protection GBRMPA guideline value for diuron. Values with an asterisk are not representative values (refer to caption for Figure 9) and should be interpreted with caution.</w:t>
        </w:r>
        <w:r w:rsidR="00305667">
          <w:rPr>
            <w:noProof/>
            <w:webHidden/>
          </w:rPr>
          <w:tab/>
        </w:r>
        <w:r w:rsidR="00305667">
          <w:rPr>
            <w:noProof/>
            <w:webHidden/>
          </w:rPr>
          <w:fldChar w:fldCharType="begin"/>
        </w:r>
        <w:r w:rsidR="00305667">
          <w:rPr>
            <w:noProof/>
            <w:webHidden/>
          </w:rPr>
          <w:instrText xml:space="preserve"> PAGEREF _Toc502499940 \h </w:instrText>
        </w:r>
        <w:r w:rsidR="00305667">
          <w:rPr>
            <w:noProof/>
            <w:webHidden/>
          </w:rPr>
        </w:r>
        <w:r w:rsidR="00305667">
          <w:rPr>
            <w:noProof/>
            <w:webHidden/>
          </w:rPr>
          <w:fldChar w:fldCharType="separate"/>
        </w:r>
        <w:r w:rsidR="00D12276">
          <w:rPr>
            <w:noProof/>
            <w:webHidden/>
          </w:rPr>
          <w:t>39</w:t>
        </w:r>
        <w:r w:rsidR="00305667">
          <w:rPr>
            <w:noProof/>
            <w:webHidden/>
          </w:rPr>
          <w:fldChar w:fldCharType="end"/>
        </w:r>
      </w:hyperlink>
    </w:p>
    <w:p w14:paraId="7093AC87" w14:textId="3AC24F4A"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41" w:history="1">
        <w:r w:rsidR="00305667" w:rsidRPr="00573837">
          <w:rPr>
            <w:rStyle w:val="Hyperlink"/>
            <w:noProof/>
          </w:rPr>
          <w:t>Figure 11: Temporal trends in PSII-HEq at fixed passive sampling sites (A-C, E, G) and PSII-HEq levels in grab samples (D, F) in 2015-16, relative to the flow rate of rivers influencing the Wet Tropics sampling sites. Flow data provided by Department of Environment and Resource Management, Stream Gauging Network.</w:t>
        </w:r>
        <w:r w:rsidR="00305667">
          <w:rPr>
            <w:noProof/>
            <w:webHidden/>
          </w:rPr>
          <w:tab/>
        </w:r>
        <w:r w:rsidR="00305667">
          <w:rPr>
            <w:noProof/>
            <w:webHidden/>
          </w:rPr>
          <w:fldChar w:fldCharType="begin"/>
        </w:r>
        <w:r w:rsidR="00305667">
          <w:rPr>
            <w:noProof/>
            <w:webHidden/>
          </w:rPr>
          <w:instrText xml:space="preserve"> PAGEREF _Toc502499941 \h </w:instrText>
        </w:r>
        <w:r w:rsidR="00305667">
          <w:rPr>
            <w:noProof/>
            <w:webHidden/>
          </w:rPr>
        </w:r>
        <w:r w:rsidR="00305667">
          <w:rPr>
            <w:noProof/>
            <w:webHidden/>
          </w:rPr>
          <w:fldChar w:fldCharType="separate"/>
        </w:r>
        <w:r w:rsidR="00D12276">
          <w:rPr>
            <w:noProof/>
            <w:webHidden/>
          </w:rPr>
          <w:t>41</w:t>
        </w:r>
        <w:r w:rsidR="00305667">
          <w:rPr>
            <w:noProof/>
            <w:webHidden/>
          </w:rPr>
          <w:fldChar w:fldCharType="end"/>
        </w:r>
      </w:hyperlink>
    </w:p>
    <w:p w14:paraId="6C4E9D2B" w14:textId="1D24DD25"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42" w:history="1">
        <w:r w:rsidR="00305667" w:rsidRPr="00573837">
          <w:rPr>
            <w:rStyle w:val="Hyperlink"/>
            <w:noProof/>
          </w:rPr>
          <w:t>Figure 12: Temporal trends in PSII-HEq at Barratta Creek mouth fixed passive sampling site (A) and PSII-HEq levels in grab samples from (B) Barratta Creek mouth and (C) Burdekin River mouth in 2015-16, relative to the flow rate of the rivers influencing the sampling sites. Flow data provided by Department of Environment and Resource Management, Stream Gauging Network.</w:t>
        </w:r>
        <w:r w:rsidR="00305667">
          <w:rPr>
            <w:noProof/>
            <w:webHidden/>
          </w:rPr>
          <w:tab/>
        </w:r>
        <w:r w:rsidR="00305667">
          <w:rPr>
            <w:noProof/>
            <w:webHidden/>
          </w:rPr>
          <w:fldChar w:fldCharType="begin"/>
        </w:r>
        <w:r w:rsidR="00305667">
          <w:rPr>
            <w:noProof/>
            <w:webHidden/>
          </w:rPr>
          <w:instrText xml:space="preserve"> PAGEREF _Toc502499942 \h </w:instrText>
        </w:r>
        <w:r w:rsidR="00305667">
          <w:rPr>
            <w:noProof/>
            <w:webHidden/>
          </w:rPr>
        </w:r>
        <w:r w:rsidR="00305667">
          <w:rPr>
            <w:noProof/>
            <w:webHidden/>
          </w:rPr>
          <w:fldChar w:fldCharType="separate"/>
        </w:r>
        <w:r w:rsidR="00D12276">
          <w:rPr>
            <w:noProof/>
            <w:webHidden/>
          </w:rPr>
          <w:t>43</w:t>
        </w:r>
        <w:r w:rsidR="00305667">
          <w:rPr>
            <w:noProof/>
            <w:webHidden/>
          </w:rPr>
          <w:fldChar w:fldCharType="end"/>
        </w:r>
      </w:hyperlink>
    </w:p>
    <w:p w14:paraId="1EF06AA4" w14:textId="3DAD41B7"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43" w:history="1">
        <w:r w:rsidR="00305667" w:rsidRPr="00573837">
          <w:rPr>
            <w:rStyle w:val="Hyperlink"/>
            <w:noProof/>
          </w:rPr>
          <w:t>Figure 13: Temporal trends in PSII-HEq in 2015-16, relative to the flow rate of rivers influencing the four Mackay Whitsunday fixed passive sampler sites. Flow data provided by Department of Environment and Resource Management, Stream Gauging Network.</w:t>
        </w:r>
        <w:r w:rsidR="00305667">
          <w:rPr>
            <w:noProof/>
            <w:webHidden/>
          </w:rPr>
          <w:tab/>
        </w:r>
        <w:r w:rsidR="00305667">
          <w:rPr>
            <w:noProof/>
            <w:webHidden/>
          </w:rPr>
          <w:fldChar w:fldCharType="begin"/>
        </w:r>
        <w:r w:rsidR="00305667">
          <w:rPr>
            <w:noProof/>
            <w:webHidden/>
          </w:rPr>
          <w:instrText xml:space="preserve"> PAGEREF _Toc502499943 \h </w:instrText>
        </w:r>
        <w:r w:rsidR="00305667">
          <w:rPr>
            <w:noProof/>
            <w:webHidden/>
          </w:rPr>
        </w:r>
        <w:r w:rsidR="00305667">
          <w:rPr>
            <w:noProof/>
            <w:webHidden/>
          </w:rPr>
          <w:fldChar w:fldCharType="separate"/>
        </w:r>
        <w:r w:rsidR="00D12276">
          <w:rPr>
            <w:noProof/>
            <w:webHidden/>
          </w:rPr>
          <w:t>45</w:t>
        </w:r>
        <w:r w:rsidR="00305667">
          <w:rPr>
            <w:noProof/>
            <w:webHidden/>
          </w:rPr>
          <w:fldChar w:fldCharType="end"/>
        </w:r>
      </w:hyperlink>
    </w:p>
    <w:p w14:paraId="0837DE56" w14:textId="4C72F5D9"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44" w:history="1">
        <w:r w:rsidR="00305667" w:rsidRPr="00573837">
          <w:rPr>
            <w:rStyle w:val="Hyperlink"/>
            <w:noProof/>
          </w:rPr>
          <w:t>Figure 14: Temporal trends in PSII-HEq in 2015-16, relative to the flow rate of the Fitzroy River influencing N Keppel Island’s fixed passive sampler site. Flow data provided by Department of Environment and Resource Management, Stream Gauging Network.</w:t>
        </w:r>
        <w:r w:rsidR="00305667">
          <w:rPr>
            <w:noProof/>
            <w:webHidden/>
          </w:rPr>
          <w:tab/>
        </w:r>
        <w:r w:rsidR="00305667">
          <w:rPr>
            <w:noProof/>
            <w:webHidden/>
          </w:rPr>
          <w:fldChar w:fldCharType="begin"/>
        </w:r>
        <w:r w:rsidR="00305667">
          <w:rPr>
            <w:noProof/>
            <w:webHidden/>
          </w:rPr>
          <w:instrText xml:space="preserve"> PAGEREF _Toc502499944 \h </w:instrText>
        </w:r>
        <w:r w:rsidR="00305667">
          <w:rPr>
            <w:noProof/>
            <w:webHidden/>
          </w:rPr>
        </w:r>
        <w:r w:rsidR="00305667">
          <w:rPr>
            <w:noProof/>
            <w:webHidden/>
          </w:rPr>
          <w:fldChar w:fldCharType="separate"/>
        </w:r>
        <w:r w:rsidR="00D12276">
          <w:rPr>
            <w:noProof/>
            <w:webHidden/>
          </w:rPr>
          <w:t>47</w:t>
        </w:r>
        <w:r w:rsidR="00305667">
          <w:rPr>
            <w:noProof/>
            <w:webHidden/>
          </w:rPr>
          <w:fldChar w:fldCharType="end"/>
        </w:r>
      </w:hyperlink>
    </w:p>
    <w:p w14:paraId="62594B07" w14:textId="5EC19696"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45" w:history="1">
        <w:r w:rsidR="00305667" w:rsidRPr="00573837">
          <w:rPr>
            <w:rStyle w:val="Hyperlink"/>
            <w:noProof/>
          </w:rPr>
          <w:t>Figure 13: Overview of approach to determine a multi-substance species sensitivity distribution (SSD) for a mixture of herbicides with the same mode of action (concentration additive model). SSDs on a concentration basis for individual herbicides (left graph) are converted to a dimensionless hazard unit (HU) scale which normalizes all SSDs to have a PC50 value (concentration at which 50% of the species are affected) of 1 HU (right graph). An ‘average’ SSD is fitted to the individual HU scale-SSDs and the midpoint (</w:t>
        </w:r>
        <w:r w:rsidR="00305667" w:rsidRPr="00573837">
          <w:rPr>
            <w:rStyle w:val="Hyperlink"/>
            <w:rFonts w:cs="Arial"/>
            <w:noProof/>
          </w:rPr>
          <w:t>α</w:t>
        </w:r>
        <w:r w:rsidR="00305667" w:rsidRPr="00573837">
          <w:rPr>
            <w:rStyle w:val="Hyperlink"/>
            <w:rFonts w:cs="Arial"/>
            <w:noProof/>
            <w:vertAlign w:val="subscript"/>
          </w:rPr>
          <w:t>G</w:t>
        </w:r>
        <w:r w:rsidR="00305667" w:rsidRPr="00573837">
          <w:rPr>
            <w:rStyle w:val="Hyperlink"/>
            <w:noProof/>
          </w:rPr>
          <w:t>) and slope (</w:t>
        </w:r>
        <w:r w:rsidR="00305667" w:rsidRPr="00573837">
          <w:rPr>
            <w:rStyle w:val="Hyperlink"/>
            <w:rFonts w:cs="Arial"/>
            <w:noProof/>
          </w:rPr>
          <w:t>β</w:t>
        </w:r>
        <w:r w:rsidR="00305667" w:rsidRPr="00573837">
          <w:rPr>
            <w:rStyle w:val="Hyperlink"/>
            <w:rFonts w:cs="Arial"/>
            <w:noProof/>
            <w:vertAlign w:val="subscript"/>
          </w:rPr>
          <w:t>G</w:t>
        </w:r>
        <w:r w:rsidR="00305667" w:rsidRPr="00573837">
          <w:rPr>
            <w:rStyle w:val="Hyperlink"/>
            <w:noProof/>
          </w:rPr>
          <w:t>) of the global distribution are determined in order to calculate PAF for an environmental mixture.</w:t>
        </w:r>
        <w:r w:rsidR="00305667">
          <w:rPr>
            <w:noProof/>
            <w:webHidden/>
          </w:rPr>
          <w:tab/>
        </w:r>
        <w:r w:rsidR="00305667">
          <w:rPr>
            <w:noProof/>
            <w:webHidden/>
          </w:rPr>
          <w:fldChar w:fldCharType="begin"/>
        </w:r>
        <w:r w:rsidR="00305667">
          <w:rPr>
            <w:noProof/>
            <w:webHidden/>
          </w:rPr>
          <w:instrText xml:space="preserve"> PAGEREF _Toc502499945 \h </w:instrText>
        </w:r>
        <w:r w:rsidR="00305667">
          <w:rPr>
            <w:noProof/>
            <w:webHidden/>
          </w:rPr>
        </w:r>
        <w:r w:rsidR="00305667">
          <w:rPr>
            <w:noProof/>
            <w:webHidden/>
          </w:rPr>
          <w:fldChar w:fldCharType="separate"/>
        </w:r>
        <w:r w:rsidR="00D12276">
          <w:rPr>
            <w:noProof/>
            <w:webHidden/>
          </w:rPr>
          <w:t>60</w:t>
        </w:r>
        <w:r w:rsidR="00305667">
          <w:rPr>
            <w:noProof/>
            <w:webHidden/>
          </w:rPr>
          <w:fldChar w:fldCharType="end"/>
        </w:r>
      </w:hyperlink>
    </w:p>
    <w:p w14:paraId="16A037D1" w14:textId="3DC687D9"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46" w:history="1">
        <w:r w:rsidR="00305667" w:rsidRPr="00573837">
          <w:rPr>
            <w:rStyle w:val="Hyperlink"/>
            <w:noProof/>
          </w:rPr>
          <w:t>Figure 16: Comparison of all current monitoring data calculated as the PAF (%) and using the PSII- HEq approach. Axes were aligned assuming 1% PAF was equivalent to 46 ng/L PSII-HEq, 5% equivalent to 240 ng/L and 10% equivalent to 520 ng/L (see main text and Table 14). Both axes are shown on a log scale (for presentation purposes only). Site names are identified using the following codes: LOW (Low Isles), NORM (Normanby Island), DUNK (Dunk Island), LUC (Lucinda), BAR (Barratta Creek), REP (Repulse Bay), RFT (Round Top Island), SAR (Sarina Inlet), SND (Sandy Creek), NKI (North Keppel Island); WET and DRY are wet and dry season samples, respectively, which are chronologically numbered (dry season: 1 = May/June 2015; 2 = July/Aug 2016, 3 = Sep/Oct 2015; wet season: 1 = Nov 2015, 2 = Dec 2015, 3 = Jan 2016, 4 = Feb 2016, 5 = Mar 2016, 6 = Apr 2016)</w:t>
        </w:r>
        <w:r w:rsidR="00305667">
          <w:rPr>
            <w:noProof/>
            <w:webHidden/>
          </w:rPr>
          <w:tab/>
        </w:r>
        <w:r w:rsidR="00305667">
          <w:rPr>
            <w:noProof/>
            <w:webHidden/>
          </w:rPr>
          <w:fldChar w:fldCharType="begin"/>
        </w:r>
        <w:r w:rsidR="00305667">
          <w:rPr>
            <w:noProof/>
            <w:webHidden/>
          </w:rPr>
          <w:instrText xml:space="preserve"> PAGEREF _Toc502499946 \h </w:instrText>
        </w:r>
        <w:r w:rsidR="00305667">
          <w:rPr>
            <w:noProof/>
            <w:webHidden/>
          </w:rPr>
        </w:r>
        <w:r w:rsidR="00305667">
          <w:rPr>
            <w:noProof/>
            <w:webHidden/>
          </w:rPr>
          <w:fldChar w:fldCharType="separate"/>
        </w:r>
        <w:r w:rsidR="00D12276">
          <w:rPr>
            <w:noProof/>
            <w:webHidden/>
          </w:rPr>
          <w:t>64</w:t>
        </w:r>
        <w:r w:rsidR="00305667">
          <w:rPr>
            <w:noProof/>
            <w:webHidden/>
          </w:rPr>
          <w:fldChar w:fldCharType="end"/>
        </w:r>
      </w:hyperlink>
    </w:p>
    <w:p w14:paraId="1B8A1276" w14:textId="37C7DFD7"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947" w:history="1">
        <w:r w:rsidR="00305667" w:rsidRPr="00573837">
          <w:rPr>
            <w:rStyle w:val="Hyperlink"/>
            <w:noProof/>
          </w:rPr>
          <w:t xml:space="preserve">Figure 17: Comparison of relative toxicity of PSII herbicides (same mode of action) based on (A) potency factors (RPF, used to derive PSII-HEq concentration),1/alpha (normalised to 1 for diuron the reference herbicide, used to determine the percentage of species effected under the ms-PAF method) and toxic equivalency factor (TEF, used to determine toxic loads (Smith et al., 2016b)) and (B) 1/alpha (ms-PAF) compared to proposed guideline values for both freshwater and marine (derived as 1/GV and normalized to diuron = 1). *Relative potency of atrazine under the ms-PAF model is currently being revised and is presented here based on an old value. </w:t>
        </w:r>
        <w:r w:rsidR="00305667" w:rsidRPr="00573837">
          <w:rPr>
            <w:rStyle w:val="Hyperlink"/>
            <w:rFonts w:cs="Arial"/>
            <w:noProof/>
          </w:rPr>
          <w:t>‡</w:t>
        </w:r>
        <w:r w:rsidR="00305667" w:rsidRPr="00573837">
          <w:rPr>
            <w:rStyle w:val="Hyperlink"/>
            <w:noProof/>
          </w:rPr>
          <w:t xml:space="preserve"> Values are not currently available.</w:t>
        </w:r>
        <w:r w:rsidR="00305667">
          <w:rPr>
            <w:noProof/>
            <w:webHidden/>
          </w:rPr>
          <w:tab/>
        </w:r>
        <w:r w:rsidR="00305667">
          <w:rPr>
            <w:noProof/>
            <w:webHidden/>
          </w:rPr>
          <w:fldChar w:fldCharType="begin"/>
        </w:r>
        <w:r w:rsidR="00305667">
          <w:rPr>
            <w:noProof/>
            <w:webHidden/>
          </w:rPr>
          <w:instrText xml:space="preserve"> PAGEREF _Toc502499947 \h </w:instrText>
        </w:r>
        <w:r w:rsidR="00305667">
          <w:rPr>
            <w:noProof/>
            <w:webHidden/>
          </w:rPr>
        </w:r>
        <w:r w:rsidR="00305667">
          <w:rPr>
            <w:noProof/>
            <w:webHidden/>
          </w:rPr>
          <w:fldChar w:fldCharType="separate"/>
        </w:r>
        <w:r w:rsidR="00D12276">
          <w:rPr>
            <w:noProof/>
            <w:webHidden/>
          </w:rPr>
          <w:t>66</w:t>
        </w:r>
        <w:r w:rsidR="00305667">
          <w:rPr>
            <w:noProof/>
            <w:webHidden/>
          </w:rPr>
          <w:fldChar w:fldCharType="end"/>
        </w:r>
      </w:hyperlink>
    </w:p>
    <w:p w14:paraId="15720BF3" w14:textId="4110A287" w:rsidR="0059608E" w:rsidRDefault="00C91BF5" w:rsidP="00305667">
      <w:pPr>
        <w:spacing w:line="276" w:lineRule="auto"/>
        <w:ind w:left="851" w:hanging="851"/>
        <w:jc w:val="left"/>
        <w:rPr>
          <w:lang w:val="en-AU"/>
        </w:rPr>
      </w:pPr>
      <w:r w:rsidRPr="00E546FA">
        <w:rPr>
          <w:lang w:val="en-AU"/>
        </w:rPr>
        <w:fldChar w:fldCharType="end"/>
      </w:r>
    </w:p>
    <w:p w14:paraId="15720BF4" w14:textId="77777777" w:rsidR="00704C93" w:rsidRDefault="00704C93" w:rsidP="00305667">
      <w:pPr>
        <w:spacing w:line="276" w:lineRule="auto"/>
        <w:ind w:left="851" w:hanging="851"/>
        <w:jc w:val="left"/>
        <w:rPr>
          <w:lang w:val="en-AU"/>
        </w:rPr>
      </w:pPr>
    </w:p>
    <w:p w14:paraId="7AB6CDAB" w14:textId="0C7EB4CF" w:rsidR="00305667" w:rsidRDefault="00C91BF5"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r w:rsidRPr="007E6E4A">
        <w:rPr>
          <w:sz w:val="22"/>
          <w:szCs w:val="22"/>
          <w:lang w:val="en-AU"/>
        </w:rPr>
        <w:fldChar w:fldCharType="begin"/>
      </w:r>
      <w:r w:rsidR="00AD6279" w:rsidRPr="007E6E4A">
        <w:rPr>
          <w:sz w:val="22"/>
          <w:szCs w:val="22"/>
          <w:lang w:val="en-AU"/>
        </w:rPr>
        <w:instrText xml:space="preserve"> TOC \h \z \t "authors1" \c "Table" </w:instrText>
      </w:r>
      <w:r w:rsidRPr="007E6E4A">
        <w:rPr>
          <w:sz w:val="22"/>
          <w:szCs w:val="22"/>
          <w:lang w:val="en-AU"/>
        </w:rPr>
        <w:fldChar w:fldCharType="separate"/>
      </w:r>
      <w:hyperlink w:anchor="_Toc502499859" w:history="1">
        <w:r w:rsidR="00305667" w:rsidRPr="002830B2">
          <w:rPr>
            <w:rStyle w:val="Hyperlink"/>
            <w:noProof/>
          </w:rPr>
          <w:t>Table 1: Location of fixed passive sampling sites, closest influencing river and date that MMP sampling first commenced</w:t>
        </w:r>
        <w:r w:rsidR="00305667">
          <w:rPr>
            <w:noProof/>
            <w:webHidden/>
          </w:rPr>
          <w:tab/>
        </w:r>
        <w:r w:rsidR="00305667">
          <w:rPr>
            <w:noProof/>
            <w:webHidden/>
          </w:rPr>
          <w:fldChar w:fldCharType="begin"/>
        </w:r>
        <w:r w:rsidR="00305667">
          <w:rPr>
            <w:noProof/>
            <w:webHidden/>
          </w:rPr>
          <w:instrText xml:space="preserve"> PAGEREF _Toc502499859 \h </w:instrText>
        </w:r>
        <w:r w:rsidR="00305667">
          <w:rPr>
            <w:noProof/>
            <w:webHidden/>
          </w:rPr>
        </w:r>
        <w:r w:rsidR="00305667">
          <w:rPr>
            <w:noProof/>
            <w:webHidden/>
          </w:rPr>
          <w:fldChar w:fldCharType="separate"/>
        </w:r>
        <w:r w:rsidR="00D12276">
          <w:rPr>
            <w:noProof/>
            <w:webHidden/>
          </w:rPr>
          <w:t>17</w:t>
        </w:r>
        <w:r w:rsidR="00305667">
          <w:rPr>
            <w:noProof/>
            <w:webHidden/>
          </w:rPr>
          <w:fldChar w:fldCharType="end"/>
        </w:r>
      </w:hyperlink>
    </w:p>
    <w:p w14:paraId="51FD0BC3" w14:textId="508DDA2F"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60" w:history="1">
        <w:r w:rsidR="00305667" w:rsidRPr="002830B2">
          <w:rPr>
            <w:rStyle w:val="Hyperlink"/>
            <w:noProof/>
          </w:rPr>
          <w:t>Table 2: Sampling locations of grab samples for flood plume monitoring and relevant fixed (passive sampler) monitoring sites in the plume vicinity.</w:t>
        </w:r>
        <w:r w:rsidR="00305667">
          <w:rPr>
            <w:noProof/>
            <w:webHidden/>
          </w:rPr>
          <w:tab/>
        </w:r>
        <w:r w:rsidR="00305667">
          <w:rPr>
            <w:noProof/>
            <w:webHidden/>
          </w:rPr>
          <w:fldChar w:fldCharType="begin"/>
        </w:r>
        <w:r w:rsidR="00305667">
          <w:rPr>
            <w:noProof/>
            <w:webHidden/>
          </w:rPr>
          <w:instrText xml:space="preserve"> PAGEREF _Toc502499860 \h </w:instrText>
        </w:r>
        <w:r w:rsidR="00305667">
          <w:rPr>
            <w:noProof/>
            <w:webHidden/>
          </w:rPr>
        </w:r>
        <w:r w:rsidR="00305667">
          <w:rPr>
            <w:noProof/>
            <w:webHidden/>
          </w:rPr>
          <w:fldChar w:fldCharType="separate"/>
        </w:r>
        <w:r w:rsidR="00D12276">
          <w:rPr>
            <w:noProof/>
            <w:webHidden/>
          </w:rPr>
          <w:t>19</w:t>
        </w:r>
        <w:r w:rsidR="00305667">
          <w:rPr>
            <w:noProof/>
            <w:webHidden/>
          </w:rPr>
          <w:fldChar w:fldCharType="end"/>
        </w:r>
      </w:hyperlink>
    </w:p>
    <w:p w14:paraId="73B90E61" w14:textId="3F3432CE"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61" w:history="1">
        <w:r w:rsidR="00305667" w:rsidRPr="002830B2">
          <w:rPr>
            <w:rStyle w:val="Hyperlink"/>
            <w:noProof/>
          </w:rPr>
          <w:t>Table 3: The types of passive samplers deployed at each fixed monitoring site in 2015-16.</w:t>
        </w:r>
        <w:r w:rsidR="00305667">
          <w:rPr>
            <w:noProof/>
            <w:webHidden/>
          </w:rPr>
          <w:tab/>
        </w:r>
        <w:r w:rsidR="00305667">
          <w:rPr>
            <w:noProof/>
            <w:webHidden/>
          </w:rPr>
          <w:fldChar w:fldCharType="begin"/>
        </w:r>
        <w:r w:rsidR="00305667">
          <w:rPr>
            <w:noProof/>
            <w:webHidden/>
          </w:rPr>
          <w:instrText xml:space="preserve"> PAGEREF _Toc502499861 \h </w:instrText>
        </w:r>
        <w:r w:rsidR="00305667">
          <w:rPr>
            <w:noProof/>
            <w:webHidden/>
          </w:rPr>
        </w:r>
        <w:r w:rsidR="00305667">
          <w:rPr>
            <w:noProof/>
            <w:webHidden/>
          </w:rPr>
          <w:fldChar w:fldCharType="separate"/>
        </w:r>
        <w:r w:rsidR="00D12276">
          <w:rPr>
            <w:noProof/>
            <w:webHidden/>
          </w:rPr>
          <w:t>21</w:t>
        </w:r>
        <w:r w:rsidR="00305667">
          <w:rPr>
            <w:noProof/>
            <w:webHidden/>
          </w:rPr>
          <w:fldChar w:fldCharType="end"/>
        </w:r>
      </w:hyperlink>
    </w:p>
    <w:p w14:paraId="1D699793" w14:textId="18F9FDF2" w:rsidR="00305667" w:rsidRDefault="008A61E1" w:rsidP="00305667">
      <w:pPr>
        <w:pStyle w:val="TableofFigures"/>
        <w:tabs>
          <w:tab w:val="left" w:pos="1100"/>
          <w:tab w:val="right" w:leader="dot" w:pos="10456"/>
        </w:tabs>
        <w:ind w:left="851" w:hanging="851"/>
        <w:rPr>
          <w:rFonts w:asciiTheme="minorHAnsi" w:hAnsiTheme="minorHAnsi"/>
          <w:i w:val="0"/>
          <w:iCs w:val="0"/>
          <w:noProof/>
          <w:sz w:val="22"/>
          <w:szCs w:val="22"/>
          <w:lang w:val="en-AU" w:eastAsia="en-AU" w:bidi="ar-SA"/>
        </w:rPr>
      </w:pPr>
      <w:hyperlink w:anchor="_Toc502499862" w:history="1">
        <w:r w:rsidR="00305667" w:rsidRPr="002830B2">
          <w:rPr>
            <w:rStyle w:val="Hyperlink"/>
            <w:noProof/>
          </w:rPr>
          <w:t xml:space="preserve">Table 4: </w:t>
        </w:r>
        <w:r w:rsidR="00305667">
          <w:rPr>
            <w:rFonts w:asciiTheme="minorHAnsi" w:hAnsiTheme="minorHAnsi"/>
            <w:i w:val="0"/>
            <w:iCs w:val="0"/>
            <w:noProof/>
            <w:sz w:val="22"/>
            <w:szCs w:val="22"/>
            <w:lang w:val="en-AU" w:eastAsia="en-AU" w:bidi="ar-SA"/>
          </w:rPr>
          <w:tab/>
        </w:r>
        <w:r w:rsidR="00305667" w:rsidRPr="002830B2">
          <w:rPr>
            <w:rStyle w:val="Hyperlink"/>
            <w:noProof/>
          </w:rPr>
          <w:t>Weekly mean catchment rainfall (mm) in catchments adjacent to fixed passive sampler sites during the 2015-16 wet season (beginning 1 December 2015). Table provided by Dieter Tracey, JCU</w:t>
        </w:r>
        <w:r w:rsidR="00305667">
          <w:rPr>
            <w:noProof/>
            <w:webHidden/>
          </w:rPr>
          <w:tab/>
        </w:r>
        <w:r w:rsidR="00305667">
          <w:rPr>
            <w:noProof/>
            <w:webHidden/>
          </w:rPr>
          <w:fldChar w:fldCharType="begin"/>
        </w:r>
        <w:r w:rsidR="00305667">
          <w:rPr>
            <w:noProof/>
            <w:webHidden/>
          </w:rPr>
          <w:instrText xml:space="preserve"> PAGEREF _Toc502499862 \h </w:instrText>
        </w:r>
        <w:r w:rsidR="00305667">
          <w:rPr>
            <w:noProof/>
            <w:webHidden/>
          </w:rPr>
        </w:r>
        <w:r w:rsidR="00305667">
          <w:rPr>
            <w:noProof/>
            <w:webHidden/>
          </w:rPr>
          <w:fldChar w:fldCharType="separate"/>
        </w:r>
        <w:r w:rsidR="00D12276">
          <w:rPr>
            <w:noProof/>
            <w:webHidden/>
          </w:rPr>
          <w:t>31</w:t>
        </w:r>
        <w:r w:rsidR="00305667">
          <w:rPr>
            <w:noProof/>
            <w:webHidden/>
          </w:rPr>
          <w:fldChar w:fldCharType="end"/>
        </w:r>
      </w:hyperlink>
    </w:p>
    <w:p w14:paraId="76E8B173" w14:textId="2CE37FC3"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63" w:history="1">
        <w:r w:rsidR="00305667" w:rsidRPr="002830B2">
          <w:rPr>
            <w:rStyle w:val="Hyperlink"/>
            <w:noProof/>
          </w:rPr>
          <w:t xml:space="preserve">Table 5: 2015-16 wet season discharge (ML) of the </w:t>
        </w:r>
        <w:r w:rsidR="00305667" w:rsidRPr="002830B2">
          <w:rPr>
            <w:rStyle w:val="Hyperlink"/>
            <w:rFonts w:eastAsiaTheme="majorEastAsia"/>
            <w:noProof/>
            <w:u w:color="9BBB59" w:themeColor="accent3"/>
          </w:rPr>
          <w:t>major Reef catchment rivers adjacent to passive sampling sites</w:t>
        </w:r>
        <w:r w:rsidR="00305667" w:rsidRPr="002830B2">
          <w:rPr>
            <w:rStyle w:val="Hyperlink"/>
            <w:noProof/>
          </w:rPr>
          <w:t xml:space="preserve"> (c.a., November 2015 to April 2016, inclusive) compared to the </w:t>
        </w:r>
        <w:r w:rsidR="00305667" w:rsidRPr="002830B2">
          <w:rPr>
            <w:rStyle w:val="Hyperlink"/>
            <w:rFonts w:eastAsiaTheme="majorEastAsia"/>
            <w:noProof/>
            <w:u w:color="9BBB59" w:themeColor="accent3"/>
          </w:rPr>
          <w:t>long term (LT) median discharge (1970 to 2000). Relative wet season discharge (fraction of long-term median) for the current wet season and previous 5 years are shown.</w:t>
        </w:r>
        <w:r w:rsidR="00305667">
          <w:rPr>
            <w:noProof/>
            <w:webHidden/>
          </w:rPr>
          <w:tab/>
        </w:r>
        <w:r w:rsidR="00305667">
          <w:rPr>
            <w:noProof/>
            <w:webHidden/>
          </w:rPr>
          <w:fldChar w:fldCharType="begin"/>
        </w:r>
        <w:r w:rsidR="00305667">
          <w:rPr>
            <w:noProof/>
            <w:webHidden/>
          </w:rPr>
          <w:instrText xml:space="preserve"> PAGEREF _Toc502499863 \h </w:instrText>
        </w:r>
        <w:r w:rsidR="00305667">
          <w:rPr>
            <w:noProof/>
            <w:webHidden/>
          </w:rPr>
        </w:r>
        <w:r w:rsidR="00305667">
          <w:rPr>
            <w:noProof/>
            <w:webHidden/>
          </w:rPr>
          <w:fldChar w:fldCharType="separate"/>
        </w:r>
        <w:r w:rsidR="00D12276">
          <w:rPr>
            <w:noProof/>
            <w:webHidden/>
          </w:rPr>
          <w:t>34</w:t>
        </w:r>
        <w:r w:rsidR="00305667">
          <w:rPr>
            <w:noProof/>
            <w:webHidden/>
          </w:rPr>
          <w:fldChar w:fldCharType="end"/>
        </w:r>
      </w:hyperlink>
    </w:p>
    <w:p w14:paraId="57EC7AD1" w14:textId="2C52F325"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64" w:history="1">
        <w:r w:rsidR="00305667" w:rsidRPr="002830B2">
          <w:rPr>
            <w:rStyle w:val="Hyperlink"/>
            <w:noProof/>
          </w:rPr>
          <w:t>Table 6: Annual end-of-catchment pesticide loads from monitored Reef catchments relevant to passive sampling sites (1 July 2015 – 30 June 2016). PSII-HEq loads are derived using PSII RPFs for this report, consistent with previous MMP reports (see Section A-4, Appendix A). GBRCLMP data from Huggins et al. (in prep).</w:t>
        </w:r>
        <w:r w:rsidR="00305667">
          <w:rPr>
            <w:noProof/>
            <w:webHidden/>
          </w:rPr>
          <w:tab/>
        </w:r>
        <w:r w:rsidR="00305667">
          <w:rPr>
            <w:noProof/>
            <w:webHidden/>
          </w:rPr>
          <w:fldChar w:fldCharType="begin"/>
        </w:r>
        <w:r w:rsidR="00305667">
          <w:rPr>
            <w:noProof/>
            <w:webHidden/>
          </w:rPr>
          <w:instrText xml:space="preserve"> PAGEREF _Toc502499864 \h </w:instrText>
        </w:r>
        <w:r w:rsidR="00305667">
          <w:rPr>
            <w:noProof/>
            <w:webHidden/>
          </w:rPr>
        </w:r>
        <w:r w:rsidR="00305667">
          <w:rPr>
            <w:noProof/>
            <w:webHidden/>
          </w:rPr>
          <w:fldChar w:fldCharType="separate"/>
        </w:r>
        <w:r w:rsidR="00D12276">
          <w:rPr>
            <w:noProof/>
            <w:webHidden/>
          </w:rPr>
          <w:t>34</w:t>
        </w:r>
        <w:r w:rsidR="00305667">
          <w:rPr>
            <w:noProof/>
            <w:webHidden/>
          </w:rPr>
          <w:fldChar w:fldCharType="end"/>
        </w:r>
      </w:hyperlink>
    </w:p>
    <w:p w14:paraId="26308F73" w14:textId="34130CAE"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65" w:history="1">
        <w:r w:rsidR="00305667" w:rsidRPr="002830B2">
          <w:rPr>
            <w:rStyle w:val="Hyperlink"/>
            <w:noProof/>
          </w:rPr>
          <w:t>Table 7: Maximum detected pesticide concentrations at each fixed passive sampling site. Colour coding reflects lowest (green) to highest (red) values for each pesticide across the catchments (yellow is the 50th percentile).</w:t>
        </w:r>
        <w:r w:rsidR="00305667">
          <w:rPr>
            <w:noProof/>
            <w:webHidden/>
          </w:rPr>
          <w:tab/>
        </w:r>
        <w:r w:rsidR="00305667">
          <w:rPr>
            <w:noProof/>
            <w:webHidden/>
          </w:rPr>
          <w:fldChar w:fldCharType="begin"/>
        </w:r>
        <w:r w:rsidR="00305667">
          <w:rPr>
            <w:noProof/>
            <w:webHidden/>
          </w:rPr>
          <w:instrText xml:space="preserve"> PAGEREF _Toc502499865 \h </w:instrText>
        </w:r>
        <w:r w:rsidR="00305667">
          <w:rPr>
            <w:noProof/>
            <w:webHidden/>
          </w:rPr>
        </w:r>
        <w:r w:rsidR="00305667">
          <w:rPr>
            <w:noProof/>
            <w:webHidden/>
          </w:rPr>
          <w:fldChar w:fldCharType="separate"/>
        </w:r>
        <w:r w:rsidR="00D12276">
          <w:rPr>
            <w:noProof/>
            <w:webHidden/>
          </w:rPr>
          <w:t>37</w:t>
        </w:r>
        <w:r w:rsidR="00305667">
          <w:rPr>
            <w:noProof/>
            <w:webHidden/>
          </w:rPr>
          <w:fldChar w:fldCharType="end"/>
        </w:r>
      </w:hyperlink>
    </w:p>
    <w:p w14:paraId="2FFBFB5B" w14:textId="2E9D61E9" w:rsidR="00305667" w:rsidRDefault="008A61E1" w:rsidP="00305667">
      <w:pPr>
        <w:pStyle w:val="TableofFigures"/>
        <w:tabs>
          <w:tab w:val="left" w:pos="1320"/>
          <w:tab w:val="right" w:leader="dot" w:pos="10456"/>
        </w:tabs>
        <w:ind w:left="851" w:hanging="851"/>
        <w:rPr>
          <w:rFonts w:asciiTheme="minorHAnsi" w:hAnsiTheme="minorHAnsi"/>
          <w:i w:val="0"/>
          <w:iCs w:val="0"/>
          <w:noProof/>
          <w:sz w:val="22"/>
          <w:szCs w:val="22"/>
          <w:lang w:val="en-AU" w:eastAsia="en-AU" w:bidi="ar-SA"/>
        </w:rPr>
      </w:pPr>
      <w:hyperlink w:anchor="_Toc502499866" w:history="1">
        <w:r w:rsidR="00305667" w:rsidRPr="002830B2">
          <w:rPr>
            <w:rStyle w:val="Hyperlink"/>
            <w:noProof/>
          </w:rPr>
          <w:t xml:space="preserve">Table 8: </w:t>
        </w:r>
        <w:r w:rsidR="00305667">
          <w:rPr>
            <w:rFonts w:asciiTheme="minorHAnsi" w:hAnsiTheme="minorHAnsi"/>
            <w:i w:val="0"/>
            <w:iCs w:val="0"/>
            <w:noProof/>
            <w:sz w:val="22"/>
            <w:szCs w:val="22"/>
            <w:lang w:val="en-AU" w:eastAsia="en-AU" w:bidi="ar-SA"/>
          </w:rPr>
          <w:tab/>
        </w:r>
        <w:r w:rsidR="00305667" w:rsidRPr="002830B2">
          <w:rPr>
            <w:rStyle w:val="Hyperlink"/>
            <w:noProof/>
          </w:rPr>
          <w:t>Summary statistics for the maximum and Wet and Dry Season average PSII-HEq concentrations (ng L</w:t>
        </w:r>
        <w:r w:rsidR="00305667" w:rsidRPr="002830B2">
          <w:rPr>
            <w:rStyle w:val="Hyperlink"/>
            <w:noProof/>
            <w:vertAlign w:val="superscript"/>
          </w:rPr>
          <w:t>-1</w:t>
        </w:r>
        <w:r w:rsidR="00305667" w:rsidRPr="002830B2">
          <w:rPr>
            <w:rStyle w:val="Hyperlink"/>
            <w:noProof/>
          </w:rPr>
          <w:t>) since monitoring commenced in the Wet Tropics. Block colours indicate the maximum PSII-HEq Index category for that year</w:t>
        </w:r>
        <w:r w:rsidR="00305667">
          <w:rPr>
            <w:noProof/>
            <w:webHidden/>
          </w:rPr>
          <w:tab/>
        </w:r>
        <w:r w:rsidR="00305667">
          <w:rPr>
            <w:noProof/>
            <w:webHidden/>
          </w:rPr>
          <w:fldChar w:fldCharType="begin"/>
        </w:r>
        <w:r w:rsidR="00305667">
          <w:rPr>
            <w:noProof/>
            <w:webHidden/>
          </w:rPr>
          <w:instrText xml:space="preserve"> PAGEREF _Toc502499866 \h </w:instrText>
        </w:r>
        <w:r w:rsidR="00305667">
          <w:rPr>
            <w:noProof/>
            <w:webHidden/>
          </w:rPr>
        </w:r>
        <w:r w:rsidR="00305667">
          <w:rPr>
            <w:noProof/>
            <w:webHidden/>
          </w:rPr>
          <w:fldChar w:fldCharType="separate"/>
        </w:r>
        <w:r w:rsidR="00D12276">
          <w:rPr>
            <w:noProof/>
            <w:webHidden/>
          </w:rPr>
          <w:t>40</w:t>
        </w:r>
        <w:r w:rsidR="00305667">
          <w:rPr>
            <w:noProof/>
            <w:webHidden/>
          </w:rPr>
          <w:fldChar w:fldCharType="end"/>
        </w:r>
      </w:hyperlink>
    </w:p>
    <w:p w14:paraId="70E69DF5" w14:textId="5B966473"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67" w:history="1">
        <w:r w:rsidR="00305667" w:rsidRPr="002830B2">
          <w:rPr>
            <w:rStyle w:val="Hyperlink"/>
            <w:noProof/>
          </w:rPr>
          <w:t>Table 9: Summary statistics for the maximum and Wet and Dry Season average PSII-HEq concentrations (ng L</w:t>
        </w:r>
        <w:r w:rsidR="00305667" w:rsidRPr="002830B2">
          <w:rPr>
            <w:rStyle w:val="Hyperlink"/>
            <w:noProof/>
            <w:vertAlign w:val="superscript"/>
          </w:rPr>
          <w:t>-1</w:t>
        </w:r>
        <w:r w:rsidR="00305667" w:rsidRPr="002830B2">
          <w:rPr>
            <w:rStyle w:val="Hyperlink"/>
            <w:noProof/>
          </w:rPr>
          <w:t>) since monitoring commenced in the Burdekin region. Block colours indicate the maximum PSII-HEq Index category for that year</w:t>
        </w:r>
        <w:r w:rsidR="00305667">
          <w:rPr>
            <w:noProof/>
            <w:webHidden/>
          </w:rPr>
          <w:tab/>
        </w:r>
        <w:r w:rsidR="00305667">
          <w:rPr>
            <w:noProof/>
            <w:webHidden/>
          </w:rPr>
          <w:fldChar w:fldCharType="begin"/>
        </w:r>
        <w:r w:rsidR="00305667">
          <w:rPr>
            <w:noProof/>
            <w:webHidden/>
          </w:rPr>
          <w:instrText xml:space="preserve"> PAGEREF _Toc502499867 \h </w:instrText>
        </w:r>
        <w:r w:rsidR="00305667">
          <w:rPr>
            <w:noProof/>
            <w:webHidden/>
          </w:rPr>
        </w:r>
        <w:r w:rsidR="00305667">
          <w:rPr>
            <w:noProof/>
            <w:webHidden/>
          </w:rPr>
          <w:fldChar w:fldCharType="separate"/>
        </w:r>
        <w:r w:rsidR="00D12276">
          <w:rPr>
            <w:noProof/>
            <w:webHidden/>
          </w:rPr>
          <w:t>43</w:t>
        </w:r>
        <w:r w:rsidR="00305667">
          <w:rPr>
            <w:noProof/>
            <w:webHidden/>
          </w:rPr>
          <w:fldChar w:fldCharType="end"/>
        </w:r>
      </w:hyperlink>
    </w:p>
    <w:p w14:paraId="5A46C048" w14:textId="58331739"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68" w:history="1">
        <w:r w:rsidR="00305667" w:rsidRPr="002830B2">
          <w:rPr>
            <w:rStyle w:val="Hyperlink"/>
            <w:noProof/>
          </w:rPr>
          <w:t>Table 11: Summary statistics for the maximum and Wet and Dry Season average PSII-HEq concentrations (ng L</w:t>
        </w:r>
        <w:r w:rsidR="00305667" w:rsidRPr="002830B2">
          <w:rPr>
            <w:rStyle w:val="Hyperlink"/>
            <w:noProof/>
            <w:vertAlign w:val="superscript"/>
          </w:rPr>
          <w:t>-1</w:t>
        </w:r>
        <w:r w:rsidR="00305667" w:rsidRPr="002830B2">
          <w:rPr>
            <w:rStyle w:val="Hyperlink"/>
            <w:noProof/>
          </w:rPr>
          <w:t>) since monitoring commenced in the Mackay Whitsunday region. Block colours indicate the maximum PSII-HEq Index category for that year.</w:t>
        </w:r>
        <w:r w:rsidR="00305667">
          <w:rPr>
            <w:noProof/>
            <w:webHidden/>
          </w:rPr>
          <w:tab/>
        </w:r>
        <w:r w:rsidR="00305667">
          <w:rPr>
            <w:noProof/>
            <w:webHidden/>
          </w:rPr>
          <w:fldChar w:fldCharType="begin"/>
        </w:r>
        <w:r w:rsidR="00305667">
          <w:rPr>
            <w:noProof/>
            <w:webHidden/>
          </w:rPr>
          <w:instrText xml:space="preserve"> PAGEREF _Toc502499868 \h </w:instrText>
        </w:r>
        <w:r w:rsidR="00305667">
          <w:rPr>
            <w:noProof/>
            <w:webHidden/>
          </w:rPr>
        </w:r>
        <w:r w:rsidR="00305667">
          <w:rPr>
            <w:noProof/>
            <w:webHidden/>
          </w:rPr>
          <w:fldChar w:fldCharType="separate"/>
        </w:r>
        <w:r w:rsidR="00D12276">
          <w:rPr>
            <w:noProof/>
            <w:webHidden/>
          </w:rPr>
          <w:t>46</w:t>
        </w:r>
        <w:r w:rsidR="00305667">
          <w:rPr>
            <w:noProof/>
            <w:webHidden/>
          </w:rPr>
          <w:fldChar w:fldCharType="end"/>
        </w:r>
      </w:hyperlink>
    </w:p>
    <w:p w14:paraId="674B62CB" w14:textId="1FB3319B"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69" w:history="1">
        <w:r w:rsidR="00305667" w:rsidRPr="002830B2">
          <w:rPr>
            <w:rStyle w:val="Hyperlink"/>
            <w:noProof/>
          </w:rPr>
          <w:t>Table 11: Summary statistics for the maximum and Wet and Dry Season average PSII-HEq concentrations (ng L</w:t>
        </w:r>
        <w:r w:rsidR="00305667" w:rsidRPr="002830B2">
          <w:rPr>
            <w:rStyle w:val="Hyperlink"/>
            <w:noProof/>
            <w:vertAlign w:val="superscript"/>
          </w:rPr>
          <w:t>-1</w:t>
        </w:r>
        <w:r w:rsidR="00305667" w:rsidRPr="002830B2">
          <w:rPr>
            <w:rStyle w:val="Hyperlink"/>
            <w:noProof/>
          </w:rPr>
          <w:t xml:space="preserve">) since monitoring </w:t>
        </w:r>
        <w:r w:rsidR="00305667" w:rsidRPr="002830B2">
          <w:rPr>
            <w:rStyle w:val="Hyperlink"/>
            <w:noProof/>
          </w:rPr>
          <w:lastRenderedPageBreak/>
          <w:t>commenced in the Fitzroy region. Block colours indicate the maximum PSII-HEq Index category for that year</w:t>
        </w:r>
        <w:r w:rsidR="00305667">
          <w:rPr>
            <w:noProof/>
            <w:webHidden/>
          </w:rPr>
          <w:tab/>
        </w:r>
        <w:r w:rsidR="00305667">
          <w:rPr>
            <w:noProof/>
            <w:webHidden/>
          </w:rPr>
          <w:fldChar w:fldCharType="begin"/>
        </w:r>
        <w:r w:rsidR="00305667">
          <w:rPr>
            <w:noProof/>
            <w:webHidden/>
          </w:rPr>
          <w:instrText xml:space="preserve"> PAGEREF _Toc502499869 \h </w:instrText>
        </w:r>
        <w:r w:rsidR="00305667">
          <w:rPr>
            <w:noProof/>
            <w:webHidden/>
          </w:rPr>
        </w:r>
        <w:r w:rsidR="00305667">
          <w:rPr>
            <w:noProof/>
            <w:webHidden/>
          </w:rPr>
          <w:fldChar w:fldCharType="separate"/>
        </w:r>
        <w:r w:rsidR="00D12276">
          <w:rPr>
            <w:noProof/>
            <w:webHidden/>
          </w:rPr>
          <w:t>47</w:t>
        </w:r>
        <w:r w:rsidR="00305667">
          <w:rPr>
            <w:noProof/>
            <w:webHidden/>
          </w:rPr>
          <w:fldChar w:fldCharType="end"/>
        </w:r>
      </w:hyperlink>
    </w:p>
    <w:p w14:paraId="521A0161" w14:textId="5BE321B3"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70" w:history="1">
        <w:r w:rsidR="00305667" w:rsidRPr="002830B2">
          <w:rPr>
            <w:rStyle w:val="Hyperlink"/>
            <w:noProof/>
          </w:rPr>
          <w:t>Table 13: PSII herbicides included in the CA model for the ms-PAF calculations. Alpha and beta values, representing the mid-point and slope of best-fit logistic distributions, for individual herbicide and their mixture are given (where data available).</w:t>
        </w:r>
        <w:r w:rsidR="00305667">
          <w:rPr>
            <w:noProof/>
            <w:webHidden/>
          </w:rPr>
          <w:tab/>
        </w:r>
        <w:r w:rsidR="00305667">
          <w:rPr>
            <w:noProof/>
            <w:webHidden/>
          </w:rPr>
          <w:fldChar w:fldCharType="begin"/>
        </w:r>
        <w:r w:rsidR="00305667">
          <w:rPr>
            <w:noProof/>
            <w:webHidden/>
          </w:rPr>
          <w:instrText xml:space="preserve"> PAGEREF _Toc502499870 \h </w:instrText>
        </w:r>
        <w:r w:rsidR="00305667">
          <w:rPr>
            <w:noProof/>
            <w:webHidden/>
          </w:rPr>
        </w:r>
        <w:r w:rsidR="00305667">
          <w:rPr>
            <w:noProof/>
            <w:webHidden/>
          </w:rPr>
          <w:fldChar w:fldCharType="separate"/>
        </w:r>
        <w:r w:rsidR="00D12276">
          <w:rPr>
            <w:noProof/>
            <w:webHidden/>
          </w:rPr>
          <w:t>60</w:t>
        </w:r>
        <w:r w:rsidR="00305667">
          <w:rPr>
            <w:noProof/>
            <w:webHidden/>
          </w:rPr>
          <w:fldChar w:fldCharType="end"/>
        </w:r>
      </w:hyperlink>
    </w:p>
    <w:p w14:paraId="4AB3B4D6" w14:textId="00FAA86E"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71" w:history="1">
        <w:r w:rsidR="00305667" w:rsidRPr="002830B2">
          <w:rPr>
            <w:rStyle w:val="Hyperlink"/>
            <w:bCs/>
            <w:noProof/>
          </w:rPr>
          <w:t>Table 13: Proposed guideline values compared to PC99 values using the ms-PAF model for the five priority PSII herbicides.</w:t>
        </w:r>
        <w:r w:rsidR="00305667">
          <w:rPr>
            <w:noProof/>
            <w:webHidden/>
          </w:rPr>
          <w:tab/>
        </w:r>
        <w:r w:rsidR="00305667">
          <w:rPr>
            <w:noProof/>
            <w:webHidden/>
          </w:rPr>
          <w:fldChar w:fldCharType="begin"/>
        </w:r>
        <w:r w:rsidR="00305667">
          <w:rPr>
            <w:noProof/>
            <w:webHidden/>
          </w:rPr>
          <w:instrText xml:space="preserve"> PAGEREF _Toc502499871 \h </w:instrText>
        </w:r>
        <w:r w:rsidR="00305667">
          <w:rPr>
            <w:noProof/>
            <w:webHidden/>
          </w:rPr>
        </w:r>
        <w:r w:rsidR="00305667">
          <w:rPr>
            <w:noProof/>
            <w:webHidden/>
          </w:rPr>
          <w:fldChar w:fldCharType="separate"/>
        </w:r>
        <w:r w:rsidR="00D12276">
          <w:rPr>
            <w:noProof/>
            <w:webHidden/>
          </w:rPr>
          <w:t>61</w:t>
        </w:r>
        <w:r w:rsidR="00305667">
          <w:rPr>
            <w:noProof/>
            <w:webHidden/>
          </w:rPr>
          <w:fldChar w:fldCharType="end"/>
        </w:r>
      </w:hyperlink>
    </w:p>
    <w:p w14:paraId="6B2D6456" w14:textId="39A3431B"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72" w:history="1">
        <w:r w:rsidR="00305667" w:rsidRPr="002830B2">
          <w:rPr>
            <w:rStyle w:val="Hyperlink"/>
            <w:noProof/>
          </w:rPr>
          <w:t>Table 14: Comparison of risk categories for marine waters using the ms-PAF and the PSII-HEq methods (percentage of species potentially affected and the corresponding equivalent diuron concentration (ng L</w:t>
        </w:r>
        <w:r w:rsidR="00305667" w:rsidRPr="002830B2">
          <w:rPr>
            <w:rStyle w:val="Hyperlink"/>
            <w:noProof/>
            <w:vertAlign w:val="superscript"/>
          </w:rPr>
          <w:t>-1</w:t>
        </w:r>
        <w:r w:rsidR="00305667" w:rsidRPr="002830B2">
          <w:rPr>
            <w:rStyle w:val="Hyperlink"/>
            <w:noProof/>
          </w:rPr>
          <w:t>), relative to the proposed marine PC99 GV.</w:t>
        </w:r>
        <w:r w:rsidR="00305667">
          <w:rPr>
            <w:noProof/>
            <w:webHidden/>
          </w:rPr>
          <w:tab/>
        </w:r>
        <w:r w:rsidR="00305667">
          <w:rPr>
            <w:noProof/>
            <w:webHidden/>
          </w:rPr>
          <w:fldChar w:fldCharType="begin"/>
        </w:r>
        <w:r w:rsidR="00305667">
          <w:rPr>
            <w:noProof/>
            <w:webHidden/>
          </w:rPr>
          <w:instrText xml:space="preserve"> PAGEREF _Toc502499872 \h </w:instrText>
        </w:r>
        <w:r w:rsidR="00305667">
          <w:rPr>
            <w:noProof/>
            <w:webHidden/>
          </w:rPr>
        </w:r>
        <w:r w:rsidR="00305667">
          <w:rPr>
            <w:noProof/>
            <w:webHidden/>
          </w:rPr>
          <w:fldChar w:fldCharType="separate"/>
        </w:r>
        <w:r w:rsidR="00D12276">
          <w:rPr>
            <w:noProof/>
            <w:webHidden/>
          </w:rPr>
          <w:t>63</w:t>
        </w:r>
        <w:r w:rsidR="00305667">
          <w:rPr>
            <w:noProof/>
            <w:webHidden/>
          </w:rPr>
          <w:fldChar w:fldCharType="end"/>
        </w:r>
      </w:hyperlink>
    </w:p>
    <w:p w14:paraId="476F14FA" w14:textId="17E6169C"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73" w:history="1">
        <w:r w:rsidR="00305667" w:rsidRPr="002830B2">
          <w:rPr>
            <w:rStyle w:val="Hyperlink"/>
            <w:noProof/>
          </w:rPr>
          <w:t>Table 15: Comparison of proposed diuron marine and freshwater guideline values and the ms-PAF model predicted equivalent diuron concentrations (as per Table 14) for 99, 95, 90 and 80% species protection</w:t>
        </w:r>
        <w:r w:rsidR="00305667">
          <w:rPr>
            <w:noProof/>
            <w:webHidden/>
          </w:rPr>
          <w:tab/>
        </w:r>
        <w:r w:rsidR="00305667">
          <w:rPr>
            <w:noProof/>
            <w:webHidden/>
          </w:rPr>
          <w:fldChar w:fldCharType="begin"/>
        </w:r>
        <w:r w:rsidR="00305667">
          <w:rPr>
            <w:noProof/>
            <w:webHidden/>
          </w:rPr>
          <w:instrText xml:space="preserve"> PAGEREF _Toc502499873 \h </w:instrText>
        </w:r>
        <w:r w:rsidR="00305667">
          <w:rPr>
            <w:noProof/>
            <w:webHidden/>
          </w:rPr>
        </w:r>
        <w:r w:rsidR="00305667">
          <w:rPr>
            <w:noProof/>
            <w:webHidden/>
          </w:rPr>
          <w:fldChar w:fldCharType="separate"/>
        </w:r>
        <w:r w:rsidR="00D12276">
          <w:rPr>
            <w:noProof/>
            <w:webHidden/>
          </w:rPr>
          <w:t>63</w:t>
        </w:r>
        <w:r w:rsidR="00305667">
          <w:rPr>
            <w:noProof/>
            <w:webHidden/>
          </w:rPr>
          <w:fldChar w:fldCharType="end"/>
        </w:r>
      </w:hyperlink>
    </w:p>
    <w:p w14:paraId="0B849DA7" w14:textId="1D85C035" w:rsidR="00305667" w:rsidRDefault="008A61E1" w:rsidP="00305667">
      <w:pPr>
        <w:pStyle w:val="TableofFigures"/>
        <w:tabs>
          <w:tab w:val="right" w:leader="dot" w:pos="10456"/>
        </w:tabs>
        <w:ind w:left="851" w:hanging="851"/>
        <w:rPr>
          <w:rFonts w:asciiTheme="minorHAnsi" w:hAnsiTheme="minorHAnsi"/>
          <w:i w:val="0"/>
          <w:iCs w:val="0"/>
          <w:noProof/>
          <w:sz w:val="22"/>
          <w:szCs w:val="22"/>
          <w:lang w:val="en-AU" w:eastAsia="en-AU" w:bidi="ar-SA"/>
        </w:rPr>
      </w:pPr>
      <w:hyperlink w:anchor="_Toc502499874" w:history="1">
        <w:r w:rsidR="00305667" w:rsidRPr="002830B2">
          <w:rPr>
            <w:rStyle w:val="Hyperlink"/>
            <w:bCs/>
            <w:noProof/>
          </w:rPr>
          <w:t>Table 16: Comparison of the ms-PAF values for seven hypothetical PSII herbicide mixtures</w:t>
        </w:r>
        <w:r w:rsidR="00305667">
          <w:rPr>
            <w:noProof/>
            <w:webHidden/>
          </w:rPr>
          <w:tab/>
        </w:r>
        <w:r w:rsidR="00305667">
          <w:rPr>
            <w:noProof/>
            <w:webHidden/>
          </w:rPr>
          <w:fldChar w:fldCharType="begin"/>
        </w:r>
        <w:r w:rsidR="00305667">
          <w:rPr>
            <w:noProof/>
            <w:webHidden/>
          </w:rPr>
          <w:instrText xml:space="preserve"> PAGEREF _Toc502499874 \h </w:instrText>
        </w:r>
        <w:r w:rsidR="00305667">
          <w:rPr>
            <w:noProof/>
            <w:webHidden/>
          </w:rPr>
        </w:r>
        <w:r w:rsidR="00305667">
          <w:rPr>
            <w:noProof/>
            <w:webHidden/>
          </w:rPr>
          <w:fldChar w:fldCharType="separate"/>
        </w:r>
        <w:r w:rsidR="00D12276">
          <w:rPr>
            <w:noProof/>
            <w:webHidden/>
          </w:rPr>
          <w:t>64</w:t>
        </w:r>
        <w:r w:rsidR="00305667">
          <w:rPr>
            <w:noProof/>
            <w:webHidden/>
          </w:rPr>
          <w:fldChar w:fldCharType="end"/>
        </w:r>
      </w:hyperlink>
    </w:p>
    <w:p w14:paraId="15720C06" w14:textId="3E8E78A3" w:rsidR="00AD6279" w:rsidRDefault="00C91BF5" w:rsidP="00305667">
      <w:pPr>
        <w:spacing w:line="276" w:lineRule="auto"/>
        <w:ind w:left="851" w:hanging="851"/>
        <w:jc w:val="center"/>
        <w:rPr>
          <w:lang w:val="en-AU"/>
        </w:rPr>
      </w:pPr>
      <w:r w:rsidRPr="007E6E4A">
        <w:rPr>
          <w:lang w:val="en-AU"/>
        </w:rPr>
        <w:fldChar w:fldCharType="end"/>
      </w:r>
    </w:p>
    <w:p w14:paraId="15720C07" w14:textId="77777777" w:rsidR="00737592" w:rsidRPr="00AD6279" w:rsidRDefault="00AD6279" w:rsidP="00465B04">
      <w:pPr>
        <w:spacing w:after="360"/>
        <w:ind w:left="567" w:hanging="567"/>
        <w:jc w:val="center"/>
        <w:rPr>
          <w:rFonts w:eastAsia="Times New Roman" w:cs="Arial"/>
          <w:b/>
          <w:color w:val="0070C0"/>
          <w:sz w:val="36"/>
          <w:szCs w:val="36"/>
          <w:lang w:val="en-GB" w:bidi="ar-SA"/>
        </w:rPr>
      </w:pPr>
      <w:r w:rsidRPr="00AD6279">
        <w:rPr>
          <w:rFonts w:eastAsia="Times New Roman" w:cs="Arial"/>
          <w:b/>
          <w:color w:val="0070C0"/>
          <w:sz w:val="36"/>
          <w:szCs w:val="36"/>
          <w:lang w:val="en-GB" w:bidi="ar-SA"/>
        </w:rPr>
        <w:t>Appendices: List of Figures and Tables</w:t>
      </w:r>
    </w:p>
    <w:p w14:paraId="309EE672" w14:textId="6CB6EE8D" w:rsidR="00305667" w:rsidRDefault="00C91BF5"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r>
        <w:rPr>
          <w:lang w:val="en-AU"/>
        </w:rPr>
        <w:fldChar w:fldCharType="begin"/>
      </w:r>
      <w:r w:rsidR="008C60F9">
        <w:rPr>
          <w:lang w:val="en-AU"/>
        </w:rPr>
        <w:instrText xml:space="preserve"> TOC \h \z \c "Figure_Apx" </w:instrText>
      </w:r>
      <w:r>
        <w:rPr>
          <w:lang w:val="en-AU"/>
        </w:rPr>
        <w:fldChar w:fldCharType="separate"/>
      </w:r>
      <w:hyperlink w:anchor="_Toc502499830" w:history="1">
        <w:r w:rsidR="00305667" w:rsidRPr="00820C6A">
          <w:rPr>
            <w:rStyle w:val="Hyperlink"/>
            <w:noProof/>
          </w:rPr>
          <w:t>Figure D</w:t>
        </w:r>
        <w:r w:rsidR="00305667" w:rsidRPr="00820C6A">
          <w:rPr>
            <w:rStyle w:val="Hyperlink"/>
            <w:noProof/>
          </w:rPr>
          <w:noBreakHyphen/>
          <w:t>1: Land Use map of the Reef catchment (2009).</w:t>
        </w:r>
        <w:r w:rsidR="00305667">
          <w:rPr>
            <w:noProof/>
            <w:webHidden/>
          </w:rPr>
          <w:tab/>
        </w:r>
        <w:r w:rsidR="00305667">
          <w:rPr>
            <w:noProof/>
            <w:webHidden/>
          </w:rPr>
          <w:fldChar w:fldCharType="begin"/>
        </w:r>
        <w:r w:rsidR="00305667">
          <w:rPr>
            <w:noProof/>
            <w:webHidden/>
          </w:rPr>
          <w:instrText xml:space="preserve"> PAGEREF _Toc502499830 \h </w:instrText>
        </w:r>
        <w:r w:rsidR="00305667">
          <w:rPr>
            <w:noProof/>
            <w:webHidden/>
          </w:rPr>
        </w:r>
        <w:r w:rsidR="00305667">
          <w:rPr>
            <w:noProof/>
            <w:webHidden/>
          </w:rPr>
          <w:fldChar w:fldCharType="separate"/>
        </w:r>
        <w:r w:rsidR="00D12276">
          <w:rPr>
            <w:noProof/>
            <w:webHidden/>
          </w:rPr>
          <w:t>83</w:t>
        </w:r>
        <w:r w:rsidR="00305667">
          <w:rPr>
            <w:noProof/>
            <w:webHidden/>
          </w:rPr>
          <w:fldChar w:fldCharType="end"/>
        </w:r>
      </w:hyperlink>
    </w:p>
    <w:p w14:paraId="5AFB7276" w14:textId="1B59F3D3"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31" w:history="1">
        <w:r w:rsidR="00305667" w:rsidRPr="00820C6A">
          <w:rPr>
            <w:rStyle w:val="Hyperlink"/>
            <w:noProof/>
          </w:rPr>
          <w:t>Figure E</w:t>
        </w:r>
        <w:r w:rsidR="00305667" w:rsidRPr="00820C6A">
          <w:rPr>
            <w:rStyle w:val="Hyperlink"/>
            <w:noProof/>
          </w:rPr>
          <w:noBreakHyphen/>
          <w:t>1: Total monthly rainfall for the wet 2015-16 season across Queensland  (Bureau of Meteorology, 2017)</w:t>
        </w:r>
        <w:r w:rsidR="00305667">
          <w:rPr>
            <w:noProof/>
            <w:webHidden/>
          </w:rPr>
          <w:tab/>
        </w:r>
        <w:r w:rsidR="00305667">
          <w:rPr>
            <w:noProof/>
            <w:webHidden/>
          </w:rPr>
          <w:fldChar w:fldCharType="begin"/>
        </w:r>
        <w:r w:rsidR="00305667">
          <w:rPr>
            <w:noProof/>
            <w:webHidden/>
          </w:rPr>
          <w:instrText xml:space="preserve"> PAGEREF _Toc502499831 \h </w:instrText>
        </w:r>
        <w:r w:rsidR="00305667">
          <w:rPr>
            <w:noProof/>
            <w:webHidden/>
          </w:rPr>
        </w:r>
        <w:r w:rsidR="00305667">
          <w:rPr>
            <w:noProof/>
            <w:webHidden/>
          </w:rPr>
          <w:fldChar w:fldCharType="separate"/>
        </w:r>
        <w:r w:rsidR="00D12276">
          <w:rPr>
            <w:noProof/>
            <w:webHidden/>
          </w:rPr>
          <w:t>86</w:t>
        </w:r>
        <w:r w:rsidR="00305667">
          <w:rPr>
            <w:noProof/>
            <w:webHidden/>
          </w:rPr>
          <w:fldChar w:fldCharType="end"/>
        </w:r>
      </w:hyperlink>
    </w:p>
    <w:p w14:paraId="7B630AE8" w14:textId="3A3F28B6"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32" w:history="1">
        <w:r w:rsidR="00305667" w:rsidRPr="00820C6A">
          <w:rPr>
            <w:rStyle w:val="Hyperlink"/>
            <w:noProof/>
          </w:rPr>
          <w:t>Figure E</w:t>
        </w:r>
        <w:r w:rsidR="00305667" w:rsidRPr="00820C6A">
          <w:rPr>
            <w:rStyle w:val="Hyperlink"/>
            <w:noProof/>
          </w:rPr>
          <w:noBreakHyphen/>
          <w:t>2: Rainfall decile ranges (comparison of current period with long term average) for the dry season between May 2015- Oct 2015 (left) and wet season between Nov 2015 – 30 April 2016 (right). Figure sourced from Bureau of Meteorology</w:t>
        </w:r>
        <w:r w:rsidR="00305667">
          <w:rPr>
            <w:noProof/>
            <w:webHidden/>
          </w:rPr>
          <w:tab/>
        </w:r>
        <w:r w:rsidR="00305667">
          <w:rPr>
            <w:noProof/>
            <w:webHidden/>
          </w:rPr>
          <w:fldChar w:fldCharType="begin"/>
        </w:r>
        <w:r w:rsidR="00305667">
          <w:rPr>
            <w:noProof/>
            <w:webHidden/>
          </w:rPr>
          <w:instrText xml:space="preserve"> PAGEREF _Toc502499832 \h </w:instrText>
        </w:r>
        <w:r w:rsidR="00305667">
          <w:rPr>
            <w:noProof/>
            <w:webHidden/>
          </w:rPr>
        </w:r>
        <w:r w:rsidR="00305667">
          <w:rPr>
            <w:noProof/>
            <w:webHidden/>
          </w:rPr>
          <w:fldChar w:fldCharType="separate"/>
        </w:r>
        <w:r w:rsidR="00D12276">
          <w:rPr>
            <w:noProof/>
            <w:webHidden/>
          </w:rPr>
          <w:t>87</w:t>
        </w:r>
        <w:r w:rsidR="00305667">
          <w:rPr>
            <w:noProof/>
            <w:webHidden/>
          </w:rPr>
          <w:fldChar w:fldCharType="end"/>
        </w:r>
      </w:hyperlink>
    </w:p>
    <w:p w14:paraId="21A651A8" w14:textId="038F04F5"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33" w:history="1">
        <w:r w:rsidR="00305667" w:rsidRPr="00820C6A">
          <w:rPr>
            <w:rStyle w:val="Hyperlink"/>
            <w:noProof/>
          </w:rPr>
          <w:t>Figure E</w:t>
        </w:r>
        <w:r w:rsidR="00305667" w:rsidRPr="00820C6A">
          <w:rPr>
            <w:rStyle w:val="Hyperlink"/>
            <w:noProof/>
          </w:rPr>
          <w:noBreakHyphen/>
          <w:t>3: A) Inter-annual rainfall difference between the previous monitoring year (2014-15) and the current monitoring year (2015-16). B) and C) show comparison between previous year and current year for dry and wet season, respectively. A negative value indicates that rainfall was lower this year compared to the previous year. Figure sourced from Bureau of Meteorology</w:t>
        </w:r>
        <w:r w:rsidR="00305667">
          <w:rPr>
            <w:noProof/>
            <w:webHidden/>
          </w:rPr>
          <w:tab/>
        </w:r>
        <w:r w:rsidR="00305667">
          <w:rPr>
            <w:noProof/>
            <w:webHidden/>
          </w:rPr>
          <w:fldChar w:fldCharType="begin"/>
        </w:r>
        <w:r w:rsidR="00305667">
          <w:rPr>
            <w:noProof/>
            <w:webHidden/>
          </w:rPr>
          <w:instrText xml:space="preserve"> PAGEREF _Toc502499833 \h </w:instrText>
        </w:r>
        <w:r w:rsidR="00305667">
          <w:rPr>
            <w:noProof/>
            <w:webHidden/>
          </w:rPr>
        </w:r>
        <w:r w:rsidR="00305667">
          <w:rPr>
            <w:noProof/>
            <w:webHidden/>
          </w:rPr>
          <w:fldChar w:fldCharType="separate"/>
        </w:r>
        <w:r w:rsidR="00D12276">
          <w:rPr>
            <w:noProof/>
            <w:webHidden/>
          </w:rPr>
          <w:t>88</w:t>
        </w:r>
        <w:r w:rsidR="00305667">
          <w:rPr>
            <w:noProof/>
            <w:webHidden/>
          </w:rPr>
          <w:fldChar w:fldCharType="end"/>
        </w:r>
      </w:hyperlink>
    </w:p>
    <w:p w14:paraId="049758C0" w14:textId="689CF438"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34" w:history="1">
        <w:r w:rsidR="00305667" w:rsidRPr="00820C6A">
          <w:rPr>
            <w:rStyle w:val="Hyperlink"/>
            <w:noProof/>
          </w:rPr>
          <w:t>Figure E</w:t>
        </w:r>
        <w:r w:rsidR="00305667" w:rsidRPr="00820C6A">
          <w:rPr>
            <w:rStyle w:val="Hyperlink"/>
            <w:noProof/>
          </w:rPr>
          <w:noBreakHyphen/>
          <w:t>4: Historical PSII herbicide loads from monitored Reef catchment rivers (2010–2016). Data collated from GBRCLMP reports (Turner et al. 2013, Wallace et al. 2014, Garzon-Garcia et al. 2015, Wallace et al. 2015, Wallace et al. 2016). 2015-16 data from Huggins et al. (in prep)).</w:t>
        </w:r>
        <w:r w:rsidR="00305667">
          <w:rPr>
            <w:noProof/>
            <w:webHidden/>
          </w:rPr>
          <w:tab/>
        </w:r>
        <w:r w:rsidR="00305667">
          <w:rPr>
            <w:noProof/>
            <w:webHidden/>
          </w:rPr>
          <w:fldChar w:fldCharType="begin"/>
        </w:r>
        <w:r w:rsidR="00305667">
          <w:rPr>
            <w:noProof/>
            <w:webHidden/>
          </w:rPr>
          <w:instrText xml:space="preserve"> PAGEREF _Toc502499834 \h </w:instrText>
        </w:r>
        <w:r w:rsidR="00305667">
          <w:rPr>
            <w:noProof/>
            <w:webHidden/>
          </w:rPr>
        </w:r>
        <w:r w:rsidR="00305667">
          <w:rPr>
            <w:noProof/>
            <w:webHidden/>
          </w:rPr>
          <w:fldChar w:fldCharType="separate"/>
        </w:r>
        <w:r w:rsidR="00D12276">
          <w:rPr>
            <w:noProof/>
            <w:webHidden/>
          </w:rPr>
          <w:t>89</w:t>
        </w:r>
        <w:r w:rsidR="00305667">
          <w:rPr>
            <w:noProof/>
            <w:webHidden/>
          </w:rPr>
          <w:fldChar w:fldCharType="end"/>
        </w:r>
      </w:hyperlink>
    </w:p>
    <w:p w14:paraId="3D347280" w14:textId="2E4B12E6"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35" w:history="1">
        <w:r w:rsidR="00305667" w:rsidRPr="00820C6A">
          <w:rPr>
            <w:rStyle w:val="Hyperlink"/>
            <w:noProof/>
          </w:rPr>
          <w:t>Figure F</w:t>
        </w:r>
        <w:r w:rsidR="00305667" w:rsidRPr="00820C6A">
          <w:rPr>
            <w:rStyle w:val="Hyperlink"/>
            <w:noProof/>
          </w:rPr>
          <w:noBreakHyphen/>
          <w:t>1: Timing and location of grab (top) and passive (bottom) samples collected on the Russell-Mulgrave River transect, Wet Tropics, between 2013 and 2016</w:t>
        </w:r>
        <w:r w:rsidR="00305667">
          <w:rPr>
            <w:noProof/>
            <w:webHidden/>
          </w:rPr>
          <w:tab/>
        </w:r>
        <w:r w:rsidR="00305667">
          <w:rPr>
            <w:noProof/>
            <w:webHidden/>
          </w:rPr>
          <w:fldChar w:fldCharType="begin"/>
        </w:r>
        <w:r w:rsidR="00305667">
          <w:rPr>
            <w:noProof/>
            <w:webHidden/>
          </w:rPr>
          <w:instrText xml:space="preserve"> PAGEREF _Toc502499835 \h </w:instrText>
        </w:r>
        <w:r w:rsidR="00305667">
          <w:rPr>
            <w:noProof/>
            <w:webHidden/>
          </w:rPr>
        </w:r>
        <w:r w:rsidR="00305667">
          <w:rPr>
            <w:noProof/>
            <w:webHidden/>
          </w:rPr>
          <w:fldChar w:fldCharType="separate"/>
        </w:r>
        <w:r w:rsidR="00D12276">
          <w:rPr>
            <w:noProof/>
            <w:webHidden/>
          </w:rPr>
          <w:t>96</w:t>
        </w:r>
        <w:r w:rsidR="00305667">
          <w:rPr>
            <w:noProof/>
            <w:webHidden/>
          </w:rPr>
          <w:fldChar w:fldCharType="end"/>
        </w:r>
      </w:hyperlink>
    </w:p>
    <w:p w14:paraId="20196D8C" w14:textId="040068A5"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36" w:history="1">
        <w:r w:rsidR="00305667" w:rsidRPr="00820C6A">
          <w:rPr>
            <w:rStyle w:val="Hyperlink"/>
            <w:noProof/>
          </w:rPr>
          <w:t>Figure F</w:t>
        </w:r>
        <w:r w:rsidR="00305667" w:rsidRPr="00820C6A">
          <w:rPr>
            <w:rStyle w:val="Hyperlink"/>
            <w:noProof/>
          </w:rPr>
          <w:noBreakHyphen/>
          <w:t>2: Timing and location of grab (top) and passive (bottom) samples collected on the Tully River transect, Wet Tropics, between 2010 and 2016</w:t>
        </w:r>
        <w:r w:rsidR="00305667">
          <w:rPr>
            <w:noProof/>
            <w:webHidden/>
          </w:rPr>
          <w:tab/>
        </w:r>
        <w:r w:rsidR="00305667">
          <w:rPr>
            <w:noProof/>
            <w:webHidden/>
          </w:rPr>
          <w:fldChar w:fldCharType="begin"/>
        </w:r>
        <w:r w:rsidR="00305667">
          <w:rPr>
            <w:noProof/>
            <w:webHidden/>
          </w:rPr>
          <w:instrText xml:space="preserve"> PAGEREF _Toc502499836 \h </w:instrText>
        </w:r>
        <w:r w:rsidR="00305667">
          <w:rPr>
            <w:noProof/>
            <w:webHidden/>
          </w:rPr>
        </w:r>
        <w:r w:rsidR="00305667">
          <w:rPr>
            <w:noProof/>
            <w:webHidden/>
          </w:rPr>
          <w:fldChar w:fldCharType="separate"/>
        </w:r>
        <w:r w:rsidR="00D12276">
          <w:rPr>
            <w:noProof/>
            <w:webHidden/>
          </w:rPr>
          <w:t>97</w:t>
        </w:r>
        <w:r w:rsidR="00305667">
          <w:rPr>
            <w:noProof/>
            <w:webHidden/>
          </w:rPr>
          <w:fldChar w:fldCharType="end"/>
        </w:r>
      </w:hyperlink>
    </w:p>
    <w:p w14:paraId="0A8C4D8F" w14:textId="3C43CBEE"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37" w:history="1">
        <w:r w:rsidR="00305667" w:rsidRPr="00820C6A">
          <w:rPr>
            <w:rStyle w:val="Hyperlink"/>
            <w:noProof/>
          </w:rPr>
          <w:t>Figure H</w:t>
        </w:r>
        <w:r w:rsidR="00305667" w:rsidRPr="00820C6A">
          <w:rPr>
            <w:rStyle w:val="Hyperlink"/>
            <w:noProof/>
          </w:rPr>
          <w:noBreakHyphen/>
          <w:t>1: Temporal trends in PSII-HEq with respect to (top graph) river flow rate influencing passive sampler site at Low Isles in the Wet Tropics region since 2005 and (bottom graph) flood plume colour class for 2015-16. Flow data provided by Department of Environment and Resource Management, Stream Gauging Network.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_Toc502499837 \h </w:instrText>
        </w:r>
        <w:r w:rsidR="00305667">
          <w:rPr>
            <w:noProof/>
            <w:webHidden/>
          </w:rPr>
        </w:r>
        <w:r w:rsidR="00305667">
          <w:rPr>
            <w:noProof/>
            <w:webHidden/>
          </w:rPr>
          <w:fldChar w:fldCharType="separate"/>
        </w:r>
        <w:r w:rsidR="00D12276">
          <w:rPr>
            <w:noProof/>
            <w:webHidden/>
          </w:rPr>
          <w:t>105</w:t>
        </w:r>
        <w:r w:rsidR="00305667">
          <w:rPr>
            <w:noProof/>
            <w:webHidden/>
          </w:rPr>
          <w:fldChar w:fldCharType="end"/>
        </w:r>
      </w:hyperlink>
    </w:p>
    <w:p w14:paraId="4388152E" w14:textId="6C54E11D"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38" w:history="1">
        <w:r w:rsidR="00305667" w:rsidRPr="00820C6A">
          <w:rPr>
            <w:rStyle w:val="Hyperlink"/>
            <w:noProof/>
          </w:rPr>
          <w:t>Figure H</w:t>
        </w:r>
        <w:r w:rsidR="00305667" w:rsidRPr="00820C6A">
          <w:rPr>
            <w:rStyle w:val="Hyperlink"/>
            <w:noProof/>
          </w:rPr>
          <w:noBreakHyphen/>
          <w:t>2: Temporal trends in PSII-HEq with respect to (top graph) river flow rate influencing passive sampler site at High Island in the Wet Tropics region since 2006 and (bottom graph) flood plume colour class for 2015-16. Flow data provided by Department of Environment and Resource Management, Stream Gauging Network. No monitoring data were available 2009-2015.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_Toc502499838 \h </w:instrText>
        </w:r>
        <w:r w:rsidR="00305667">
          <w:rPr>
            <w:noProof/>
            <w:webHidden/>
          </w:rPr>
        </w:r>
        <w:r w:rsidR="00305667">
          <w:rPr>
            <w:noProof/>
            <w:webHidden/>
          </w:rPr>
          <w:fldChar w:fldCharType="separate"/>
        </w:r>
        <w:r w:rsidR="00D12276">
          <w:rPr>
            <w:noProof/>
            <w:webHidden/>
          </w:rPr>
          <w:t>106</w:t>
        </w:r>
        <w:r w:rsidR="00305667">
          <w:rPr>
            <w:noProof/>
            <w:webHidden/>
          </w:rPr>
          <w:fldChar w:fldCharType="end"/>
        </w:r>
      </w:hyperlink>
    </w:p>
    <w:p w14:paraId="56A16252" w14:textId="32E4B3DA"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39" w:history="1">
        <w:r w:rsidR="00305667" w:rsidRPr="00820C6A">
          <w:rPr>
            <w:rStyle w:val="Hyperlink"/>
            <w:noProof/>
          </w:rPr>
          <w:t>Figure H</w:t>
        </w:r>
        <w:r w:rsidR="00305667" w:rsidRPr="00820C6A">
          <w:rPr>
            <w:rStyle w:val="Hyperlink"/>
            <w:noProof/>
          </w:rPr>
          <w:noBreakHyphen/>
          <w:t>3: Temporal trends in PSII-HEq with respect to (top graph) river flow rate influencing passive sampler site at Dunk Island in the Wet Tropics region since 2007 and (bottom graph) flood plume colour class for 2015-16. Flow data provided by Department of Environment and Resource Management, Stream Gauging Network.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_Toc502499839 \h </w:instrText>
        </w:r>
        <w:r w:rsidR="00305667">
          <w:rPr>
            <w:noProof/>
            <w:webHidden/>
          </w:rPr>
        </w:r>
        <w:r w:rsidR="00305667">
          <w:rPr>
            <w:noProof/>
            <w:webHidden/>
          </w:rPr>
          <w:fldChar w:fldCharType="separate"/>
        </w:r>
        <w:r w:rsidR="00D12276">
          <w:rPr>
            <w:noProof/>
            <w:webHidden/>
          </w:rPr>
          <w:t>107</w:t>
        </w:r>
        <w:r w:rsidR="00305667">
          <w:rPr>
            <w:noProof/>
            <w:webHidden/>
          </w:rPr>
          <w:fldChar w:fldCharType="end"/>
        </w:r>
      </w:hyperlink>
    </w:p>
    <w:p w14:paraId="0845D11D" w14:textId="450E2423"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40" w:history="1">
        <w:r w:rsidR="00305667" w:rsidRPr="00820C6A">
          <w:rPr>
            <w:rStyle w:val="Hyperlink"/>
            <w:noProof/>
          </w:rPr>
          <w:t>Figure H</w:t>
        </w:r>
        <w:r w:rsidR="00305667" w:rsidRPr="00820C6A">
          <w:rPr>
            <w:rStyle w:val="Hyperlink"/>
            <w:noProof/>
          </w:rPr>
          <w:noBreakHyphen/>
          <w:t>4: Temporal trends in PSII-HEq with respect to (top graph) river flow rate influencing passive sampler site at Normanby Island in the Wet Tropics region since 2005 and (bottom graph) flood plume colour class for 2015-16. Flow data provided by Department of Environment and Resource Management, Stream Gauging Network.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_Toc502499840 \h </w:instrText>
        </w:r>
        <w:r w:rsidR="00305667">
          <w:rPr>
            <w:noProof/>
            <w:webHidden/>
          </w:rPr>
        </w:r>
        <w:r w:rsidR="00305667">
          <w:rPr>
            <w:noProof/>
            <w:webHidden/>
          </w:rPr>
          <w:fldChar w:fldCharType="separate"/>
        </w:r>
        <w:r w:rsidR="00D12276">
          <w:rPr>
            <w:noProof/>
            <w:webHidden/>
          </w:rPr>
          <w:t>108</w:t>
        </w:r>
        <w:r w:rsidR="00305667">
          <w:rPr>
            <w:noProof/>
            <w:webHidden/>
          </w:rPr>
          <w:fldChar w:fldCharType="end"/>
        </w:r>
      </w:hyperlink>
    </w:p>
    <w:p w14:paraId="7973F988" w14:textId="0C030080"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41" w:history="1">
        <w:r w:rsidR="00305667" w:rsidRPr="00820C6A">
          <w:rPr>
            <w:rStyle w:val="Hyperlink"/>
            <w:noProof/>
          </w:rPr>
          <w:t>Figure H</w:t>
        </w:r>
        <w:r w:rsidR="00305667" w:rsidRPr="00820C6A">
          <w:rPr>
            <w:rStyle w:val="Hyperlink"/>
            <w:noProof/>
          </w:rPr>
          <w:noBreakHyphen/>
          <w:t xml:space="preserve">5: Temporal trends in PSII-HEq with respect to (top graph) river flow rate influencing passive sampler site at Lucinda in the Wet Tropics region since 2005 and (bottom graph) flood plume colour class for </w:t>
        </w:r>
        <w:r w:rsidR="00305667" w:rsidRPr="00820C6A">
          <w:rPr>
            <w:rStyle w:val="Hyperlink"/>
            <w:noProof/>
          </w:rPr>
          <w:lastRenderedPageBreak/>
          <w:t>2015-16. Flow data provided by Department of Environment and Resource Management, Stream Gauging Network.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_Toc502499841 \h </w:instrText>
        </w:r>
        <w:r w:rsidR="00305667">
          <w:rPr>
            <w:noProof/>
            <w:webHidden/>
          </w:rPr>
        </w:r>
        <w:r w:rsidR="00305667">
          <w:rPr>
            <w:noProof/>
            <w:webHidden/>
          </w:rPr>
          <w:fldChar w:fldCharType="separate"/>
        </w:r>
        <w:r w:rsidR="00D12276">
          <w:rPr>
            <w:noProof/>
            <w:webHidden/>
          </w:rPr>
          <w:t>109</w:t>
        </w:r>
        <w:r w:rsidR="00305667">
          <w:rPr>
            <w:noProof/>
            <w:webHidden/>
          </w:rPr>
          <w:fldChar w:fldCharType="end"/>
        </w:r>
      </w:hyperlink>
    </w:p>
    <w:p w14:paraId="7138D8DB" w14:textId="6A59499E"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42" w:history="1">
        <w:r w:rsidR="00305667" w:rsidRPr="00820C6A">
          <w:rPr>
            <w:rStyle w:val="Hyperlink"/>
            <w:noProof/>
          </w:rPr>
          <w:t>Figure H</w:t>
        </w:r>
        <w:r w:rsidR="00305667" w:rsidRPr="00820C6A">
          <w:rPr>
            <w:rStyle w:val="Hyperlink"/>
            <w:noProof/>
          </w:rPr>
          <w:noBreakHyphen/>
          <w:t>6: Temporal trends in PSII-HEq with respect to (top graph) river flow rate influencing passive sampler site at Barratta Creek mouth in the Burdekin region since 2005 and (bottom graph) flood plume colour class for 2015-16. Flow data provided by Department of Environment and Resource Management, Stream Gauging Network.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_Toc502499842 \h </w:instrText>
        </w:r>
        <w:r w:rsidR="00305667">
          <w:rPr>
            <w:noProof/>
            <w:webHidden/>
          </w:rPr>
        </w:r>
        <w:r w:rsidR="00305667">
          <w:rPr>
            <w:noProof/>
            <w:webHidden/>
          </w:rPr>
          <w:fldChar w:fldCharType="separate"/>
        </w:r>
        <w:r w:rsidR="00D12276">
          <w:rPr>
            <w:noProof/>
            <w:webHidden/>
          </w:rPr>
          <w:t>110</w:t>
        </w:r>
        <w:r w:rsidR="00305667">
          <w:rPr>
            <w:noProof/>
            <w:webHidden/>
          </w:rPr>
          <w:fldChar w:fldCharType="end"/>
        </w:r>
      </w:hyperlink>
    </w:p>
    <w:p w14:paraId="2CE42C8A" w14:textId="0AED5A84"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43" w:history="1">
        <w:r w:rsidR="00305667" w:rsidRPr="00820C6A">
          <w:rPr>
            <w:rStyle w:val="Hyperlink"/>
            <w:noProof/>
          </w:rPr>
          <w:t>Figure H</w:t>
        </w:r>
        <w:r w:rsidR="00305667" w:rsidRPr="00820C6A">
          <w:rPr>
            <w:rStyle w:val="Hyperlink"/>
            <w:noProof/>
          </w:rPr>
          <w:noBreakHyphen/>
          <w:t>7: Temporal trends in PSII-HEq with respect to (top graph) river flow rate influencing passive sampler site at Repulse Bay in the Mackay Whitsunday region since 2005 and (bottom graph) flood plume colour class for 2015-16. Flow data provided by Department of Environment and Resource Management, Stream Gauging Network.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_Toc502499843 \h </w:instrText>
        </w:r>
        <w:r w:rsidR="00305667">
          <w:rPr>
            <w:noProof/>
            <w:webHidden/>
          </w:rPr>
        </w:r>
        <w:r w:rsidR="00305667">
          <w:rPr>
            <w:noProof/>
            <w:webHidden/>
          </w:rPr>
          <w:fldChar w:fldCharType="separate"/>
        </w:r>
        <w:r w:rsidR="00D12276">
          <w:rPr>
            <w:noProof/>
            <w:webHidden/>
          </w:rPr>
          <w:t>111</w:t>
        </w:r>
        <w:r w:rsidR="00305667">
          <w:rPr>
            <w:noProof/>
            <w:webHidden/>
          </w:rPr>
          <w:fldChar w:fldCharType="end"/>
        </w:r>
      </w:hyperlink>
    </w:p>
    <w:p w14:paraId="488D8206" w14:textId="2C8F1D3C"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44" w:history="1">
        <w:r w:rsidR="00305667" w:rsidRPr="00820C6A">
          <w:rPr>
            <w:rStyle w:val="Hyperlink"/>
            <w:noProof/>
          </w:rPr>
          <w:t>Figure H</w:t>
        </w:r>
        <w:r w:rsidR="00305667" w:rsidRPr="00820C6A">
          <w:rPr>
            <w:rStyle w:val="Hyperlink"/>
            <w:noProof/>
          </w:rPr>
          <w:noBreakHyphen/>
          <w:t>8: Temporal trends in PSII-HEq with respect to (top graph) river flow rate influencing passive sampler site at Round Top Island in the Mackay Whitsunday region since 2005 and (bottom graph) flood plume colour class for 2015-16. Flow data provided by Department of Environment and Resource Management, Stream Gauging Network.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_Toc502499844 \h </w:instrText>
        </w:r>
        <w:r w:rsidR="00305667">
          <w:rPr>
            <w:noProof/>
            <w:webHidden/>
          </w:rPr>
        </w:r>
        <w:r w:rsidR="00305667">
          <w:rPr>
            <w:noProof/>
            <w:webHidden/>
          </w:rPr>
          <w:fldChar w:fldCharType="separate"/>
        </w:r>
        <w:r w:rsidR="00D12276">
          <w:rPr>
            <w:noProof/>
            <w:webHidden/>
          </w:rPr>
          <w:t>112</w:t>
        </w:r>
        <w:r w:rsidR="00305667">
          <w:rPr>
            <w:noProof/>
            <w:webHidden/>
          </w:rPr>
          <w:fldChar w:fldCharType="end"/>
        </w:r>
      </w:hyperlink>
    </w:p>
    <w:p w14:paraId="77C1FC7D" w14:textId="7F574BB0"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45" w:history="1">
        <w:r w:rsidR="00305667" w:rsidRPr="00820C6A">
          <w:rPr>
            <w:rStyle w:val="Hyperlink"/>
            <w:noProof/>
          </w:rPr>
          <w:t>Figure H</w:t>
        </w:r>
        <w:r w:rsidR="00305667" w:rsidRPr="00820C6A">
          <w:rPr>
            <w:rStyle w:val="Hyperlink"/>
            <w:noProof/>
          </w:rPr>
          <w:noBreakHyphen/>
          <w:t>9: Temporal trends in PSII-HEq with respect to (top graph) river flow rate influencing passive sampler site at Sandy Creek in the Mackay Whitsunday region since 2005 and (bottom graph) flood plume colour class for 2015-16. Flow data provided by Department of Environment and Resource Management, Stream Gauging Network.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_Toc502499845 \h </w:instrText>
        </w:r>
        <w:r w:rsidR="00305667">
          <w:rPr>
            <w:noProof/>
            <w:webHidden/>
          </w:rPr>
        </w:r>
        <w:r w:rsidR="00305667">
          <w:rPr>
            <w:noProof/>
            <w:webHidden/>
          </w:rPr>
          <w:fldChar w:fldCharType="separate"/>
        </w:r>
        <w:r w:rsidR="00D12276">
          <w:rPr>
            <w:noProof/>
            <w:webHidden/>
          </w:rPr>
          <w:t>113</w:t>
        </w:r>
        <w:r w:rsidR="00305667">
          <w:rPr>
            <w:noProof/>
            <w:webHidden/>
          </w:rPr>
          <w:fldChar w:fldCharType="end"/>
        </w:r>
      </w:hyperlink>
    </w:p>
    <w:p w14:paraId="68003F38" w14:textId="19177878"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46" w:history="1">
        <w:r w:rsidR="00305667" w:rsidRPr="00820C6A">
          <w:rPr>
            <w:rStyle w:val="Hyperlink"/>
            <w:noProof/>
          </w:rPr>
          <w:t>Figure H</w:t>
        </w:r>
        <w:r w:rsidR="00305667" w:rsidRPr="00820C6A">
          <w:rPr>
            <w:rStyle w:val="Hyperlink"/>
            <w:noProof/>
          </w:rPr>
          <w:noBreakHyphen/>
          <w:t>10: Temporal trends in PSII-HEq with respect to (top graph) river flow rate influencing passive sampler site at Sarina Inlet in the Mackay Whitsunday region since 2005 and (bottom graph) flood plume colour class for 2015-16. Flow data provided by Department of Environment and Resource Management, Stream Gauging Network.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_Toc502499846 \h </w:instrText>
        </w:r>
        <w:r w:rsidR="00305667">
          <w:rPr>
            <w:noProof/>
            <w:webHidden/>
          </w:rPr>
        </w:r>
        <w:r w:rsidR="00305667">
          <w:rPr>
            <w:noProof/>
            <w:webHidden/>
          </w:rPr>
          <w:fldChar w:fldCharType="separate"/>
        </w:r>
        <w:r w:rsidR="00D12276">
          <w:rPr>
            <w:noProof/>
            <w:webHidden/>
          </w:rPr>
          <w:t>114</w:t>
        </w:r>
        <w:r w:rsidR="00305667">
          <w:rPr>
            <w:noProof/>
            <w:webHidden/>
          </w:rPr>
          <w:fldChar w:fldCharType="end"/>
        </w:r>
      </w:hyperlink>
    </w:p>
    <w:p w14:paraId="6C863244" w14:textId="445DFC94"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47" w:history="1">
        <w:r w:rsidR="00305667" w:rsidRPr="00820C6A">
          <w:rPr>
            <w:rStyle w:val="Hyperlink"/>
            <w:noProof/>
          </w:rPr>
          <w:t>Figure H</w:t>
        </w:r>
        <w:r w:rsidR="00305667" w:rsidRPr="00820C6A">
          <w:rPr>
            <w:rStyle w:val="Hyperlink"/>
            <w:noProof/>
          </w:rPr>
          <w:noBreakHyphen/>
          <w:t>11: Temporal trends in PSII-HEq with respect to (top graph) river flow rate influencing passive sampler site at North Keppel Island in the Fitzroy region since 2005 and (bottom graph) flood plume colour class for 2015-16. Flow data provided by Department of Environment and Resource Management, Stream Gauging Network. Colour class data provided by Dieter Tracey (JCU).</w:t>
        </w:r>
        <w:r w:rsidR="00305667">
          <w:rPr>
            <w:noProof/>
            <w:webHidden/>
          </w:rPr>
          <w:tab/>
        </w:r>
        <w:r w:rsidR="00305667">
          <w:rPr>
            <w:noProof/>
            <w:webHidden/>
          </w:rPr>
          <w:fldChar w:fldCharType="begin"/>
        </w:r>
        <w:r w:rsidR="00305667">
          <w:rPr>
            <w:noProof/>
            <w:webHidden/>
          </w:rPr>
          <w:instrText xml:space="preserve"> PAGEREF _Toc502499847 \h </w:instrText>
        </w:r>
        <w:r w:rsidR="00305667">
          <w:rPr>
            <w:noProof/>
            <w:webHidden/>
          </w:rPr>
        </w:r>
        <w:r w:rsidR="00305667">
          <w:rPr>
            <w:noProof/>
            <w:webHidden/>
          </w:rPr>
          <w:fldChar w:fldCharType="separate"/>
        </w:r>
        <w:r w:rsidR="00D12276">
          <w:rPr>
            <w:noProof/>
            <w:webHidden/>
          </w:rPr>
          <w:t>115</w:t>
        </w:r>
        <w:r w:rsidR="00305667">
          <w:rPr>
            <w:noProof/>
            <w:webHidden/>
          </w:rPr>
          <w:fldChar w:fldCharType="end"/>
        </w:r>
      </w:hyperlink>
    </w:p>
    <w:p w14:paraId="73433C42" w14:textId="579F591F"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48" w:history="1">
        <w:r w:rsidR="00305667" w:rsidRPr="00820C6A">
          <w:rPr>
            <w:rStyle w:val="Hyperlink"/>
            <w:noProof/>
          </w:rPr>
          <w:t>Figure I</w:t>
        </w:r>
        <w:r w:rsidR="00305667" w:rsidRPr="00820C6A">
          <w:rPr>
            <w:rStyle w:val="Hyperlink"/>
            <w:noProof/>
          </w:rPr>
          <w:noBreakHyphen/>
          <w:t>1: Temporal concentration profiles of individual herbicides at Low Isles in the Wet Tropics region</w:t>
        </w:r>
        <w:r w:rsidR="00305667">
          <w:rPr>
            <w:noProof/>
            <w:webHidden/>
          </w:rPr>
          <w:tab/>
        </w:r>
        <w:r w:rsidR="00305667">
          <w:rPr>
            <w:noProof/>
            <w:webHidden/>
          </w:rPr>
          <w:fldChar w:fldCharType="begin"/>
        </w:r>
        <w:r w:rsidR="00305667">
          <w:rPr>
            <w:noProof/>
            <w:webHidden/>
          </w:rPr>
          <w:instrText xml:space="preserve"> PAGEREF _Toc502499848 \h </w:instrText>
        </w:r>
        <w:r w:rsidR="00305667">
          <w:rPr>
            <w:noProof/>
            <w:webHidden/>
          </w:rPr>
        </w:r>
        <w:r w:rsidR="00305667">
          <w:rPr>
            <w:noProof/>
            <w:webHidden/>
          </w:rPr>
          <w:fldChar w:fldCharType="separate"/>
        </w:r>
        <w:r w:rsidR="00D12276">
          <w:rPr>
            <w:noProof/>
            <w:webHidden/>
          </w:rPr>
          <w:t>116</w:t>
        </w:r>
        <w:r w:rsidR="00305667">
          <w:rPr>
            <w:noProof/>
            <w:webHidden/>
          </w:rPr>
          <w:fldChar w:fldCharType="end"/>
        </w:r>
      </w:hyperlink>
    </w:p>
    <w:p w14:paraId="756B9CFF" w14:textId="5FF47FFF"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49" w:history="1">
        <w:r w:rsidR="00305667" w:rsidRPr="00820C6A">
          <w:rPr>
            <w:rStyle w:val="Hyperlink"/>
            <w:noProof/>
          </w:rPr>
          <w:t>Figure I</w:t>
        </w:r>
        <w:r w:rsidR="00305667" w:rsidRPr="00820C6A">
          <w:rPr>
            <w:rStyle w:val="Hyperlink"/>
            <w:noProof/>
          </w:rPr>
          <w:noBreakHyphen/>
          <w:t>2: Temporal concentration profiles of individual herbicides at High Island in the Wet Tropics region</w:t>
        </w:r>
        <w:r w:rsidR="00305667">
          <w:rPr>
            <w:noProof/>
            <w:webHidden/>
          </w:rPr>
          <w:tab/>
        </w:r>
        <w:r w:rsidR="00305667">
          <w:rPr>
            <w:noProof/>
            <w:webHidden/>
          </w:rPr>
          <w:fldChar w:fldCharType="begin"/>
        </w:r>
        <w:r w:rsidR="00305667">
          <w:rPr>
            <w:noProof/>
            <w:webHidden/>
          </w:rPr>
          <w:instrText xml:space="preserve"> PAGEREF _Toc502499849 \h </w:instrText>
        </w:r>
        <w:r w:rsidR="00305667">
          <w:rPr>
            <w:noProof/>
            <w:webHidden/>
          </w:rPr>
        </w:r>
        <w:r w:rsidR="00305667">
          <w:rPr>
            <w:noProof/>
            <w:webHidden/>
          </w:rPr>
          <w:fldChar w:fldCharType="separate"/>
        </w:r>
        <w:r w:rsidR="00D12276">
          <w:rPr>
            <w:noProof/>
            <w:webHidden/>
          </w:rPr>
          <w:t>117</w:t>
        </w:r>
        <w:r w:rsidR="00305667">
          <w:rPr>
            <w:noProof/>
            <w:webHidden/>
          </w:rPr>
          <w:fldChar w:fldCharType="end"/>
        </w:r>
      </w:hyperlink>
    </w:p>
    <w:p w14:paraId="3C72C791" w14:textId="563833B3"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50" w:history="1">
        <w:r w:rsidR="00305667" w:rsidRPr="00820C6A">
          <w:rPr>
            <w:rStyle w:val="Hyperlink"/>
            <w:noProof/>
          </w:rPr>
          <w:t>Figure I</w:t>
        </w:r>
        <w:r w:rsidR="00305667" w:rsidRPr="00820C6A">
          <w:rPr>
            <w:rStyle w:val="Hyperlink"/>
            <w:noProof/>
          </w:rPr>
          <w:noBreakHyphen/>
          <w:t>3: Temporal concentration profiles of individual herbicides at Dunk Island in the Wet Tropics region</w:t>
        </w:r>
        <w:r w:rsidR="00305667">
          <w:rPr>
            <w:noProof/>
            <w:webHidden/>
          </w:rPr>
          <w:tab/>
        </w:r>
        <w:r w:rsidR="00305667">
          <w:rPr>
            <w:noProof/>
            <w:webHidden/>
          </w:rPr>
          <w:fldChar w:fldCharType="begin"/>
        </w:r>
        <w:r w:rsidR="00305667">
          <w:rPr>
            <w:noProof/>
            <w:webHidden/>
          </w:rPr>
          <w:instrText xml:space="preserve"> PAGEREF _Toc502499850 \h </w:instrText>
        </w:r>
        <w:r w:rsidR="00305667">
          <w:rPr>
            <w:noProof/>
            <w:webHidden/>
          </w:rPr>
        </w:r>
        <w:r w:rsidR="00305667">
          <w:rPr>
            <w:noProof/>
            <w:webHidden/>
          </w:rPr>
          <w:fldChar w:fldCharType="separate"/>
        </w:r>
        <w:r w:rsidR="00D12276">
          <w:rPr>
            <w:noProof/>
            <w:webHidden/>
          </w:rPr>
          <w:t>118</w:t>
        </w:r>
        <w:r w:rsidR="00305667">
          <w:rPr>
            <w:noProof/>
            <w:webHidden/>
          </w:rPr>
          <w:fldChar w:fldCharType="end"/>
        </w:r>
      </w:hyperlink>
    </w:p>
    <w:p w14:paraId="1A5ED2EE" w14:textId="6FE2AFA7"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51" w:history="1">
        <w:r w:rsidR="00305667" w:rsidRPr="00820C6A">
          <w:rPr>
            <w:rStyle w:val="Hyperlink"/>
            <w:noProof/>
          </w:rPr>
          <w:t>Figure I</w:t>
        </w:r>
        <w:r w:rsidR="00305667" w:rsidRPr="00820C6A">
          <w:rPr>
            <w:rStyle w:val="Hyperlink"/>
            <w:noProof/>
          </w:rPr>
          <w:noBreakHyphen/>
          <w:t>4: Temporal concentration profiles of individual herbicides at Normanby Island in the Wet Tropics region</w:t>
        </w:r>
        <w:r w:rsidR="00305667">
          <w:rPr>
            <w:noProof/>
            <w:webHidden/>
          </w:rPr>
          <w:tab/>
        </w:r>
        <w:r w:rsidR="00305667">
          <w:rPr>
            <w:noProof/>
            <w:webHidden/>
          </w:rPr>
          <w:fldChar w:fldCharType="begin"/>
        </w:r>
        <w:r w:rsidR="00305667">
          <w:rPr>
            <w:noProof/>
            <w:webHidden/>
          </w:rPr>
          <w:instrText xml:space="preserve"> PAGEREF _Toc502499851 \h </w:instrText>
        </w:r>
        <w:r w:rsidR="00305667">
          <w:rPr>
            <w:noProof/>
            <w:webHidden/>
          </w:rPr>
        </w:r>
        <w:r w:rsidR="00305667">
          <w:rPr>
            <w:noProof/>
            <w:webHidden/>
          </w:rPr>
          <w:fldChar w:fldCharType="separate"/>
        </w:r>
        <w:r w:rsidR="00D12276">
          <w:rPr>
            <w:noProof/>
            <w:webHidden/>
          </w:rPr>
          <w:t>119</w:t>
        </w:r>
        <w:r w:rsidR="00305667">
          <w:rPr>
            <w:noProof/>
            <w:webHidden/>
          </w:rPr>
          <w:fldChar w:fldCharType="end"/>
        </w:r>
      </w:hyperlink>
    </w:p>
    <w:p w14:paraId="42CEB25A" w14:textId="7A51575D"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52" w:history="1">
        <w:r w:rsidR="00305667" w:rsidRPr="00820C6A">
          <w:rPr>
            <w:rStyle w:val="Hyperlink"/>
            <w:noProof/>
          </w:rPr>
          <w:t>Figure I</w:t>
        </w:r>
        <w:r w:rsidR="00305667" w:rsidRPr="00820C6A">
          <w:rPr>
            <w:rStyle w:val="Hyperlink"/>
            <w:noProof/>
          </w:rPr>
          <w:noBreakHyphen/>
          <w:t>5: Temporal concentration profiles of individual herbicides at Lucinda in the Wet Tropics region</w:t>
        </w:r>
        <w:r w:rsidR="00305667">
          <w:rPr>
            <w:noProof/>
            <w:webHidden/>
          </w:rPr>
          <w:tab/>
        </w:r>
        <w:r w:rsidR="00305667">
          <w:rPr>
            <w:noProof/>
            <w:webHidden/>
          </w:rPr>
          <w:fldChar w:fldCharType="begin"/>
        </w:r>
        <w:r w:rsidR="00305667">
          <w:rPr>
            <w:noProof/>
            <w:webHidden/>
          </w:rPr>
          <w:instrText xml:space="preserve"> PAGEREF _Toc502499852 \h </w:instrText>
        </w:r>
        <w:r w:rsidR="00305667">
          <w:rPr>
            <w:noProof/>
            <w:webHidden/>
          </w:rPr>
        </w:r>
        <w:r w:rsidR="00305667">
          <w:rPr>
            <w:noProof/>
            <w:webHidden/>
          </w:rPr>
          <w:fldChar w:fldCharType="separate"/>
        </w:r>
        <w:r w:rsidR="00D12276">
          <w:rPr>
            <w:noProof/>
            <w:webHidden/>
          </w:rPr>
          <w:t>120</w:t>
        </w:r>
        <w:r w:rsidR="00305667">
          <w:rPr>
            <w:noProof/>
            <w:webHidden/>
          </w:rPr>
          <w:fldChar w:fldCharType="end"/>
        </w:r>
      </w:hyperlink>
    </w:p>
    <w:p w14:paraId="0E9D01E3" w14:textId="779257EB"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53" w:history="1">
        <w:r w:rsidR="00305667" w:rsidRPr="00820C6A">
          <w:rPr>
            <w:rStyle w:val="Hyperlink"/>
            <w:noProof/>
          </w:rPr>
          <w:t>Figure I</w:t>
        </w:r>
        <w:r w:rsidR="00305667" w:rsidRPr="00820C6A">
          <w:rPr>
            <w:rStyle w:val="Hyperlink"/>
            <w:noProof/>
          </w:rPr>
          <w:noBreakHyphen/>
          <w:t>6: Temporal concentration profiles of individual herbicides at Barratta Creek mouth in the Burdekin region</w:t>
        </w:r>
        <w:r w:rsidR="00305667">
          <w:rPr>
            <w:noProof/>
            <w:webHidden/>
          </w:rPr>
          <w:tab/>
        </w:r>
        <w:r w:rsidR="00305667">
          <w:rPr>
            <w:noProof/>
            <w:webHidden/>
          </w:rPr>
          <w:fldChar w:fldCharType="begin"/>
        </w:r>
        <w:r w:rsidR="00305667">
          <w:rPr>
            <w:noProof/>
            <w:webHidden/>
          </w:rPr>
          <w:instrText xml:space="preserve"> PAGEREF _Toc502499853 \h </w:instrText>
        </w:r>
        <w:r w:rsidR="00305667">
          <w:rPr>
            <w:noProof/>
            <w:webHidden/>
          </w:rPr>
        </w:r>
        <w:r w:rsidR="00305667">
          <w:rPr>
            <w:noProof/>
            <w:webHidden/>
          </w:rPr>
          <w:fldChar w:fldCharType="separate"/>
        </w:r>
        <w:r w:rsidR="00D12276">
          <w:rPr>
            <w:noProof/>
            <w:webHidden/>
          </w:rPr>
          <w:t>121</w:t>
        </w:r>
        <w:r w:rsidR="00305667">
          <w:rPr>
            <w:noProof/>
            <w:webHidden/>
          </w:rPr>
          <w:fldChar w:fldCharType="end"/>
        </w:r>
      </w:hyperlink>
    </w:p>
    <w:p w14:paraId="385E171D" w14:textId="4EE1179A"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54" w:history="1">
        <w:r w:rsidR="00305667" w:rsidRPr="00820C6A">
          <w:rPr>
            <w:rStyle w:val="Hyperlink"/>
            <w:noProof/>
          </w:rPr>
          <w:t>Figure I</w:t>
        </w:r>
        <w:r w:rsidR="00305667" w:rsidRPr="00820C6A">
          <w:rPr>
            <w:rStyle w:val="Hyperlink"/>
            <w:noProof/>
          </w:rPr>
          <w:noBreakHyphen/>
          <w:t>7: Temporal concentration profiles of individual herbicides at Repulse Bay in the Mackay Whitsunday region</w:t>
        </w:r>
        <w:r w:rsidR="00305667">
          <w:rPr>
            <w:noProof/>
            <w:webHidden/>
          </w:rPr>
          <w:tab/>
        </w:r>
        <w:r w:rsidR="00305667">
          <w:rPr>
            <w:noProof/>
            <w:webHidden/>
          </w:rPr>
          <w:fldChar w:fldCharType="begin"/>
        </w:r>
        <w:r w:rsidR="00305667">
          <w:rPr>
            <w:noProof/>
            <w:webHidden/>
          </w:rPr>
          <w:instrText xml:space="preserve"> PAGEREF _Toc502499854 \h </w:instrText>
        </w:r>
        <w:r w:rsidR="00305667">
          <w:rPr>
            <w:noProof/>
            <w:webHidden/>
          </w:rPr>
        </w:r>
        <w:r w:rsidR="00305667">
          <w:rPr>
            <w:noProof/>
            <w:webHidden/>
          </w:rPr>
          <w:fldChar w:fldCharType="separate"/>
        </w:r>
        <w:r w:rsidR="00D12276">
          <w:rPr>
            <w:noProof/>
            <w:webHidden/>
          </w:rPr>
          <w:t>122</w:t>
        </w:r>
        <w:r w:rsidR="00305667">
          <w:rPr>
            <w:noProof/>
            <w:webHidden/>
          </w:rPr>
          <w:fldChar w:fldCharType="end"/>
        </w:r>
      </w:hyperlink>
    </w:p>
    <w:p w14:paraId="0CA98F7A" w14:textId="7CC75100"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55" w:history="1">
        <w:r w:rsidR="00305667" w:rsidRPr="00820C6A">
          <w:rPr>
            <w:rStyle w:val="Hyperlink"/>
            <w:noProof/>
          </w:rPr>
          <w:t>Figure I</w:t>
        </w:r>
        <w:r w:rsidR="00305667" w:rsidRPr="00820C6A">
          <w:rPr>
            <w:rStyle w:val="Hyperlink"/>
            <w:noProof/>
          </w:rPr>
          <w:noBreakHyphen/>
          <w:t>8: Temporal concentration profiles of individual herbicides at Round Top Island in the Mackay Whitsunday region</w:t>
        </w:r>
        <w:r w:rsidR="00305667">
          <w:rPr>
            <w:noProof/>
            <w:webHidden/>
          </w:rPr>
          <w:tab/>
        </w:r>
        <w:r w:rsidR="00305667">
          <w:rPr>
            <w:noProof/>
            <w:webHidden/>
          </w:rPr>
          <w:fldChar w:fldCharType="begin"/>
        </w:r>
        <w:r w:rsidR="00305667">
          <w:rPr>
            <w:noProof/>
            <w:webHidden/>
          </w:rPr>
          <w:instrText xml:space="preserve"> PAGEREF _Toc502499855 \h </w:instrText>
        </w:r>
        <w:r w:rsidR="00305667">
          <w:rPr>
            <w:noProof/>
            <w:webHidden/>
          </w:rPr>
        </w:r>
        <w:r w:rsidR="00305667">
          <w:rPr>
            <w:noProof/>
            <w:webHidden/>
          </w:rPr>
          <w:fldChar w:fldCharType="separate"/>
        </w:r>
        <w:r w:rsidR="00D12276">
          <w:rPr>
            <w:noProof/>
            <w:webHidden/>
          </w:rPr>
          <w:t>123</w:t>
        </w:r>
        <w:r w:rsidR="00305667">
          <w:rPr>
            <w:noProof/>
            <w:webHidden/>
          </w:rPr>
          <w:fldChar w:fldCharType="end"/>
        </w:r>
      </w:hyperlink>
    </w:p>
    <w:p w14:paraId="5FF1E9ED" w14:textId="59AED959"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56" w:history="1">
        <w:r w:rsidR="00305667" w:rsidRPr="00820C6A">
          <w:rPr>
            <w:rStyle w:val="Hyperlink"/>
            <w:noProof/>
          </w:rPr>
          <w:t>Figure I</w:t>
        </w:r>
        <w:r w:rsidR="00305667" w:rsidRPr="00820C6A">
          <w:rPr>
            <w:rStyle w:val="Hyperlink"/>
            <w:noProof/>
          </w:rPr>
          <w:noBreakHyphen/>
          <w:t>9: Temporal concentration profiles of individual herbicides at Sandy Creek in the Mackay Whitsunday region</w:t>
        </w:r>
        <w:r w:rsidR="00305667">
          <w:rPr>
            <w:noProof/>
            <w:webHidden/>
          </w:rPr>
          <w:tab/>
        </w:r>
        <w:r w:rsidR="00305667">
          <w:rPr>
            <w:noProof/>
            <w:webHidden/>
          </w:rPr>
          <w:fldChar w:fldCharType="begin"/>
        </w:r>
        <w:r w:rsidR="00305667">
          <w:rPr>
            <w:noProof/>
            <w:webHidden/>
          </w:rPr>
          <w:instrText xml:space="preserve"> PAGEREF _Toc502499856 \h </w:instrText>
        </w:r>
        <w:r w:rsidR="00305667">
          <w:rPr>
            <w:noProof/>
            <w:webHidden/>
          </w:rPr>
        </w:r>
        <w:r w:rsidR="00305667">
          <w:rPr>
            <w:noProof/>
            <w:webHidden/>
          </w:rPr>
          <w:fldChar w:fldCharType="separate"/>
        </w:r>
        <w:r w:rsidR="00D12276">
          <w:rPr>
            <w:noProof/>
            <w:webHidden/>
          </w:rPr>
          <w:t>124</w:t>
        </w:r>
        <w:r w:rsidR="00305667">
          <w:rPr>
            <w:noProof/>
            <w:webHidden/>
          </w:rPr>
          <w:fldChar w:fldCharType="end"/>
        </w:r>
      </w:hyperlink>
    </w:p>
    <w:p w14:paraId="5EA80230" w14:textId="34FC3C1D"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57" w:history="1">
        <w:r w:rsidR="00305667" w:rsidRPr="00820C6A">
          <w:rPr>
            <w:rStyle w:val="Hyperlink"/>
            <w:noProof/>
          </w:rPr>
          <w:t>Figure I</w:t>
        </w:r>
        <w:r w:rsidR="00305667" w:rsidRPr="00820C6A">
          <w:rPr>
            <w:rStyle w:val="Hyperlink"/>
            <w:noProof/>
          </w:rPr>
          <w:noBreakHyphen/>
          <w:t>10: Temporal concentration profiles of individual herbicides at Sarina Inlet in the Mackay Whitsunday region</w:t>
        </w:r>
        <w:r w:rsidR="00305667">
          <w:rPr>
            <w:noProof/>
            <w:webHidden/>
          </w:rPr>
          <w:tab/>
        </w:r>
        <w:r w:rsidR="00305667">
          <w:rPr>
            <w:noProof/>
            <w:webHidden/>
          </w:rPr>
          <w:fldChar w:fldCharType="begin"/>
        </w:r>
        <w:r w:rsidR="00305667">
          <w:rPr>
            <w:noProof/>
            <w:webHidden/>
          </w:rPr>
          <w:instrText xml:space="preserve"> PAGEREF _Toc502499857 \h </w:instrText>
        </w:r>
        <w:r w:rsidR="00305667">
          <w:rPr>
            <w:noProof/>
            <w:webHidden/>
          </w:rPr>
        </w:r>
        <w:r w:rsidR="00305667">
          <w:rPr>
            <w:noProof/>
            <w:webHidden/>
          </w:rPr>
          <w:fldChar w:fldCharType="separate"/>
        </w:r>
        <w:r w:rsidR="00D12276">
          <w:rPr>
            <w:noProof/>
            <w:webHidden/>
          </w:rPr>
          <w:t>125</w:t>
        </w:r>
        <w:r w:rsidR="00305667">
          <w:rPr>
            <w:noProof/>
            <w:webHidden/>
          </w:rPr>
          <w:fldChar w:fldCharType="end"/>
        </w:r>
      </w:hyperlink>
    </w:p>
    <w:p w14:paraId="6E68C426" w14:textId="34469F10"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58" w:history="1">
        <w:r w:rsidR="00305667" w:rsidRPr="00820C6A">
          <w:rPr>
            <w:rStyle w:val="Hyperlink"/>
            <w:noProof/>
          </w:rPr>
          <w:t>Figure I</w:t>
        </w:r>
        <w:r w:rsidR="00305667" w:rsidRPr="00820C6A">
          <w:rPr>
            <w:rStyle w:val="Hyperlink"/>
            <w:noProof/>
          </w:rPr>
          <w:noBreakHyphen/>
          <w:t>11: Temporal concentration profiles of individual herbicides at North Keppel Island in the Fitzroy region</w:t>
        </w:r>
        <w:r w:rsidR="00305667">
          <w:rPr>
            <w:noProof/>
            <w:webHidden/>
          </w:rPr>
          <w:tab/>
        </w:r>
        <w:r w:rsidR="00305667">
          <w:rPr>
            <w:noProof/>
            <w:webHidden/>
          </w:rPr>
          <w:fldChar w:fldCharType="begin"/>
        </w:r>
        <w:r w:rsidR="00305667">
          <w:rPr>
            <w:noProof/>
            <w:webHidden/>
          </w:rPr>
          <w:instrText xml:space="preserve"> PAGEREF _Toc502499858 \h </w:instrText>
        </w:r>
        <w:r w:rsidR="00305667">
          <w:rPr>
            <w:noProof/>
            <w:webHidden/>
          </w:rPr>
        </w:r>
        <w:r w:rsidR="00305667">
          <w:rPr>
            <w:noProof/>
            <w:webHidden/>
          </w:rPr>
          <w:fldChar w:fldCharType="separate"/>
        </w:r>
        <w:r w:rsidR="00D12276">
          <w:rPr>
            <w:noProof/>
            <w:webHidden/>
          </w:rPr>
          <w:t>126</w:t>
        </w:r>
        <w:r w:rsidR="00305667">
          <w:rPr>
            <w:noProof/>
            <w:webHidden/>
          </w:rPr>
          <w:fldChar w:fldCharType="end"/>
        </w:r>
      </w:hyperlink>
    </w:p>
    <w:p w14:paraId="15720C23" w14:textId="4026EEAB" w:rsidR="008C60F9" w:rsidRDefault="00C91BF5" w:rsidP="00305667">
      <w:pPr>
        <w:pStyle w:val="Caption"/>
        <w:ind w:left="993" w:hanging="993"/>
        <w:rPr>
          <w:lang w:val="en-AU"/>
        </w:rPr>
      </w:pPr>
      <w:r>
        <w:rPr>
          <w:lang w:val="en-AU"/>
        </w:rPr>
        <w:fldChar w:fldCharType="end"/>
      </w:r>
    </w:p>
    <w:p w14:paraId="15720C24" w14:textId="77777777" w:rsidR="00704C93" w:rsidRPr="00704C93" w:rsidRDefault="00704C93" w:rsidP="00305667">
      <w:pPr>
        <w:ind w:left="993" w:hanging="993"/>
        <w:rPr>
          <w:lang w:val="en-AU"/>
        </w:rPr>
      </w:pPr>
    </w:p>
    <w:p w14:paraId="6D5A9F72" w14:textId="6525C0FF" w:rsidR="00305667" w:rsidRDefault="00C91BF5"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r>
        <w:rPr>
          <w:lang w:val="en-AU"/>
        </w:rPr>
        <w:fldChar w:fldCharType="begin"/>
      </w:r>
      <w:r w:rsidR="00A206DB">
        <w:rPr>
          <w:lang w:val="en-AU"/>
        </w:rPr>
        <w:instrText xml:space="preserve"> TOC \h \z \c "Table_Apx" </w:instrText>
      </w:r>
      <w:r>
        <w:rPr>
          <w:lang w:val="en-AU"/>
        </w:rPr>
        <w:fldChar w:fldCharType="separate"/>
      </w:r>
      <w:hyperlink w:anchor="_Toc502499806" w:history="1">
        <w:r w:rsidR="00305667" w:rsidRPr="001A4C11">
          <w:rPr>
            <w:rStyle w:val="Hyperlink"/>
            <w:noProof/>
          </w:rPr>
          <w:t>Table A</w:t>
        </w:r>
        <w:r w:rsidR="00305667" w:rsidRPr="001A4C11">
          <w:rPr>
            <w:rStyle w:val="Hyperlink"/>
            <w:noProof/>
          </w:rPr>
          <w:noBreakHyphen/>
          <w:t>1: Summary of variability (% coefficient of variation) of replicate ED analysis</w:t>
        </w:r>
        <w:r w:rsidR="00305667">
          <w:rPr>
            <w:noProof/>
            <w:webHidden/>
          </w:rPr>
          <w:tab/>
        </w:r>
        <w:r w:rsidR="00305667">
          <w:rPr>
            <w:noProof/>
            <w:webHidden/>
          </w:rPr>
          <w:fldChar w:fldCharType="begin"/>
        </w:r>
        <w:r w:rsidR="00305667">
          <w:rPr>
            <w:noProof/>
            <w:webHidden/>
          </w:rPr>
          <w:instrText xml:space="preserve"> PAGEREF _Toc502499806 \h </w:instrText>
        </w:r>
        <w:r w:rsidR="00305667">
          <w:rPr>
            <w:noProof/>
            <w:webHidden/>
          </w:rPr>
        </w:r>
        <w:r w:rsidR="00305667">
          <w:rPr>
            <w:noProof/>
            <w:webHidden/>
          </w:rPr>
          <w:fldChar w:fldCharType="separate"/>
        </w:r>
        <w:r w:rsidR="00D12276">
          <w:rPr>
            <w:noProof/>
            <w:webHidden/>
          </w:rPr>
          <w:t>69</w:t>
        </w:r>
        <w:r w:rsidR="00305667">
          <w:rPr>
            <w:noProof/>
            <w:webHidden/>
          </w:rPr>
          <w:fldChar w:fldCharType="end"/>
        </w:r>
      </w:hyperlink>
    </w:p>
    <w:p w14:paraId="48A3DC83" w14:textId="6D398CFA"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07" w:history="1">
        <w:r w:rsidR="00305667" w:rsidRPr="001A4C11">
          <w:rPr>
            <w:rStyle w:val="Hyperlink"/>
            <w:noProof/>
          </w:rPr>
          <w:t>Table A</w:t>
        </w:r>
        <w:r w:rsidR="00305667" w:rsidRPr="001A4C11">
          <w:rPr>
            <w:rStyle w:val="Hyperlink"/>
            <w:noProof/>
          </w:rPr>
          <w:noBreakHyphen/>
          <w:t>2: QAEHS LC-MS/MS analyte list for positive and negative mode analysis</w:t>
        </w:r>
        <w:r w:rsidR="00305667">
          <w:rPr>
            <w:noProof/>
            <w:webHidden/>
          </w:rPr>
          <w:tab/>
        </w:r>
        <w:r w:rsidR="00305667">
          <w:rPr>
            <w:noProof/>
            <w:webHidden/>
          </w:rPr>
          <w:fldChar w:fldCharType="begin"/>
        </w:r>
        <w:r w:rsidR="00305667">
          <w:rPr>
            <w:noProof/>
            <w:webHidden/>
          </w:rPr>
          <w:instrText xml:space="preserve"> PAGEREF _Toc502499807 \h </w:instrText>
        </w:r>
        <w:r w:rsidR="00305667">
          <w:rPr>
            <w:noProof/>
            <w:webHidden/>
          </w:rPr>
        </w:r>
        <w:r w:rsidR="00305667">
          <w:rPr>
            <w:noProof/>
            <w:webHidden/>
          </w:rPr>
          <w:fldChar w:fldCharType="separate"/>
        </w:r>
        <w:r w:rsidR="00D12276">
          <w:rPr>
            <w:noProof/>
            <w:webHidden/>
          </w:rPr>
          <w:t>69</w:t>
        </w:r>
        <w:r w:rsidR="00305667">
          <w:rPr>
            <w:noProof/>
            <w:webHidden/>
          </w:rPr>
          <w:fldChar w:fldCharType="end"/>
        </w:r>
      </w:hyperlink>
    </w:p>
    <w:p w14:paraId="514F706B" w14:textId="6C4AC9A2"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08" w:history="1">
        <w:r w:rsidR="00305667" w:rsidRPr="001A4C11">
          <w:rPr>
            <w:rStyle w:val="Hyperlink"/>
            <w:noProof/>
          </w:rPr>
          <w:t>Table A</w:t>
        </w:r>
        <w:r w:rsidR="00305667" w:rsidRPr="001A4C11">
          <w:rPr>
            <w:rStyle w:val="Hyperlink"/>
            <w:noProof/>
          </w:rPr>
          <w:noBreakHyphen/>
          <w:t>3: QAEHS GC-MS analyte list for PDMS extracts</w:t>
        </w:r>
        <w:r w:rsidR="00305667">
          <w:rPr>
            <w:noProof/>
            <w:webHidden/>
          </w:rPr>
          <w:tab/>
        </w:r>
        <w:r w:rsidR="00305667">
          <w:rPr>
            <w:noProof/>
            <w:webHidden/>
          </w:rPr>
          <w:fldChar w:fldCharType="begin"/>
        </w:r>
        <w:r w:rsidR="00305667">
          <w:rPr>
            <w:noProof/>
            <w:webHidden/>
          </w:rPr>
          <w:instrText xml:space="preserve"> PAGEREF _Toc502499808 \h </w:instrText>
        </w:r>
        <w:r w:rsidR="00305667">
          <w:rPr>
            <w:noProof/>
            <w:webHidden/>
          </w:rPr>
        </w:r>
        <w:r w:rsidR="00305667">
          <w:rPr>
            <w:noProof/>
            <w:webHidden/>
          </w:rPr>
          <w:fldChar w:fldCharType="separate"/>
        </w:r>
        <w:r w:rsidR="00D12276">
          <w:rPr>
            <w:noProof/>
            <w:webHidden/>
          </w:rPr>
          <w:t>70</w:t>
        </w:r>
        <w:r w:rsidR="00305667">
          <w:rPr>
            <w:noProof/>
            <w:webHidden/>
          </w:rPr>
          <w:fldChar w:fldCharType="end"/>
        </w:r>
      </w:hyperlink>
    </w:p>
    <w:p w14:paraId="6F98A91C" w14:textId="6BCC2DF8"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09" w:history="1">
        <w:r w:rsidR="00305667" w:rsidRPr="001A4C11">
          <w:rPr>
            <w:rStyle w:val="Hyperlink"/>
            <w:noProof/>
          </w:rPr>
          <w:t>Table A</w:t>
        </w:r>
        <w:r w:rsidR="00305667" w:rsidRPr="001A4C11">
          <w:rPr>
            <w:rStyle w:val="Hyperlink"/>
            <w:noProof/>
          </w:rPr>
          <w:noBreakHyphen/>
          <w:t>4: Proposed priority pesticides and herbicides specified under the MMP (proposed by PWG 18 August 2015) and other pesticides of interest for potential inclusion in monitoring and reporting activities (feedback from the Paddock to the Reef program). Instrument limit of detection (LOD) and limit of reporting (LOR) are given (</w:t>
        </w:r>
        <w:r w:rsidR="00305667" w:rsidRPr="001A4C11">
          <w:rPr>
            <w:rStyle w:val="Hyperlink"/>
            <w:rFonts w:ascii="Symbol" w:hAnsi="Symbol"/>
            <w:noProof/>
          </w:rPr>
          <w:t></w:t>
        </w:r>
        <w:r w:rsidR="00305667" w:rsidRPr="001A4C11">
          <w:rPr>
            <w:rStyle w:val="Hyperlink"/>
            <w:noProof/>
          </w:rPr>
          <w:t>g L</w:t>
        </w:r>
        <w:r w:rsidR="00305667" w:rsidRPr="001A4C11">
          <w:rPr>
            <w:rStyle w:val="Hyperlink"/>
            <w:noProof/>
            <w:vertAlign w:val="superscript"/>
          </w:rPr>
          <w:t>-1</w:t>
        </w:r>
        <w:r w:rsidR="00305667" w:rsidRPr="001A4C11">
          <w:rPr>
            <w:rStyle w:val="Hyperlink"/>
            <w:noProof/>
          </w:rPr>
          <w:t>), where available.</w:t>
        </w:r>
        <w:r w:rsidR="00305667">
          <w:rPr>
            <w:noProof/>
            <w:webHidden/>
          </w:rPr>
          <w:tab/>
        </w:r>
        <w:r w:rsidR="00305667">
          <w:rPr>
            <w:noProof/>
            <w:webHidden/>
          </w:rPr>
          <w:fldChar w:fldCharType="begin"/>
        </w:r>
        <w:r w:rsidR="00305667">
          <w:rPr>
            <w:noProof/>
            <w:webHidden/>
          </w:rPr>
          <w:instrText xml:space="preserve"> PAGEREF _Toc502499809 \h </w:instrText>
        </w:r>
        <w:r w:rsidR="00305667">
          <w:rPr>
            <w:noProof/>
            <w:webHidden/>
          </w:rPr>
        </w:r>
        <w:r w:rsidR="00305667">
          <w:rPr>
            <w:noProof/>
            <w:webHidden/>
          </w:rPr>
          <w:fldChar w:fldCharType="separate"/>
        </w:r>
        <w:r w:rsidR="00D12276">
          <w:rPr>
            <w:noProof/>
            <w:webHidden/>
          </w:rPr>
          <w:t>70</w:t>
        </w:r>
        <w:r w:rsidR="00305667">
          <w:rPr>
            <w:noProof/>
            <w:webHidden/>
          </w:rPr>
          <w:fldChar w:fldCharType="end"/>
        </w:r>
      </w:hyperlink>
    </w:p>
    <w:p w14:paraId="4E9C9B1F" w14:textId="40F58C55"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10" w:history="1">
        <w:r w:rsidR="00305667" w:rsidRPr="001A4C11">
          <w:rPr>
            <w:rStyle w:val="Hyperlink"/>
            <w:noProof/>
          </w:rPr>
          <w:t>Table B</w:t>
        </w:r>
        <w:r w:rsidR="00305667" w:rsidRPr="001A4C11">
          <w:rPr>
            <w:rStyle w:val="Hyperlink"/>
            <w:noProof/>
          </w:rPr>
          <w:noBreakHyphen/>
          <w:t>1: Water quality limits available for pesticides (protective concentration values, PC95 and PC99, will protect 95% and 99% of the species in the ecosystem, respectively)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_Toc502499810 \h </w:instrText>
        </w:r>
        <w:r w:rsidR="00305667">
          <w:rPr>
            <w:noProof/>
            <w:webHidden/>
          </w:rPr>
        </w:r>
        <w:r w:rsidR="00305667">
          <w:rPr>
            <w:noProof/>
            <w:webHidden/>
          </w:rPr>
          <w:fldChar w:fldCharType="separate"/>
        </w:r>
        <w:r w:rsidR="00D12276">
          <w:rPr>
            <w:noProof/>
            <w:webHidden/>
          </w:rPr>
          <w:t>73</w:t>
        </w:r>
        <w:r w:rsidR="00305667">
          <w:rPr>
            <w:noProof/>
            <w:webHidden/>
          </w:rPr>
          <w:fldChar w:fldCharType="end"/>
        </w:r>
      </w:hyperlink>
    </w:p>
    <w:p w14:paraId="68F7C927" w14:textId="13E03808"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11" w:history="1">
        <w:r w:rsidR="00305667" w:rsidRPr="001A4C11">
          <w:rPr>
            <w:rStyle w:val="Hyperlink"/>
            <w:noProof/>
          </w:rPr>
          <w:t>Table C</w:t>
        </w:r>
        <w:r w:rsidR="00305667" w:rsidRPr="001A4C11">
          <w:rPr>
            <w:rStyle w:val="Hyperlink"/>
            <w:noProof/>
          </w:rPr>
          <w:noBreakHyphen/>
          <w:t>1: Scientific publications indicating the effect concentrations and the end-points for the reference PSII herbicide diuron used to define specific PSII-HEq Index categories as an indicator for reporting purposes</w:t>
        </w:r>
        <w:r w:rsidR="00305667">
          <w:rPr>
            <w:noProof/>
            <w:webHidden/>
          </w:rPr>
          <w:tab/>
        </w:r>
        <w:r w:rsidR="00305667">
          <w:rPr>
            <w:noProof/>
            <w:webHidden/>
          </w:rPr>
          <w:fldChar w:fldCharType="begin"/>
        </w:r>
        <w:r w:rsidR="00305667">
          <w:rPr>
            <w:noProof/>
            <w:webHidden/>
          </w:rPr>
          <w:instrText xml:space="preserve"> PAGEREF _Toc502499811 \h </w:instrText>
        </w:r>
        <w:r w:rsidR="00305667">
          <w:rPr>
            <w:noProof/>
            <w:webHidden/>
          </w:rPr>
        </w:r>
        <w:r w:rsidR="00305667">
          <w:rPr>
            <w:noProof/>
            <w:webHidden/>
          </w:rPr>
          <w:fldChar w:fldCharType="separate"/>
        </w:r>
        <w:r w:rsidR="00D12276">
          <w:rPr>
            <w:noProof/>
            <w:webHidden/>
          </w:rPr>
          <w:t>76</w:t>
        </w:r>
        <w:r w:rsidR="00305667">
          <w:rPr>
            <w:noProof/>
            <w:webHidden/>
          </w:rPr>
          <w:fldChar w:fldCharType="end"/>
        </w:r>
      </w:hyperlink>
    </w:p>
    <w:p w14:paraId="04ECD5A8" w14:textId="505C4587"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12" w:history="1">
        <w:r w:rsidR="00305667" w:rsidRPr="001A4C11">
          <w:rPr>
            <w:rStyle w:val="Hyperlink"/>
            <w:noProof/>
          </w:rPr>
          <w:t>Table C</w:t>
        </w:r>
        <w:r w:rsidR="00305667" w:rsidRPr="001A4C11">
          <w:rPr>
            <w:rStyle w:val="Hyperlink"/>
            <w:noProof/>
          </w:rPr>
          <w:noBreakHyphen/>
          <w:t>2: Preliminary effects of diuron in marine organisms</w:t>
        </w:r>
        <w:r w:rsidR="00305667">
          <w:rPr>
            <w:noProof/>
            <w:webHidden/>
          </w:rPr>
          <w:tab/>
        </w:r>
        <w:r w:rsidR="00305667">
          <w:rPr>
            <w:noProof/>
            <w:webHidden/>
          </w:rPr>
          <w:fldChar w:fldCharType="begin"/>
        </w:r>
        <w:r w:rsidR="00305667">
          <w:rPr>
            <w:noProof/>
            <w:webHidden/>
          </w:rPr>
          <w:instrText xml:space="preserve"> PAGEREF _Toc502499812 \h </w:instrText>
        </w:r>
        <w:r w:rsidR="00305667">
          <w:rPr>
            <w:noProof/>
            <w:webHidden/>
          </w:rPr>
        </w:r>
        <w:r w:rsidR="00305667">
          <w:rPr>
            <w:noProof/>
            <w:webHidden/>
          </w:rPr>
          <w:fldChar w:fldCharType="separate"/>
        </w:r>
        <w:r w:rsidR="00D12276">
          <w:rPr>
            <w:noProof/>
            <w:webHidden/>
          </w:rPr>
          <w:t>80</w:t>
        </w:r>
        <w:r w:rsidR="00305667">
          <w:rPr>
            <w:noProof/>
            <w:webHidden/>
          </w:rPr>
          <w:fldChar w:fldCharType="end"/>
        </w:r>
      </w:hyperlink>
    </w:p>
    <w:p w14:paraId="0CCD4482" w14:textId="5906F244"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13" w:history="1">
        <w:r w:rsidR="00305667" w:rsidRPr="001A4C11">
          <w:rPr>
            <w:rStyle w:val="Hyperlink"/>
            <w:noProof/>
          </w:rPr>
          <w:t>Table C</w:t>
        </w:r>
        <w:r w:rsidR="00305667" w:rsidRPr="001A4C11">
          <w:rPr>
            <w:rStyle w:val="Hyperlink"/>
            <w:noProof/>
          </w:rPr>
          <w:noBreakHyphen/>
          <w:t>3: Relative potency factors (RPF) for PSII herbicides and selected transformation products</w:t>
        </w:r>
        <w:r w:rsidR="00305667">
          <w:rPr>
            <w:noProof/>
            <w:webHidden/>
          </w:rPr>
          <w:tab/>
        </w:r>
        <w:r w:rsidR="00305667">
          <w:rPr>
            <w:noProof/>
            <w:webHidden/>
          </w:rPr>
          <w:fldChar w:fldCharType="begin"/>
        </w:r>
        <w:r w:rsidR="00305667">
          <w:rPr>
            <w:noProof/>
            <w:webHidden/>
          </w:rPr>
          <w:instrText xml:space="preserve"> PAGEREF _Toc502499813 \h </w:instrText>
        </w:r>
        <w:r w:rsidR="00305667">
          <w:rPr>
            <w:noProof/>
            <w:webHidden/>
          </w:rPr>
        </w:r>
        <w:r w:rsidR="00305667">
          <w:rPr>
            <w:noProof/>
            <w:webHidden/>
          </w:rPr>
          <w:fldChar w:fldCharType="separate"/>
        </w:r>
        <w:r w:rsidR="00D12276">
          <w:rPr>
            <w:noProof/>
            <w:webHidden/>
          </w:rPr>
          <w:t>81</w:t>
        </w:r>
        <w:r w:rsidR="00305667">
          <w:rPr>
            <w:noProof/>
            <w:webHidden/>
          </w:rPr>
          <w:fldChar w:fldCharType="end"/>
        </w:r>
      </w:hyperlink>
    </w:p>
    <w:p w14:paraId="39C9E4BA" w14:textId="6203EE3C"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14" w:history="1">
        <w:r w:rsidR="00305667" w:rsidRPr="001A4C11">
          <w:rPr>
            <w:rStyle w:val="Hyperlink"/>
            <w:noProof/>
          </w:rPr>
          <w:t>Table C</w:t>
        </w:r>
        <w:r w:rsidR="00305667" w:rsidRPr="001A4C11">
          <w:rPr>
            <w:rStyle w:val="Hyperlink"/>
            <w:noProof/>
          </w:rPr>
          <w:noBreakHyphen/>
          <w:t>4: PSII-Herbicide Equivalent (PSII-HEq) Index developed as an indicator for reporting of PSII herbicides across the MMP</w:t>
        </w:r>
        <w:r w:rsidR="00305667">
          <w:rPr>
            <w:noProof/>
            <w:webHidden/>
          </w:rPr>
          <w:tab/>
        </w:r>
        <w:r w:rsidR="00305667">
          <w:rPr>
            <w:noProof/>
            <w:webHidden/>
          </w:rPr>
          <w:fldChar w:fldCharType="begin"/>
        </w:r>
        <w:r w:rsidR="00305667">
          <w:rPr>
            <w:noProof/>
            <w:webHidden/>
          </w:rPr>
          <w:instrText xml:space="preserve"> PAGEREF _Toc502499814 \h </w:instrText>
        </w:r>
        <w:r w:rsidR="00305667">
          <w:rPr>
            <w:noProof/>
            <w:webHidden/>
          </w:rPr>
        </w:r>
        <w:r w:rsidR="00305667">
          <w:rPr>
            <w:noProof/>
            <w:webHidden/>
          </w:rPr>
          <w:fldChar w:fldCharType="separate"/>
        </w:r>
        <w:r w:rsidR="00D12276">
          <w:rPr>
            <w:noProof/>
            <w:webHidden/>
          </w:rPr>
          <w:t>82</w:t>
        </w:r>
        <w:r w:rsidR="00305667">
          <w:rPr>
            <w:noProof/>
            <w:webHidden/>
          </w:rPr>
          <w:fldChar w:fldCharType="end"/>
        </w:r>
      </w:hyperlink>
    </w:p>
    <w:p w14:paraId="11588193" w14:textId="4DE6F200"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15" w:history="1">
        <w:r w:rsidR="00305667" w:rsidRPr="001A4C11">
          <w:rPr>
            <w:rStyle w:val="Hyperlink"/>
            <w:noProof/>
          </w:rPr>
          <w:t>Table E</w:t>
        </w:r>
        <w:r w:rsidR="00305667" w:rsidRPr="001A4C11">
          <w:rPr>
            <w:rStyle w:val="Hyperlink"/>
            <w:noProof/>
          </w:rPr>
          <w:noBreakHyphen/>
          <w:t>1: Wet season discharge (ML) of the main Reef rivers (c.a., November 2015 to April 2016, inclusive), compared to the previous five wet seasons and long-term (LT) median discharge (1986-2016). Colours indicate levels above the long-term median: yellow for 1.5 to 2 times; orange for 2 to 3 times, and red for greater than 3 times. Data source: DNRM, table derived from Waterhouse et al. (2017b) (– = data not available).</w:t>
        </w:r>
        <w:r w:rsidR="00305667">
          <w:rPr>
            <w:noProof/>
            <w:webHidden/>
          </w:rPr>
          <w:tab/>
        </w:r>
        <w:r w:rsidR="00305667">
          <w:rPr>
            <w:noProof/>
            <w:webHidden/>
          </w:rPr>
          <w:fldChar w:fldCharType="begin"/>
        </w:r>
        <w:r w:rsidR="00305667">
          <w:rPr>
            <w:noProof/>
            <w:webHidden/>
          </w:rPr>
          <w:instrText xml:space="preserve"> PAGEREF _Toc502499815 \h </w:instrText>
        </w:r>
        <w:r w:rsidR="00305667">
          <w:rPr>
            <w:noProof/>
            <w:webHidden/>
          </w:rPr>
        </w:r>
        <w:r w:rsidR="00305667">
          <w:rPr>
            <w:noProof/>
            <w:webHidden/>
          </w:rPr>
          <w:fldChar w:fldCharType="separate"/>
        </w:r>
        <w:r w:rsidR="00D12276">
          <w:rPr>
            <w:noProof/>
            <w:webHidden/>
          </w:rPr>
          <w:t>84</w:t>
        </w:r>
        <w:r w:rsidR="00305667">
          <w:rPr>
            <w:noProof/>
            <w:webHidden/>
          </w:rPr>
          <w:fldChar w:fldCharType="end"/>
        </w:r>
      </w:hyperlink>
    </w:p>
    <w:p w14:paraId="0B6F9B41" w14:textId="4B2CB71B"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16" w:history="1">
        <w:r w:rsidR="00305667" w:rsidRPr="001A4C11">
          <w:rPr>
            <w:rStyle w:val="Hyperlink"/>
            <w:noProof/>
          </w:rPr>
          <w:t>Table E</w:t>
        </w:r>
        <w:r w:rsidR="00305667" w:rsidRPr="001A4C11">
          <w:rPr>
            <w:rStyle w:val="Hyperlink"/>
            <w:noProof/>
          </w:rPr>
          <w:noBreakHyphen/>
          <w:t>2: Weekly flood plume colour class (1 – 6) for fixed site passive sampler locations during the 2015-16 wet season (beginning 1 December 2015)</w:t>
        </w:r>
        <w:r w:rsidR="00305667">
          <w:rPr>
            <w:noProof/>
            <w:webHidden/>
          </w:rPr>
          <w:tab/>
        </w:r>
        <w:r w:rsidR="00305667">
          <w:rPr>
            <w:noProof/>
            <w:webHidden/>
          </w:rPr>
          <w:fldChar w:fldCharType="begin"/>
        </w:r>
        <w:r w:rsidR="00305667">
          <w:rPr>
            <w:noProof/>
            <w:webHidden/>
          </w:rPr>
          <w:instrText xml:space="preserve"> PAGEREF _Toc502499816 \h </w:instrText>
        </w:r>
        <w:r w:rsidR="00305667">
          <w:rPr>
            <w:noProof/>
            <w:webHidden/>
          </w:rPr>
        </w:r>
        <w:r w:rsidR="00305667">
          <w:rPr>
            <w:noProof/>
            <w:webHidden/>
          </w:rPr>
          <w:fldChar w:fldCharType="separate"/>
        </w:r>
        <w:r w:rsidR="00D12276">
          <w:rPr>
            <w:noProof/>
            <w:webHidden/>
          </w:rPr>
          <w:t>85</w:t>
        </w:r>
        <w:r w:rsidR="00305667">
          <w:rPr>
            <w:noProof/>
            <w:webHidden/>
          </w:rPr>
          <w:fldChar w:fldCharType="end"/>
        </w:r>
      </w:hyperlink>
    </w:p>
    <w:p w14:paraId="53A3BE97" w14:textId="640BD9A9"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17" w:history="1">
        <w:r w:rsidR="00305667" w:rsidRPr="001A4C11">
          <w:rPr>
            <w:rStyle w:val="Hyperlink"/>
            <w:noProof/>
          </w:rPr>
          <w:t>Table F</w:t>
        </w:r>
        <w:r w:rsidR="00305667" w:rsidRPr="001A4C11">
          <w:rPr>
            <w:rStyle w:val="Hyperlink"/>
            <w:noProof/>
          </w:rPr>
          <w:noBreakHyphen/>
          <w:t>1: Passive sampling return record for the 2015-16 monitoring year. ED sampler numbers are given with PDMS (non-polar) samplers in brackets after.</w:t>
        </w:r>
        <w:r w:rsidR="00305667">
          <w:rPr>
            <w:noProof/>
            <w:webHidden/>
          </w:rPr>
          <w:tab/>
        </w:r>
        <w:r w:rsidR="00305667">
          <w:rPr>
            <w:noProof/>
            <w:webHidden/>
          </w:rPr>
          <w:fldChar w:fldCharType="begin"/>
        </w:r>
        <w:r w:rsidR="00305667">
          <w:rPr>
            <w:noProof/>
            <w:webHidden/>
          </w:rPr>
          <w:instrText xml:space="preserve"> PAGEREF _Toc502499817 \h </w:instrText>
        </w:r>
        <w:r w:rsidR="00305667">
          <w:rPr>
            <w:noProof/>
            <w:webHidden/>
          </w:rPr>
        </w:r>
        <w:r w:rsidR="00305667">
          <w:rPr>
            <w:noProof/>
            <w:webHidden/>
          </w:rPr>
          <w:fldChar w:fldCharType="separate"/>
        </w:r>
        <w:r w:rsidR="00D12276">
          <w:rPr>
            <w:noProof/>
            <w:webHidden/>
          </w:rPr>
          <w:t>90</w:t>
        </w:r>
        <w:r w:rsidR="00305667">
          <w:rPr>
            <w:noProof/>
            <w:webHidden/>
          </w:rPr>
          <w:fldChar w:fldCharType="end"/>
        </w:r>
      </w:hyperlink>
    </w:p>
    <w:p w14:paraId="4BD3869D" w14:textId="6618B7D7"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18" w:history="1">
        <w:r w:rsidR="00305667" w:rsidRPr="001A4C11">
          <w:rPr>
            <w:rStyle w:val="Hyperlink"/>
            <w:noProof/>
          </w:rPr>
          <w:t>Table F</w:t>
        </w:r>
        <w:r w:rsidR="00305667" w:rsidRPr="001A4C11">
          <w:rPr>
            <w:rStyle w:val="Hyperlink"/>
            <w:noProof/>
          </w:rPr>
          <w:noBreakHyphen/>
          <w:t>2: Low Isles, Wet Tropics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_Toc502499818 \h </w:instrText>
        </w:r>
        <w:r w:rsidR="00305667">
          <w:rPr>
            <w:noProof/>
            <w:webHidden/>
          </w:rPr>
        </w:r>
        <w:r w:rsidR="00305667">
          <w:rPr>
            <w:noProof/>
            <w:webHidden/>
          </w:rPr>
          <w:fldChar w:fldCharType="separate"/>
        </w:r>
        <w:r w:rsidR="00D12276">
          <w:rPr>
            <w:noProof/>
            <w:webHidden/>
          </w:rPr>
          <w:t>91</w:t>
        </w:r>
        <w:r w:rsidR="00305667">
          <w:rPr>
            <w:noProof/>
            <w:webHidden/>
          </w:rPr>
          <w:fldChar w:fldCharType="end"/>
        </w:r>
      </w:hyperlink>
    </w:p>
    <w:p w14:paraId="0CE0141F" w14:textId="2F2D5290"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19" w:history="1">
        <w:r w:rsidR="00305667" w:rsidRPr="001A4C11">
          <w:rPr>
            <w:rStyle w:val="Hyperlink"/>
            <w:noProof/>
          </w:rPr>
          <w:t>Table F</w:t>
        </w:r>
        <w:r w:rsidR="00305667" w:rsidRPr="001A4C11">
          <w:rPr>
            <w:rStyle w:val="Hyperlink"/>
            <w:noProof/>
          </w:rPr>
          <w:noBreakHyphen/>
          <w:t>3: High Island, Wet Tropics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_Toc502499819 \h </w:instrText>
        </w:r>
        <w:r w:rsidR="00305667">
          <w:rPr>
            <w:noProof/>
            <w:webHidden/>
          </w:rPr>
        </w:r>
        <w:r w:rsidR="00305667">
          <w:rPr>
            <w:noProof/>
            <w:webHidden/>
          </w:rPr>
          <w:fldChar w:fldCharType="separate"/>
        </w:r>
        <w:r w:rsidR="00D12276">
          <w:rPr>
            <w:noProof/>
            <w:webHidden/>
          </w:rPr>
          <w:t>92</w:t>
        </w:r>
        <w:r w:rsidR="00305667">
          <w:rPr>
            <w:noProof/>
            <w:webHidden/>
          </w:rPr>
          <w:fldChar w:fldCharType="end"/>
        </w:r>
      </w:hyperlink>
    </w:p>
    <w:p w14:paraId="0B70AFFF" w14:textId="08876A83"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20" w:history="1">
        <w:r w:rsidR="00305667" w:rsidRPr="001A4C11">
          <w:rPr>
            <w:rStyle w:val="Hyperlink"/>
            <w:noProof/>
          </w:rPr>
          <w:t>Table F</w:t>
        </w:r>
        <w:r w:rsidR="00305667" w:rsidRPr="001A4C11">
          <w:rPr>
            <w:rStyle w:val="Hyperlink"/>
            <w:noProof/>
          </w:rPr>
          <w:noBreakHyphen/>
          <w:t>4: Dunk Island, Wet Tropics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_Toc502499820 \h </w:instrText>
        </w:r>
        <w:r w:rsidR="00305667">
          <w:rPr>
            <w:noProof/>
            <w:webHidden/>
          </w:rPr>
        </w:r>
        <w:r w:rsidR="00305667">
          <w:rPr>
            <w:noProof/>
            <w:webHidden/>
          </w:rPr>
          <w:fldChar w:fldCharType="separate"/>
        </w:r>
        <w:r w:rsidR="00D12276">
          <w:rPr>
            <w:noProof/>
            <w:webHidden/>
          </w:rPr>
          <w:t>93</w:t>
        </w:r>
        <w:r w:rsidR="00305667">
          <w:rPr>
            <w:noProof/>
            <w:webHidden/>
          </w:rPr>
          <w:fldChar w:fldCharType="end"/>
        </w:r>
      </w:hyperlink>
    </w:p>
    <w:p w14:paraId="7D1C8F18" w14:textId="5473E14A"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21" w:history="1">
        <w:r w:rsidR="00305667" w:rsidRPr="001A4C11">
          <w:rPr>
            <w:rStyle w:val="Hyperlink"/>
            <w:noProof/>
          </w:rPr>
          <w:t>Table F</w:t>
        </w:r>
        <w:r w:rsidR="00305667" w:rsidRPr="001A4C11">
          <w:rPr>
            <w:rStyle w:val="Hyperlink"/>
            <w:noProof/>
          </w:rPr>
          <w:noBreakHyphen/>
          <w:t>5: Normanby Island, Wet Tropics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_Toc502499821 \h </w:instrText>
        </w:r>
        <w:r w:rsidR="00305667">
          <w:rPr>
            <w:noProof/>
            <w:webHidden/>
          </w:rPr>
        </w:r>
        <w:r w:rsidR="00305667">
          <w:rPr>
            <w:noProof/>
            <w:webHidden/>
          </w:rPr>
          <w:fldChar w:fldCharType="separate"/>
        </w:r>
        <w:r w:rsidR="00D12276">
          <w:rPr>
            <w:noProof/>
            <w:webHidden/>
          </w:rPr>
          <w:t>94</w:t>
        </w:r>
        <w:r w:rsidR="00305667">
          <w:rPr>
            <w:noProof/>
            <w:webHidden/>
          </w:rPr>
          <w:fldChar w:fldCharType="end"/>
        </w:r>
      </w:hyperlink>
    </w:p>
    <w:p w14:paraId="4BAA742B" w14:textId="13855153"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22" w:history="1">
        <w:r w:rsidR="00305667" w:rsidRPr="001A4C11">
          <w:rPr>
            <w:rStyle w:val="Hyperlink"/>
            <w:noProof/>
          </w:rPr>
          <w:t>Table F</w:t>
        </w:r>
        <w:r w:rsidR="00305667" w:rsidRPr="001A4C11">
          <w:rPr>
            <w:rStyle w:val="Hyperlink"/>
            <w:noProof/>
          </w:rPr>
          <w:noBreakHyphen/>
          <w:t>6: Lucinda, Wet Tropics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_Toc502499822 \h </w:instrText>
        </w:r>
        <w:r w:rsidR="00305667">
          <w:rPr>
            <w:noProof/>
            <w:webHidden/>
          </w:rPr>
        </w:r>
        <w:r w:rsidR="00305667">
          <w:rPr>
            <w:noProof/>
            <w:webHidden/>
          </w:rPr>
          <w:fldChar w:fldCharType="separate"/>
        </w:r>
        <w:r w:rsidR="00D12276">
          <w:rPr>
            <w:noProof/>
            <w:webHidden/>
          </w:rPr>
          <w:t>95</w:t>
        </w:r>
        <w:r w:rsidR="00305667">
          <w:rPr>
            <w:noProof/>
            <w:webHidden/>
          </w:rPr>
          <w:fldChar w:fldCharType="end"/>
        </w:r>
      </w:hyperlink>
    </w:p>
    <w:p w14:paraId="6537778D" w14:textId="6D6952F5"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23" w:history="1">
        <w:r w:rsidR="00305667" w:rsidRPr="001A4C11">
          <w:rPr>
            <w:rStyle w:val="Hyperlink"/>
            <w:noProof/>
          </w:rPr>
          <w:t>Table F</w:t>
        </w:r>
        <w:r w:rsidR="00305667" w:rsidRPr="001A4C11">
          <w:rPr>
            <w:rStyle w:val="Hyperlink"/>
            <w:noProof/>
          </w:rPr>
          <w:noBreakHyphen/>
          <w:t>7: Barratta Creek, Burdekin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_Toc502499823 \h </w:instrText>
        </w:r>
        <w:r w:rsidR="00305667">
          <w:rPr>
            <w:noProof/>
            <w:webHidden/>
          </w:rPr>
        </w:r>
        <w:r w:rsidR="00305667">
          <w:rPr>
            <w:noProof/>
            <w:webHidden/>
          </w:rPr>
          <w:fldChar w:fldCharType="separate"/>
        </w:r>
        <w:r w:rsidR="00D12276">
          <w:rPr>
            <w:noProof/>
            <w:webHidden/>
          </w:rPr>
          <w:t>98</w:t>
        </w:r>
        <w:r w:rsidR="00305667">
          <w:rPr>
            <w:noProof/>
            <w:webHidden/>
          </w:rPr>
          <w:fldChar w:fldCharType="end"/>
        </w:r>
      </w:hyperlink>
    </w:p>
    <w:p w14:paraId="1BF24593" w14:textId="0738B72A"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24" w:history="1">
        <w:r w:rsidR="00305667" w:rsidRPr="001A4C11">
          <w:rPr>
            <w:rStyle w:val="Hyperlink"/>
            <w:noProof/>
          </w:rPr>
          <w:t>Table F</w:t>
        </w:r>
        <w:r w:rsidR="00305667" w:rsidRPr="001A4C11">
          <w:rPr>
            <w:rStyle w:val="Hyperlink"/>
            <w:noProof/>
          </w:rPr>
          <w:noBreakHyphen/>
          <w:t>8: Repulse Bay, Mackay Whitsunday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_Toc502499824 \h </w:instrText>
        </w:r>
        <w:r w:rsidR="00305667">
          <w:rPr>
            <w:noProof/>
            <w:webHidden/>
          </w:rPr>
        </w:r>
        <w:r w:rsidR="00305667">
          <w:rPr>
            <w:noProof/>
            <w:webHidden/>
          </w:rPr>
          <w:fldChar w:fldCharType="separate"/>
        </w:r>
        <w:r w:rsidR="00D12276">
          <w:rPr>
            <w:noProof/>
            <w:webHidden/>
          </w:rPr>
          <w:t>99</w:t>
        </w:r>
        <w:r w:rsidR="00305667">
          <w:rPr>
            <w:noProof/>
            <w:webHidden/>
          </w:rPr>
          <w:fldChar w:fldCharType="end"/>
        </w:r>
      </w:hyperlink>
    </w:p>
    <w:p w14:paraId="3863DAB7" w14:textId="78CC96BB"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25" w:history="1">
        <w:r w:rsidR="00305667" w:rsidRPr="001A4C11">
          <w:rPr>
            <w:rStyle w:val="Hyperlink"/>
            <w:noProof/>
          </w:rPr>
          <w:t>Table F</w:t>
        </w:r>
        <w:r w:rsidR="00305667" w:rsidRPr="001A4C11">
          <w:rPr>
            <w:rStyle w:val="Hyperlink"/>
            <w:noProof/>
          </w:rPr>
          <w:noBreakHyphen/>
          <w:t>9: Round Top Island, Mackay Whitsunday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_Toc502499825 \h </w:instrText>
        </w:r>
        <w:r w:rsidR="00305667">
          <w:rPr>
            <w:noProof/>
            <w:webHidden/>
          </w:rPr>
        </w:r>
        <w:r w:rsidR="00305667">
          <w:rPr>
            <w:noProof/>
            <w:webHidden/>
          </w:rPr>
          <w:fldChar w:fldCharType="separate"/>
        </w:r>
        <w:r w:rsidR="00D12276">
          <w:rPr>
            <w:noProof/>
            <w:webHidden/>
          </w:rPr>
          <w:t>100</w:t>
        </w:r>
        <w:r w:rsidR="00305667">
          <w:rPr>
            <w:noProof/>
            <w:webHidden/>
          </w:rPr>
          <w:fldChar w:fldCharType="end"/>
        </w:r>
      </w:hyperlink>
    </w:p>
    <w:p w14:paraId="69CA6ECD" w14:textId="309D22CF"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26" w:history="1">
        <w:r w:rsidR="00305667" w:rsidRPr="001A4C11">
          <w:rPr>
            <w:rStyle w:val="Hyperlink"/>
            <w:noProof/>
          </w:rPr>
          <w:t>Table F</w:t>
        </w:r>
        <w:r w:rsidR="00305667" w:rsidRPr="001A4C11">
          <w:rPr>
            <w:rStyle w:val="Hyperlink"/>
            <w:noProof/>
          </w:rPr>
          <w:noBreakHyphen/>
          <w:t>10: Sarina Inlet, Mackay Whitsunday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_Toc502499826 \h </w:instrText>
        </w:r>
        <w:r w:rsidR="00305667">
          <w:rPr>
            <w:noProof/>
            <w:webHidden/>
          </w:rPr>
        </w:r>
        <w:r w:rsidR="00305667">
          <w:rPr>
            <w:noProof/>
            <w:webHidden/>
          </w:rPr>
          <w:fldChar w:fldCharType="separate"/>
        </w:r>
        <w:r w:rsidR="00D12276">
          <w:rPr>
            <w:noProof/>
            <w:webHidden/>
          </w:rPr>
          <w:t>101</w:t>
        </w:r>
        <w:r w:rsidR="00305667">
          <w:rPr>
            <w:noProof/>
            <w:webHidden/>
          </w:rPr>
          <w:fldChar w:fldCharType="end"/>
        </w:r>
      </w:hyperlink>
    </w:p>
    <w:p w14:paraId="1609A3E3" w14:textId="483EE4E0"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27" w:history="1">
        <w:r w:rsidR="00305667" w:rsidRPr="001A4C11">
          <w:rPr>
            <w:rStyle w:val="Hyperlink"/>
            <w:noProof/>
          </w:rPr>
          <w:t>Table F</w:t>
        </w:r>
        <w:r w:rsidR="00305667" w:rsidRPr="001A4C11">
          <w:rPr>
            <w:rStyle w:val="Hyperlink"/>
            <w:noProof/>
          </w:rPr>
          <w:noBreakHyphen/>
          <w:t>11: Sandy Creek, Mackay Whitsunday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_Toc502499827 \h </w:instrText>
        </w:r>
        <w:r w:rsidR="00305667">
          <w:rPr>
            <w:noProof/>
            <w:webHidden/>
          </w:rPr>
        </w:r>
        <w:r w:rsidR="00305667">
          <w:rPr>
            <w:noProof/>
            <w:webHidden/>
          </w:rPr>
          <w:fldChar w:fldCharType="separate"/>
        </w:r>
        <w:r w:rsidR="00D12276">
          <w:rPr>
            <w:noProof/>
            <w:webHidden/>
          </w:rPr>
          <w:t>102</w:t>
        </w:r>
        <w:r w:rsidR="00305667">
          <w:rPr>
            <w:noProof/>
            <w:webHidden/>
          </w:rPr>
          <w:fldChar w:fldCharType="end"/>
        </w:r>
      </w:hyperlink>
    </w:p>
    <w:p w14:paraId="0AE10725" w14:textId="1141D6C2"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28" w:history="1">
        <w:r w:rsidR="00305667" w:rsidRPr="001A4C11">
          <w:rPr>
            <w:rStyle w:val="Hyperlink"/>
            <w:noProof/>
          </w:rPr>
          <w:t>Table F</w:t>
        </w:r>
        <w:r w:rsidR="00305667" w:rsidRPr="001A4C11">
          <w:rPr>
            <w:rStyle w:val="Hyperlink"/>
            <w:noProof/>
          </w:rPr>
          <w:noBreakHyphen/>
          <w:t>12: North Keppel Island, Fitzroy Region – Time integrated estimated concentrations in water (ng L</w:t>
        </w:r>
        <w:r w:rsidR="00305667" w:rsidRPr="001A4C11">
          <w:rPr>
            <w:rStyle w:val="Hyperlink"/>
            <w:noProof/>
            <w:vertAlign w:val="superscript"/>
          </w:rPr>
          <w:t>-1</w:t>
        </w:r>
        <w:r w:rsidR="00305667" w:rsidRPr="001A4C11">
          <w:rPr>
            <w:rStyle w:val="Hyperlink"/>
            <w:noProof/>
          </w:rPr>
          <w:t>)</w:t>
        </w:r>
        <w:r w:rsidR="00305667">
          <w:rPr>
            <w:noProof/>
            <w:webHidden/>
          </w:rPr>
          <w:tab/>
        </w:r>
        <w:r w:rsidR="00305667">
          <w:rPr>
            <w:noProof/>
            <w:webHidden/>
          </w:rPr>
          <w:fldChar w:fldCharType="begin"/>
        </w:r>
        <w:r w:rsidR="00305667">
          <w:rPr>
            <w:noProof/>
            <w:webHidden/>
          </w:rPr>
          <w:instrText xml:space="preserve"> PAGEREF _Toc502499828 \h </w:instrText>
        </w:r>
        <w:r w:rsidR="00305667">
          <w:rPr>
            <w:noProof/>
            <w:webHidden/>
          </w:rPr>
        </w:r>
        <w:r w:rsidR="00305667">
          <w:rPr>
            <w:noProof/>
            <w:webHidden/>
          </w:rPr>
          <w:fldChar w:fldCharType="separate"/>
        </w:r>
        <w:r w:rsidR="00D12276">
          <w:rPr>
            <w:noProof/>
            <w:webHidden/>
          </w:rPr>
          <w:t>103</w:t>
        </w:r>
        <w:r w:rsidR="00305667">
          <w:rPr>
            <w:noProof/>
            <w:webHidden/>
          </w:rPr>
          <w:fldChar w:fldCharType="end"/>
        </w:r>
      </w:hyperlink>
    </w:p>
    <w:p w14:paraId="75DBDB73" w14:textId="47FAEA8A" w:rsidR="00305667" w:rsidRDefault="008A61E1" w:rsidP="00305667">
      <w:pPr>
        <w:pStyle w:val="TableofFigures"/>
        <w:tabs>
          <w:tab w:val="right" w:leader="dot" w:pos="10456"/>
        </w:tabs>
        <w:ind w:left="993" w:hanging="993"/>
        <w:rPr>
          <w:rFonts w:asciiTheme="minorHAnsi" w:hAnsiTheme="minorHAnsi"/>
          <w:i w:val="0"/>
          <w:iCs w:val="0"/>
          <w:noProof/>
          <w:sz w:val="22"/>
          <w:szCs w:val="22"/>
          <w:lang w:val="en-AU" w:eastAsia="en-AU" w:bidi="ar-SA"/>
        </w:rPr>
      </w:pPr>
      <w:hyperlink w:anchor="_Toc502499829" w:history="1">
        <w:r w:rsidR="00305667" w:rsidRPr="001A4C11">
          <w:rPr>
            <w:rStyle w:val="Hyperlink"/>
            <w:noProof/>
          </w:rPr>
          <w:t>Table G</w:t>
        </w:r>
        <w:r w:rsidR="00305667" w:rsidRPr="001A4C11">
          <w:rPr>
            <w:rStyle w:val="Hyperlink"/>
            <w:noProof/>
          </w:rPr>
          <w:noBreakHyphen/>
          <w:t>1: Concentrations in water (ng L</w:t>
        </w:r>
        <w:r w:rsidR="00305667" w:rsidRPr="001A4C11">
          <w:rPr>
            <w:rStyle w:val="Hyperlink"/>
            <w:noProof/>
            <w:vertAlign w:val="superscript"/>
          </w:rPr>
          <w:t>-1</w:t>
        </w:r>
        <w:r w:rsidR="00305667" w:rsidRPr="001A4C11">
          <w:rPr>
            <w:rStyle w:val="Hyperlink"/>
            <w:noProof/>
          </w:rPr>
          <w:t>) measured at various locations offshore and in river mouths (along transects) using 1 L grab samples during the wet season</w:t>
        </w:r>
        <w:r w:rsidR="00305667">
          <w:rPr>
            <w:noProof/>
            <w:webHidden/>
          </w:rPr>
          <w:tab/>
        </w:r>
        <w:r w:rsidR="00305667">
          <w:rPr>
            <w:noProof/>
            <w:webHidden/>
          </w:rPr>
          <w:fldChar w:fldCharType="begin"/>
        </w:r>
        <w:r w:rsidR="00305667">
          <w:rPr>
            <w:noProof/>
            <w:webHidden/>
          </w:rPr>
          <w:instrText xml:space="preserve"> PAGEREF _Toc502499829 \h </w:instrText>
        </w:r>
        <w:r w:rsidR="00305667">
          <w:rPr>
            <w:noProof/>
            <w:webHidden/>
          </w:rPr>
        </w:r>
        <w:r w:rsidR="00305667">
          <w:rPr>
            <w:noProof/>
            <w:webHidden/>
          </w:rPr>
          <w:fldChar w:fldCharType="separate"/>
        </w:r>
        <w:r w:rsidR="00D12276">
          <w:rPr>
            <w:noProof/>
            <w:webHidden/>
          </w:rPr>
          <w:t>104</w:t>
        </w:r>
        <w:r w:rsidR="00305667">
          <w:rPr>
            <w:noProof/>
            <w:webHidden/>
          </w:rPr>
          <w:fldChar w:fldCharType="end"/>
        </w:r>
      </w:hyperlink>
    </w:p>
    <w:p w14:paraId="15720C3C" w14:textId="47825098" w:rsidR="0059608E" w:rsidRPr="0078207D" w:rsidRDefault="00C91BF5" w:rsidP="00305667">
      <w:pPr>
        <w:pStyle w:val="TableofFigures"/>
        <w:tabs>
          <w:tab w:val="right" w:leader="dot" w:pos="10790"/>
        </w:tabs>
        <w:ind w:left="993" w:hanging="993"/>
        <w:rPr>
          <w:rFonts w:eastAsia="Times New Roman" w:cs="Arial"/>
          <w:b/>
          <w:color w:val="0070C0"/>
          <w:sz w:val="36"/>
          <w:szCs w:val="36"/>
          <w:lang w:val="en-AU" w:bidi="ar-SA"/>
        </w:rPr>
      </w:pPr>
      <w:r>
        <w:rPr>
          <w:lang w:val="en-AU"/>
        </w:rPr>
        <w:fldChar w:fldCharType="end"/>
      </w:r>
      <w:r w:rsidR="0059608E" w:rsidRPr="007E6E4A">
        <w:rPr>
          <w:lang w:val="en-AU"/>
        </w:rPr>
        <w:br w:type="page"/>
      </w:r>
      <w:r w:rsidR="0078207D" w:rsidRPr="0078207D">
        <w:rPr>
          <w:rFonts w:eastAsia="Times New Roman" w:cs="Arial"/>
          <w:b/>
          <w:color w:val="0070C0"/>
          <w:sz w:val="36"/>
          <w:szCs w:val="36"/>
          <w:lang w:val="en-AU" w:bidi="ar-SA"/>
        </w:rPr>
        <w:lastRenderedPageBreak/>
        <w:t>Acronyms</w:t>
      </w:r>
    </w:p>
    <w:p w14:paraId="15720C3D" w14:textId="77777777" w:rsidR="00314346" w:rsidRPr="00E30957" w:rsidRDefault="00314346" w:rsidP="00015606">
      <w:pPr>
        <w:spacing w:line="276" w:lineRule="auto"/>
      </w:pPr>
    </w:p>
    <w:tbl>
      <w:tblPr>
        <w:tblStyle w:val="TableStyleAnita"/>
        <w:tblW w:w="501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Caption w:val="Acronyms"/>
        <w:tblDescription w:val="List of acronyms and full titles"/>
      </w:tblPr>
      <w:tblGrid>
        <w:gridCol w:w="1902"/>
        <w:gridCol w:w="8585"/>
      </w:tblGrid>
      <w:tr w:rsidR="00185EFD" w:rsidRPr="006C2A7B" w14:paraId="4E810F9A" w14:textId="77777777" w:rsidTr="00CD399D">
        <w:trPr>
          <w:trHeight w:val="332"/>
          <w:tblHeader/>
        </w:trPr>
        <w:tc>
          <w:tcPr>
            <w:tcW w:w="907" w:type="pct"/>
            <w:vAlign w:val="center"/>
          </w:tcPr>
          <w:p w14:paraId="7443D613" w14:textId="77777777" w:rsidR="00185EFD" w:rsidRPr="00185EFD" w:rsidRDefault="00185EFD" w:rsidP="00BE791B">
            <w:pPr>
              <w:spacing w:line="276" w:lineRule="auto"/>
              <w:jc w:val="left"/>
              <w:rPr>
                <w:rFonts w:cs="Arial"/>
                <w:b/>
                <w:lang w:val="en-AU"/>
              </w:rPr>
            </w:pPr>
            <w:r w:rsidRPr="00185EFD">
              <w:rPr>
                <w:rFonts w:cs="Arial"/>
                <w:b/>
                <w:lang w:val="en-AU"/>
              </w:rPr>
              <w:t>A</w:t>
            </w:r>
            <w:r w:rsidRPr="00185EFD">
              <w:rPr>
                <w:b/>
                <w:lang w:val="en-AU"/>
              </w:rPr>
              <w:t>cronym</w:t>
            </w:r>
          </w:p>
        </w:tc>
        <w:tc>
          <w:tcPr>
            <w:tcW w:w="4093" w:type="pct"/>
            <w:vAlign w:val="center"/>
          </w:tcPr>
          <w:p w14:paraId="69787DDA" w14:textId="77777777" w:rsidR="00185EFD" w:rsidRPr="00185EFD" w:rsidRDefault="00185EFD" w:rsidP="00BE791B">
            <w:pPr>
              <w:spacing w:line="276" w:lineRule="auto"/>
              <w:jc w:val="left"/>
              <w:rPr>
                <w:rFonts w:cs="Arial"/>
                <w:b/>
                <w:lang w:val="en-AU"/>
              </w:rPr>
            </w:pPr>
            <w:r w:rsidRPr="00185EFD">
              <w:rPr>
                <w:rFonts w:cs="Arial"/>
                <w:b/>
                <w:lang w:val="en-AU"/>
              </w:rPr>
              <w:t>D</w:t>
            </w:r>
            <w:r w:rsidRPr="00185EFD">
              <w:rPr>
                <w:b/>
                <w:lang w:val="en-AU"/>
              </w:rPr>
              <w:t>etail</w:t>
            </w:r>
          </w:p>
        </w:tc>
      </w:tr>
      <w:tr w:rsidR="00185EFD" w:rsidRPr="006C2A7B" w14:paraId="7BA0449D" w14:textId="77777777" w:rsidTr="00CD399D">
        <w:trPr>
          <w:trHeight w:val="332"/>
          <w:tblHeader/>
        </w:trPr>
        <w:tc>
          <w:tcPr>
            <w:tcW w:w="907" w:type="pct"/>
            <w:vAlign w:val="center"/>
          </w:tcPr>
          <w:p w14:paraId="48406701" w14:textId="77777777" w:rsidR="00185EFD" w:rsidRPr="00E30957" w:rsidRDefault="00185EFD" w:rsidP="00BE791B">
            <w:pPr>
              <w:spacing w:line="276" w:lineRule="auto"/>
              <w:jc w:val="left"/>
              <w:rPr>
                <w:rFonts w:cs="Arial"/>
                <w:lang w:val="en-AU"/>
              </w:rPr>
            </w:pPr>
            <w:r w:rsidRPr="00E30957">
              <w:rPr>
                <w:rFonts w:cs="Arial"/>
                <w:lang w:val="en-AU"/>
              </w:rPr>
              <w:t>2,4-D</w:t>
            </w:r>
          </w:p>
        </w:tc>
        <w:tc>
          <w:tcPr>
            <w:tcW w:w="4093" w:type="pct"/>
            <w:vAlign w:val="center"/>
          </w:tcPr>
          <w:p w14:paraId="69BC65F5" w14:textId="77777777" w:rsidR="00185EFD" w:rsidRPr="00E30957" w:rsidRDefault="00185EFD" w:rsidP="00BE791B">
            <w:pPr>
              <w:spacing w:line="276" w:lineRule="auto"/>
              <w:jc w:val="left"/>
              <w:rPr>
                <w:rFonts w:cs="Arial"/>
                <w:lang w:val="en-AU"/>
              </w:rPr>
            </w:pPr>
            <w:r w:rsidRPr="00E30957">
              <w:rPr>
                <w:rFonts w:cs="Arial"/>
                <w:lang w:val="en-AU"/>
              </w:rPr>
              <w:t>2,4-dichlorophenoxyacetic acid</w:t>
            </w:r>
          </w:p>
        </w:tc>
      </w:tr>
      <w:tr w:rsidR="00185EFD" w:rsidRPr="006C2A7B" w14:paraId="52D1BC31" w14:textId="77777777" w:rsidTr="00CD399D">
        <w:trPr>
          <w:trHeight w:val="332"/>
          <w:tblHeader/>
        </w:trPr>
        <w:tc>
          <w:tcPr>
            <w:tcW w:w="907" w:type="pct"/>
            <w:vAlign w:val="center"/>
          </w:tcPr>
          <w:p w14:paraId="4E75285B" w14:textId="77777777" w:rsidR="00185EFD" w:rsidRPr="00E30957" w:rsidRDefault="00185EFD" w:rsidP="00BE791B">
            <w:pPr>
              <w:spacing w:line="276" w:lineRule="auto"/>
              <w:jc w:val="left"/>
              <w:rPr>
                <w:rFonts w:cs="Arial"/>
                <w:lang w:val="en-AU"/>
              </w:rPr>
            </w:pPr>
            <w:r w:rsidRPr="00E30957">
              <w:rPr>
                <w:rFonts w:cs="Arial"/>
                <w:lang w:val="en-AU"/>
              </w:rPr>
              <w:t>ANZECC</w:t>
            </w:r>
          </w:p>
        </w:tc>
        <w:tc>
          <w:tcPr>
            <w:tcW w:w="4093" w:type="pct"/>
            <w:vAlign w:val="center"/>
          </w:tcPr>
          <w:p w14:paraId="7F9A057E" w14:textId="77777777" w:rsidR="00185EFD" w:rsidRPr="00E30957" w:rsidRDefault="00185EFD" w:rsidP="00BE791B">
            <w:pPr>
              <w:spacing w:line="276" w:lineRule="auto"/>
              <w:jc w:val="left"/>
              <w:rPr>
                <w:rFonts w:cs="Arial"/>
                <w:lang w:val="en-AU"/>
              </w:rPr>
            </w:pPr>
            <w:r w:rsidRPr="00E30957">
              <w:rPr>
                <w:rFonts w:cs="Arial"/>
                <w:lang w:val="en-AU"/>
              </w:rPr>
              <w:t>Australian and New Zealand Environment and Conservation Council</w:t>
            </w:r>
          </w:p>
        </w:tc>
      </w:tr>
      <w:tr w:rsidR="00185EFD" w:rsidRPr="006C2A7B" w14:paraId="765E6734" w14:textId="77777777" w:rsidTr="00CD399D">
        <w:trPr>
          <w:trHeight w:val="332"/>
          <w:tblHeader/>
        </w:trPr>
        <w:tc>
          <w:tcPr>
            <w:tcW w:w="907" w:type="pct"/>
            <w:vAlign w:val="center"/>
          </w:tcPr>
          <w:p w14:paraId="532D82BC" w14:textId="77777777" w:rsidR="00185EFD" w:rsidRPr="00E30957" w:rsidRDefault="00185EFD" w:rsidP="00BE791B">
            <w:pPr>
              <w:spacing w:line="276" w:lineRule="auto"/>
              <w:jc w:val="left"/>
              <w:rPr>
                <w:rFonts w:cs="Arial"/>
                <w:lang w:val="en-AU"/>
              </w:rPr>
            </w:pPr>
            <w:r w:rsidRPr="00E30957">
              <w:rPr>
                <w:rFonts w:cs="Arial"/>
                <w:lang w:val="en-AU"/>
              </w:rPr>
              <w:t>ARMCANZ</w:t>
            </w:r>
          </w:p>
        </w:tc>
        <w:tc>
          <w:tcPr>
            <w:tcW w:w="4093" w:type="pct"/>
            <w:vAlign w:val="center"/>
          </w:tcPr>
          <w:p w14:paraId="13FD4575" w14:textId="77777777" w:rsidR="00185EFD" w:rsidRPr="00E30957" w:rsidRDefault="00185EFD" w:rsidP="00BE791B">
            <w:pPr>
              <w:spacing w:line="276" w:lineRule="auto"/>
              <w:jc w:val="left"/>
              <w:rPr>
                <w:rFonts w:cs="Arial"/>
                <w:lang w:val="en-AU"/>
              </w:rPr>
            </w:pPr>
            <w:r w:rsidRPr="00E30957">
              <w:rPr>
                <w:rFonts w:cs="Arial"/>
                <w:lang w:val="en-AU"/>
              </w:rPr>
              <w:t xml:space="preserve">Agriculture and Resource Management Council of Australia and New Zealand </w:t>
            </w:r>
          </w:p>
        </w:tc>
      </w:tr>
      <w:tr w:rsidR="00185EFD" w:rsidRPr="006C2A7B" w14:paraId="0B5F7B79" w14:textId="77777777" w:rsidTr="00CD399D">
        <w:trPr>
          <w:trHeight w:val="332"/>
          <w:tblHeader/>
        </w:trPr>
        <w:tc>
          <w:tcPr>
            <w:tcW w:w="907" w:type="pct"/>
            <w:vAlign w:val="center"/>
          </w:tcPr>
          <w:p w14:paraId="1EAA1D98" w14:textId="77777777" w:rsidR="00185EFD" w:rsidRPr="00E30957" w:rsidRDefault="00185EFD" w:rsidP="00BE791B">
            <w:pPr>
              <w:spacing w:line="276" w:lineRule="auto"/>
              <w:jc w:val="left"/>
              <w:rPr>
                <w:rFonts w:cs="Arial"/>
                <w:lang w:val="en-AU"/>
              </w:rPr>
            </w:pPr>
            <w:r w:rsidRPr="00E30957">
              <w:rPr>
                <w:rFonts w:cs="Arial"/>
                <w:lang w:val="en-AU"/>
              </w:rPr>
              <w:t>%CV</w:t>
            </w:r>
          </w:p>
        </w:tc>
        <w:tc>
          <w:tcPr>
            <w:tcW w:w="4093" w:type="pct"/>
            <w:vAlign w:val="center"/>
          </w:tcPr>
          <w:p w14:paraId="7F3E12AD" w14:textId="77777777" w:rsidR="00185EFD" w:rsidRPr="00E30957" w:rsidRDefault="00185EFD" w:rsidP="00BE791B">
            <w:pPr>
              <w:spacing w:line="276" w:lineRule="auto"/>
              <w:jc w:val="left"/>
              <w:rPr>
                <w:rFonts w:cs="Arial"/>
                <w:lang w:val="en-AU"/>
              </w:rPr>
            </w:pPr>
            <w:r w:rsidRPr="00E30957">
              <w:rPr>
                <w:rFonts w:cs="Arial"/>
                <w:lang w:val="en-AU"/>
              </w:rPr>
              <w:t>per cent coefficient of variation</w:t>
            </w:r>
          </w:p>
        </w:tc>
      </w:tr>
      <w:tr w:rsidR="00185EFD" w:rsidRPr="006C2A7B" w14:paraId="7EE70698" w14:textId="77777777" w:rsidTr="00CD399D">
        <w:trPr>
          <w:trHeight w:val="332"/>
          <w:tblHeader/>
        </w:trPr>
        <w:tc>
          <w:tcPr>
            <w:tcW w:w="907" w:type="pct"/>
            <w:vAlign w:val="center"/>
          </w:tcPr>
          <w:p w14:paraId="691097E9" w14:textId="77777777" w:rsidR="00185EFD" w:rsidRPr="00E30957" w:rsidRDefault="00185EFD" w:rsidP="00BE791B">
            <w:pPr>
              <w:spacing w:line="276" w:lineRule="auto"/>
              <w:jc w:val="left"/>
              <w:rPr>
                <w:rFonts w:cs="Arial"/>
                <w:lang w:val="en-AU"/>
              </w:rPr>
            </w:pPr>
            <w:r w:rsidRPr="00E30957">
              <w:rPr>
                <w:rFonts w:cs="Arial"/>
                <w:lang w:val="en-AU"/>
              </w:rPr>
              <w:t>C</w:t>
            </w:r>
            <w:r w:rsidRPr="00E30957">
              <w:rPr>
                <w:rFonts w:cs="Arial"/>
                <w:vertAlign w:val="subscript"/>
                <w:lang w:val="en-AU"/>
              </w:rPr>
              <w:t>W</w:t>
            </w:r>
          </w:p>
        </w:tc>
        <w:tc>
          <w:tcPr>
            <w:tcW w:w="4093" w:type="pct"/>
            <w:vAlign w:val="center"/>
          </w:tcPr>
          <w:p w14:paraId="3CA0C65F" w14:textId="77777777" w:rsidR="00185EFD" w:rsidRPr="00E30957" w:rsidRDefault="00185EFD" w:rsidP="00BE791B">
            <w:pPr>
              <w:spacing w:line="276" w:lineRule="auto"/>
              <w:jc w:val="left"/>
              <w:rPr>
                <w:rFonts w:cs="Arial"/>
                <w:lang w:val="en-AU"/>
              </w:rPr>
            </w:pPr>
            <w:r w:rsidRPr="00E30957">
              <w:rPr>
                <w:rFonts w:cs="Arial"/>
                <w:lang w:val="en-AU"/>
              </w:rPr>
              <w:t xml:space="preserve">Concentration in water </w:t>
            </w:r>
          </w:p>
        </w:tc>
      </w:tr>
      <w:tr w:rsidR="00185EFD" w:rsidRPr="006C2A7B" w14:paraId="7D360783" w14:textId="77777777" w:rsidTr="00CD399D">
        <w:trPr>
          <w:trHeight w:val="332"/>
          <w:tblHeader/>
        </w:trPr>
        <w:tc>
          <w:tcPr>
            <w:tcW w:w="907" w:type="pct"/>
            <w:vAlign w:val="center"/>
          </w:tcPr>
          <w:p w14:paraId="7FF4FE7C" w14:textId="77777777" w:rsidR="00185EFD" w:rsidRPr="00E30957" w:rsidRDefault="00185EFD" w:rsidP="00BE791B">
            <w:pPr>
              <w:spacing w:line="276" w:lineRule="auto"/>
              <w:jc w:val="left"/>
              <w:rPr>
                <w:rFonts w:cs="Arial"/>
                <w:lang w:val="en-AU"/>
              </w:rPr>
            </w:pPr>
            <w:r w:rsidRPr="00E30957">
              <w:rPr>
                <w:rFonts w:cs="Arial"/>
                <w:lang w:val="en-AU"/>
              </w:rPr>
              <w:t>DSITI</w:t>
            </w:r>
          </w:p>
        </w:tc>
        <w:tc>
          <w:tcPr>
            <w:tcW w:w="4093" w:type="pct"/>
            <w:vAlign w:val="center"/>
          </w:tcPr>
          <w:p w14:paraId="74D3D241" w14:textId="77777777" w:rsidR="00185EFD" w:rsidRPr="00E30957" w:rsidRDefault="00185EFD" w:rsidP="00BE791B">
            <w:pPr>
              <w:spacing w:line="276" w:lineRule="auto"/>
              <w:jc w:val="left"/>
              <w:rPr>
                <w:rFonts w:cs="Arial"/>
                <w:bCs/>
                <w:lang w:val="en-AU"/>
              </w:rPr>
            </w:pPr>
            <w:r w:rsidRPr="00E30957">
              <w:rPr>
                <w:rFonts w:cs="Arial"/>
                <w:bCs/>
                <w:lang w:val="en-AU"/>
              </w:rPr>
              <w:t>Department of Science, Information Technology and Innovation</w:t>
            </w:r>
          </w:p>
        </w:tc>
      </w:tr>
      <w:tr w:rsidR="00185EFD" w:rsidRPr="006C2A7B" w14:paraId="1CB1B3A3" w14:textId="77777777" w:rsidTr="00CD399D">
        <w:trPr>
          <w:trHeight w:val="332"/>
          <w:tblHeader/>
        </w:trPr>
        <w:tc>
          <w:tcPr>
            <w:tcW w:w="907" w:type="pct"/>
            <w:vAlign w:val="center"/>
          </w:tcPr>
          <w:p w14:paraId="1CCB2F31" w14:textId="77777777" w:rsidR="00185EFD" w:rsidRPr="00E30957" w:rsidRDefault="00185EFD" w:rsidP="00BE791B">
            <w:pPr>
              <w:spacing w:line="276" w:lineRule="auto"/>
              <w:jc w:val="left"/>
              <w:rPr>
                <w:rFonts w:cs="Arial"/>
                <w:vertAlign w:val="subscript"/>
                <w:lang w:val="en-AU"/>
              </w:rPr>
            </w:pPr>
            <w:r w:rsidRPr="00E30957">
              <w:rPr>
                <w:rFonts w:cs="Arial"/>
                <w:lang w:val="en-AU"/>
              </w:rPr>
              <w:t>EC</w:t>
            </w:r>
            <w:r w:rsidRPr="00E30957">
              <w:rPr>
                <w:rFonts w:cs="Arial"/>
                <w:vertAlign w:val="subscript"/>
                <w:lang w:val="en-AU"/>
              </w:rPr>
              <w:t>x</w:t>
            </w:r>
          </w:p>
        </w:tc>
        <w:tc>
          <w:tcPr>
            <w:tcW w:w="4093" w:type="pct"/>
            <w:vAlign w:val="center"/>
          </w:tcPr>
          <w:p w14:paraId="39DE355B" w14:textId="77777777" w:rsidR="00185EFD" w:rsidRPr="00E30957" w:rsidRDefault="00185EFD" w:rsidP="00BE791B">
            <w:pPr>
              <w:spacing w:line="276" w:lineRule="auto"/>
              <w:jc w:val="left"/>
              <w:rPr>
                <w:rFonts w:cs="Arial"/>
                <w:lang w:val="en-AU"/>
              </w:rPr>
            </w:pPr>
            <w:r w:rsidRPr="00E30957">
              <w:rPr>
                <w:rFonts w:cs="Arial"/>
                <w:bCs/>
                <w:lang w:val="en-AU"/>
              </w:rPr>
              <w:t xml:space="preserve">x per cent maximal effective concentration is observed </w:t>
            </w:r>
          </w:p>
        </w:tc>
      </w:tr>
      <w:tr w:rsidR="00185EFD" w:rsidRPr="006C2A7B" w14:paraId="4ABCB550" w14:textId="77777777" w:rsidTr="00CD399D">
        <w:trPr>
          <w:trHeight w:val="332"/>
          <w:tblHeader/>
        </w:trPr>
        <w:tc>
          <w:tcPr>
            <w:tcW w:w="907" w:type="pct"/>
            <w:vAlign w:val="center"/>
          </w:tcPr>
          <w:p w14:paraId="684523F1" w14:textId="77777777" w:rsidR="00185EFD" w:rsidRPr="00E30957" w:rsidRDefault="00185EFD" w:rsidP="00BE791B">
            <w:pPr>
              <w:spacing w:line="276" w:lineRule="auto"/>
              <w:jc w:val="left"/>
              <w:rPr>
                <w:rFonts w:cs="Arial"/>
                <w:lang w:val="en-AU"/>
              </w:rPr>
            </w:pPr>
            <w:r w:rsidRPr="00E30957">
              <w:rPr>
                <w:rFonts w:cs="Arial"/>
                <w:lang w:val="en-AU"/>
              </w:rPr>
              <w:t>ED</w:t>
            </w:r>
          </w:p>
        </w:tc>
        <w:tc>
          <w:tcPr>
            <w:tcW w:w="4093" w:type="pct"/>
            <w:vAlign w:val="center"/>
          </w:tcPr>
          <w:p w14:paraId="3F80C970" w14:textId="77777777" w:rsidR="00185EFD" w:rsidRPr="00E30957" w:rsidRDefault="00185EFD" w:rsidP="00BE791B">
            <w:pPr>
              <w:spacing w:line="276" w:lineRule="auto"/>
              <w:jc w:val="left"/>
              <w:rPr>
                <w:rFonts w:cs="Arial"/>
                <w:lang w:val="en-AU"/>
              </w:rPr>
            </w:pPr>
            <w:r w:rsidRPr="00E30957">
              <w:rPr>
                <w:rFonts w:cs="Arial"/>
                <w:lang w:val="en-AU"/>
              </w:rPr>
              <w:t>Empore Disk</w:t>
            </w:r>
            <w:r w:rsidRPr="00E30957">
              <w:rPr>
                <w:rFonts w:cs="Arial"/>
                <w:vertAlign w:val="superscript"/>
                <w:lang w:val="en-AU"/>
              </w:rPr>
              <w:t>TM</w:t>
            </w:r>
            <w:r w:rsidRPr="00E30957">
              <w:rPr>
                <w:rFonts w:cs="Arial"/>
                <w:lang w:val="en-AU"/>
              </w:rPr>
              <w:t xml:space="preserve"> passive sampler</w:t>
            </w:r>
          </w:p>
        </w:tc>
      </w:tr>
      <w:tr w:rsidR="00185EFD" w:rsidRPr="006C2A7B" w14:paraId="75DC9E8B" w14:textId="77777777" w:rsidTr="00CD399D">
        <w:trPr>
          <w:trHeight w:val="332"/>
          <w:tblHeader/>
        </w:trPr>
        <w:tc>
          <w:tcPr>
            <w:tcW w:w="907" w:type="pct"/>
            <w:vAlign w:val="center"/>
          </w:tcPr>
          <w:p w14:paraId="44849FEB" w14:textId="77777777" w:rsidR="00185EFD" w:rsidRPr="00E30957" w:rsidRDefault="00185EFD" w:rsidP="00BE791B">
            <w:pPr>
              <w:spacing w:line="276" w:lineRule="auto"/>
              <w:jc w:val="left"/>
              <w:rPr>
                <w:rFonts w:cs="Arial"/>
                <w:lang w:val="en-AU"/>
              </w:rPr>
            </w:pPr>
            <w:r w:rsidRPr="00E30957">
              <w:rPr>
                <w:rFonts w:cs="Arial"/>
                <w:lang w:val="en-AU"/>
              </w:rPr>
              <w:t>GBRCLMP</w:t>
            </w:r>
          </w:p>
        </w:tc>
        <w:tc>
          <w:tcPr>
            <w:tcW w:w="4093" w:type="pct"/>
            <w:vAlign w:val="center"/>
          </w:tcPr>
          <w:p w14:paraId="2EF7DCC1" w14:textId="77777777" w:rsidR="00185EFD" w:rsidRPr="00E30957" w:rsidRDefault="00185EFD" w:rsidP="00BE791B">
            <w:pPr>
              <w:spacing w:line="276" w:lineRule="auto"/>
              <w:jc w:val="left"/>
              <w:rPr>
                <w:rFonts w:cs="Arial"/>
                <w:lang w:val="en-AU"/>
              </w:rPr>
            </w:pPr>
            <w:r w:rsidRPr="00E30957">
              <w:rPr>
                <w:rFonts w:cs="Arial"/>
                <w:lang w:val="en-AU"/>
              </w:rPr>
              <w:t>Great Barrier Reef Catchment Loads Monitoring Program</w:t>
            </w:r>
          </w:p>
        </w:tc>
      </w:tr>
      <w:tr w:rsidR="00185EFD" w:rsidRPr="006C2A7B" w14:paraId="546D10B8" w14:textId="77777777" w:rsidTr="00CD399D">
        <w:trPr>
          <w:trHeight w:val="332"/>
          <w:tblHeader/>
        </w:trPr>
        <w:tc>
          <w:tcPr>
            <w:tcW w:w="907" w:type="pct"/>
            <w:vAlign w:val="center"/>
          </w:tcPr>
          <w:p w14:paraId="2BBB30CF" w14:textId="77777777" w:rsidR="00185EFD" w:rsidRPr="00E30957" w:rsidRDefault="00185EFD" w:rsidP="00BE791B">
            <w:pPr>
              <w:spacing w:line="276" w:lineRule="auto"/>
              <w:jc w:val="left"/>
              <w:rPr>
                <w:rFonts w:cs="Arial"/>
                <w:lang w:val="en-AU"/>
              </w:rPr>
            </w:pPr>
            <w:r w:rsidRPr="00E30957">
              <w:rPr>
                <w:rFonts w:cs="Arial"/>
                <w:lang w:val="en-AU"/>
              </w:rPr>
              <w:t>GBRMPA</w:t>
            </w:r>
          </w:p>
        </w:tc>
        <w:tc>
          <w:tcPr>
            <w:tcW w:w="4093" w:type="pct"/>
            <w:vAlign w:val="center"/>
          </w:tcPr>
          <w:p w14:paraId="474C47D8" w14:textId="77777777" w:rsidR="00185EFD" w:rsidRPr="00E30957" w:rsidRDefault="00185EFD" w:rsidP="00BE791B">
            <w:pPr>
              <w:spacing w:line="276" w:lineRule="auto"/>
              <w:jc w:val="left"/>
              <w:rPr>
                <w:rFonts w:cs="Arial"/>
                <w:lang w:val="en-AU"/>
              </w:rPr>
            </w:pPr>
            <w:r w:rsidRPr="00E30957">
              <w:rPr>
                <w:rFonts w:cs="Arial"/>
                <w:lang w:val="en-AU"/>
              </w:rPr>
              <w:t>Great Barrier Reef Marine Park Authority</w:t>
            </w:r>
          </w:p>
        </w:tc>
      </w:tr>
      <w:tr w:rsidR="00185EFD" w:rsidRPr="006C2A7B" w14:paraId="635D1870" w14:textId="77777777" w:rsidTr="00CD399D">
        <w:trPr>
          <w:trHeight w:val="332"/>
          <w:tblHeader/>
        </w:trPr>
        <w:tc>
          <w:tcPr>
            <w:tcW w:w="907" w:type="pct"/>
            <w:vAlign w:val="center"/>
          </w:tcPr>
          <w:p w14:paraId="77274838" w14:textId="77777777" w:rsidR="00185EFD" w:rsidRPr="00E30957" w:rsidRDefault="00185EFD" w:rsidP="00BE791B">
            <w:pPr>
              <w:spacing w:line="276" w:lineRule="auto"/>
              <w:jc w:val="left"/>
              <w:rPr>
                <w:rFonts w:cs="Arial"/>
                <w:lang w:val="en-AU"/>
              </w:rPr>
            </w:pPr>
            <w:r w:rsidRPr="00E30957">
              <w:rPr>
                <w:rFonts w:cs="Arial"/>
                <w:lang w:val="en-AU"/>
              </w:rPr>
              <w:t>GC-MS</w:t>
            </w:r>
          </w:p>
        </w:tc>
        <w:tc>
          <w:tcPr>
            <w:tcW w:w="4093" w:type="pct"/>
            <w:vAlign w:val="center"/>
          </w:tcPr>
          <w:p w14:paraId="390A8355" w14:textId="77777777" w:rsidR="00185EFD" w:rsidRPr="00E30957" w:rsidRDefault="00185EFD" w:rsidP="00BE791B">
            <w:pPr>
              <w:spacing w:line="276" w:lineRule="auto"/>
              <w:jc w:val="left"/>
              <w:rPr>
                <w:rFonts w:cs="Arial"/>
                <w:lang w:val="en-AU"/>
              </w:rPr>
            </w:pPr>
            <w:r w:rsidRPr="00E30957">
              <w:rPr>
                <w:rFonts w:cs="Arial"/>
                <w:lang w:val="en-AU"/>
              </w:rPr>
              <w:t>Gas Chromatography-Mass Spectrometry</w:t>
            </w:r>
          </w:p>
        </w:tc>
      </w:tr>
      <w:tr w:rsidR="00185EFD" w:rsidRPr="006C2A7B" w14:paraId="38B5E69C" w14:textId="77777777" w:rsidTr="00CD399D">
        <w:trPr>
          <w:trHeight w:val="332"/>
          <w:tblHeader/>
        </w:trPr>
        <w:tc>
          <w:tcPr>
            <w:tcW w:w="907" w:type="pct"/>
            <w:vAlign w:val="center"/>
          </w:tcPr>
          <w:p w14:paraId="057F623F" w14:textId="77777777" w:rsidR="00185EFD" w:rsidRPr="00E30957" w:rsidRDefault="00185EFD" w:rsidP="00BE791B">
            <w:pPr>
              <w:spacing w:line="276" w:lineRule="auto"/>
              <w:jc w:val="left"/>
              <w:rPr>
                <w:rFonts w:cs="Arial"/>
                <w:lang w:val="en-AU"/>
              </w:rPr>
            </w:pPr>
            <w:r w:rsidRPr="00E30957">
              <w:rPr>
                <w:rFonts w:cs="Arial"/>
                <w:lang w:val="en-AU"/>
              </w:rPr>
              <w:t>GPC</w:t>
            </w:r>
          </w:p>
        </w:tc>
        <w:tc>
          <w:tcPr>
            <w:tcW w:w="4093" w:type="pct"/>
            <w:vAlign w:val="center"/>
          </w:tcPr>
          <w:p w14:paraId="02E8D166" w14:textId="77777777" w:rsidR="00185EFD" w:rsidRPr="00E30957" w:rsidRDefault="00185EFD" w:rsidP="00BE791B">
            <w:pPr>
              <w:spacing w:line="276" w:lineRule="auto"/>
              <w:jc w:val="left"/>
              <w:rPr>
                <w:rFonts w:cs="Arial"/>
                <w:lang w:val="en-AU"/>
              </w:rPr>
            </w:pPr>
            <w:r w:rsidRPr="00E30957">
              <w:rPr>
                <w:rFonts w:cs="Arial"/>
                <w:lang w:val="en-AU"/>
              </w:rPr>
              <w:t>Gel Permeation Chromatography</w:t>
            </w:r>
          </w:p>
        </w:tc>
      </w:tr>
      <w:tr w:rsidR="00185EFD" w:rsidRPr="006C2A7B" w14:paraId="6E174BA5" w14:textId="77777777" w:rsidTr="00CD399D">
        <w:trPr>
          <w:trHeight w:val="332"/>
          <w:tblHeader/>
        </w:trPr>
        <w:tc>
          <w:tcPr>
            <w:tcW w:w="907" w:type="pct"/>
            <w:vAlign w:val="center"/>
          </w:tcPr>
          <w:p w14:paraId="355CBD20" w14:textId="77777777" w:rsidR="00185EFD" w:rsidRPr="00E30957" w:rsidRDefault="00185EFD" w:rsidP="00BE791B">
            <w:pPr>
              <w:spacing w:line="276" w:lineRule="auto"/>
              <w:jc w:val="left"/>
              <w:rPr>
                <w:rFonts w:cs="Arial"/>
                <w:lang w:val="en-AU"/>
              </w:rPr>
            </w:pPr>
            <w:r>
              <w:rPr>
                <w:rFonts w:cs="Arial"/>
                <w:lang w:val="en-AU"/>
              </w:rPr>
              <w:t>GV</w:t>
            </w:r>
          </w:p>
        </w:tc>
        <w:tc>
          <w:tcPr>
            <w:tcW w:w="4093" w:type="pct"/>
            <w:vAlign w:val="center"/>
          </w:tcPr>
          <w:p w14:paraId="41D045EC" w14:textId="77777777" w:rsidR="00185EFD" w:rsidRPr="00E30957" w:rsidRDefault="00185EFD" w:rsidP="00BE791B">
            <w:pPr>
              <w:spacing w:line="276" w:lineRule="auto"/>
              <w:jc w:val="left"/>
              <w:rPr>
                <w:rFonts w:cs="Arial"/>
                <w:bCs/>
                <w:lang w:val="en-AU"/>
              </w:rPr>
            </w:pPr>
            <w:r>
              <w:rPr>
                <w:rFonts w:cs="Arial"/>
                <w:bCs/>
                <w:lang w:val="en-AU"/>
              </w:rPr>
              <w:t>Guideline value</w:t>
            </w:r>
          </w:p>
        </w:tc>
      </w:tr>
      <w:tr w:rsidR="00185EFD" w:rsidRPr="006C2A7B" w14:paraId="69B936A7" w14:textId="77777777" w:rsidTr="00CD399D">
        <w:trPr>
          <w:trHeight w:val="332"/>
          <w:tblHeader/>
        </w:trPr>
        <w:tc>
          <w:tcPr>
            <w:tcW w:w="907" w:type="pct"/>
            <w:vAlign w:val="center"/>
          </w:tcPr>
          <w:p w14:paraId="0EBDDBC6" w14:textId="77777777" w:rsidR="00185EFD" w:rsidRPr="00E30957" w:rsidRDefault="00185EFD" w:rsidP="00BE791B">
            <w:pPr>
              <w:spacing w:line="276" w:lineRule="auto"/>
              <w:jc w:val="left"/>
              <w:rPr>
                <w:rFonts w:cs="Arial"/>
                <w:lang w:val="en-AU"/>
              </w:rPr>
            </w:pPr>
            <w:r w:rsidRPr="00E30957">
              <w:rPr>
                <w:rFonts w:cs="Arial"/>
                <w:lang w:val="en-AU"/>
              </w:rPr>
              <w:t>IC</w:t>
            </w:r>
            <w:r w:rsidRPr="00E30957">
              <w:rPr>
                <w:rFonts w:cs="Arial"/>
                <w:vertAlign w:val="subscript"/>
                <w:lang w:val="en-AU"/>
              </w:rPr>
              <w:t>x</w:t>
            </w:r>
          </w:p>
        </w:tc>
        <w:tc>
          <w:tcPr>
            <w:tcW w:w="4093" w:type="pct"/>
            <w:vAlign w:val="center"/>
          </w:tcPr>
          <w:p w14:paraId="24A504E3" w14:textId="77777777" w:rsidR="00185EFD" w:rsidRPr="00E30957" w:rsidRDefault="00185EFD" w:rsidP="00BE791B">
            <w:pPr>
              <w:spacing w:line="276" w:lineRule="auto"/>
              <w:jc w:val="left"/>
              <w:rPr>
                <w:rFonts w:cs="Arial"/>
                <w:lang w:val="en-AU"/>
              </w:rPr>
            </w:pPr>
            <w:r w:rsidRPr="00E30957">
              <w:rPr>
                <w:rFonts w:cs="Arial"/>
                <w:bCs/>
                <w:lang w:val="en-AU"/>
              </w:rPr>
              <w:t>x per cent of the maximal inhibitory concentration is observed</w:t>
            </w:r>
          </w:p>
        </w:tc>
      </w:tr>
      <w:tr w:rsidR="00185EFD" w:rsidRPr="006C2A7B" w14:paraId="6C632C4D" w14:textId="77777777" w:rsidTr="00CD399D">
        <w:trPr>
          <w:trHeight w:val="332"/>
          <w:tblHeader/>
        </w:trPr>
        <w:tc>
          <w:tcPr>
            <w:tcW w:w="907" w:type="pct"/>
            <w:vAlign w:val="center"/>
          </w:tcPr>
          <w:p w14:paraId="01729BBC" w14:textId="77777777" w:rsidR="00185EFD" w:rsidRPr="00E30957" w:rsidRDefault="00185EFD" w:rsidP="00BE791B">
            <w:pPr>
              <w:spacing w:line="276" w:lineRule="auto"/>
              <w:jc w:val="left"/>
              <w:rPr>
                <w:rFonts w:cs="Arial"/>
                <w:lang w:val="en-AU"/>
              </w:rPr>
            </w:pPr>
            <w:r w:rsidRPr="00E30957">
              <w:rPr>
                <w:rFonts w:cs="Arial"/>
                <w:lang w:val="en-AU"/>
              </w:rPr>
              <w:t>IWL</w:t>
            </w:r>
          </w:p>
        </w:tc>
        <w:tc>
          <w:tcPr>
            <w:tcW w:w="4093" w:type="pct"/>
            <w:vAlign w:val="center"/>
          </w:tcPr>
          <w:p w14:paraId="24CD2077" w14:textId="77777777" w:rsidR="00185EFD" w:rsidRPr="00E30957" w:rsidRDefault="00185EFD" w:rsidP="00BE791B">
            <w:pPr>
              <w:spacing w:line="276" w:lineRule="auto"/>
              <w:jc w:val="left"/>
              <w:rPr>
                <w:rFonts w:cs="Arial"/>
                <w:lang w:val="en-AU"/>
              </w:rPr>
            </w:pPr>
            <w:r w:rsidRPr="00E30957">
              <w:rPr>
                <w:rFonts w:cs="Arial"/>
                <w:lang w:val="en-AU"/>
              </w:rPr>
              <w:t>Interim working level</w:t>
            </w:r>
          </w:p>
        </w:tc>
      </w:tr>
      <w:tr w:rsidR="00185EFD" w:rsidRPr="006C2A7B" w14:paraId="32A26705" w14:textId="77777777" w:rsidTr="00CD399D">
        <w:trPr>
          <w:trHeight w:val="332"/>
          <w:tblHeader/>
        </w:trPr>
        <w:tc>
          <w:tcPr>
            <w:tcW w:w="907" w:type="pct"/>
            <w:vAlign w:val="center"/>
          </w:tcPr>
          <w:p w14:paraId="33A77EB8" w14:textId="77777777" w:rsidR="00185EFD" w:rsidRPr="00E30957" w:rsidRDefault="00185EFD" w:rsidP="00BE791B">
            <w:pPr>
              <w:spacing w:line="276" w:lineRule="auto"/>
              <w:jc w:val="left"/>
              <w:rPr>
                <w:rFonts w:cs="Arial"/>
                <w:lang w:val="en-AU"/>
              </w:rPr>
            </w:pPr>
            <w:r w:rsidRPr="00E30957">
              <w:rPr>
                <w:rFonts w:cs="Arial"/>
                <w:lang w:val="en-AU"/>
              </w:rPr>
              <w:t>K</w:t>
            </w:r>
            <w:r w:rsidRPr="00E30957">
              <w:rPr>
                <w:rFonts w:cs="Arial"/>
                <w:vertAlign w:val="subscript"/>
                <w:lang w:val="en-AU"/>
              </w:rPr>
              <w:t>OW</w:t>
            </w:r>
          </w:p>
        </w:tc>
        <w:tc>
          <w:tcPr>
            <w:tcW w:w="4093" w:type="pct"/>
            <w:vAlign w:val="center"/>
          </w:tcPr>
          <w:p w14:paraId="3BB53AED" w14:textId="77777777" w:rsidR="00185EFD" w:rsidRPr="00E30957" w:rsidRDefault="00185EFD" w:rsidP="00BE791B">
            <w:pPr>
              <w:spacing w:line="276" w:lineRule="auto"/>
              <w:jc w:val="left"/>
              <w:rPr>
                <w:rFonts w:cs="Arial"/>
                <w:lang w:val="en-AU"/>
              </w:rPr>
            </w:pPr>
            <w:r w:rsidRPr="00E30957">
              <w:rPr>
                <w:rFonts w:cs="Arial"/>
                <w:lang w:val="en-AU"/>
              </w:rPr>
              <w:t>Octanol-water partition coefficient</w:t>
            </w:r>
          </w:p>
        </w:tc>
      </w:tr>
      <w:tr w:rsidR="00185EFD" w:rsidRPr="006C2A7B" w14:paraId="3523A329" w14:textId="77777777" w:rsidTr="00CD399D">
        <w:trPr>
          <w:trHeight w:val="332"/>
          <w:tblHeader/>
        </w:trPr>
        <w:tc>
          <w:tcPr>
            <w:tcW w:w="907" w:type="pct"/>
            <w:vAlign w:val="center"/>
          </w:tcPr>
          <w:p w14:paraId="1B570B40" w14:textId="77777777" w:rsidR="00185EFD" w:rsidRPr="00E30957" w:rsidRDefault="00185EFD" w:rsidP="00BE791B">
            <w:pPr>
              <w:spacing w:line="276" w:lineRule="auto"/>
              <w:ind w:right="541"/>
              <w:jc w:val="left"/>
              <w:rPr>
                <w:rFonts w:cs="Arial"/>
                <w:lang w:val="en-AU"/>
              </w:rPr>
            </w:pPr>
            <w:r w:rsidRPr="00E30957">
              <w:rPr>
                <w:rFonts w:cs="Arial"/>
                <w:lang w:val="en-AU"/>
              </w:rPr>
              <w:t>LC</w:t>
            </w:r>
            <w:r w:rsidRPr="00E30957">
              <w:rPr>
                <w:rFonts w:cs="Arial"/>
                <w:vertAlign w:val="subscript"/>
                <w:lang w:val="en-AU"/>
              </w:rPr>
              <w:t>x</w:t>
            </w:r>
          </w:p>
        </w:tc>
        <w:tc>
          <w:tcPr>
            <w:tcW w:w="4093" w:type="pct"/>
            <w:vAlign w:val="center"/>
          </w:tcPr>
          <w:p w14:paraId="75576752" w14:textId="77777777" w:rsidR="00185EFD" w:rsidRPr="00E30957" w:rsidRDefault="00185EFD" w:rsidP="00BE791B">
            <w:pPr>
              <w:spacing w:line="276" w:lineRule="auto"/>
              <w:jc w:val="left"/>
              <w:rPr>
                <w:rFonts w:cs="Arial"/>
                <w:lang w:val="en-AU"/>
              </w:rPr>
            </w:pPr>
            <w:r w:rsidRPr="00E30957">
              <w:rPr>
                <w:rFonts w:cs="Arial"/>
                <w:lang w:val="en-AU"/>
              </w:rPr>
              <w:t>x per cent of the lethal concentration is observed</w:t>
            </w:r>
          </w:p>
        </w:tc>
      </w:tr>
      <w:tr w:rsidR="00185EFD" w:rsidRPr="006C2A7B" w14:paraId="37F40E32" w14:textId="77777777" w:rsidTr="00CD399D">
        <w:trPr>
          <w:trHeight w:val="332"/>
          <w:tblHeader/>
        </w:trPr>
        <w:tc>
          <w:tcPr>
            <w:tcW w:w="907" w:type="pct"/>
            <w:vAlign w:val="center"/>
          </w:tcPr>
          <w:p w14:paraId="333724CD" w14:textId="77777777" w:rsidR="00185EFD" w:rsidRPr="00E30957" w:rsidRDefault="00185EFD" w:rsidP="00BE791B">
            <w:pPr>
              <w:spacing w:line="276" w:lineRule="auto"/>
              <w:ind w:right="541"/>
              <w:jc w:val="left"/>
              <w:rPr>
                <w:rFonts w:cs="Arial"/>
                <w:lang w:val="en-AU"/>
              </w:rPr>
            </w:pPr>
            <w:r w:rsidRPr="00E30957">
              <w:rPr>
                <w:rFonts w:cs="Arial"/>
                <w:lang w:val="en-AU"/>
              </w:rPr>
              <w:t>LC-MS</w:t>
            </w:r>
            <w:r>
              <w:rPr>
                <w:rFonts w:cs="Arial"/>
                <w:lang w:val="en-AU"/>
              </w:rPr>
              <w:t>/MS</w:t>
            </w:r>
          </w:p>
        </w:tc>
        <w:tc>
          <w:tcPr>
            <w:tcW w:w="4093" w:type="pct"/>
            <w:vAlign w:val="center"/>
          </w:tcPr>
          <w:p w14:paraId="658B9C32" w14:textId="77777777" w:rsidR="00185EFD" w:rsidRPr="00E30957" w:rsidRDefault="00185EFD" w:rsidP="00BE791B">
            <w:pPr>
              <w:spacing w:line="276" w:lineRule="auto"/>
              <w:jc w:val="left"/>
              <w:rPr>
                <w:rFonts w:cs="Arial"/>
                <w:lang w:val="en-AU"/>
              </w:rPr>
            </w:pPr>
            <w:r>
              <w:rPr>
                <w:rFonts w:cs="Arial"/>
                <w:lang w:val="en-AU"/>
              </w:rPr>
              <w:t>Liquid C</w:t>
            </w:r>
            <w:r w:rsidRPr="00E30957">
              <w:rPr>
                <w:rFonts w:cs="Arial"/>
                <w:lang w:val="en-AU"/>
              </w:rPr>
              <w:t>hromatography-</w:t>
            </w:r>
            <w:r>
              <w:rPr>
                <w:rFonts w:cs="Arial"/>
                <w:lang w:val="en-AU"/>
              </w:rPr>
              <w:t>tandem M</w:t>
            </w:r>
            <w:r w:rsidRPr="00E30957">
              <w:rPr>
                <w:rFonts w:cs="Arial"/>
                <w:lang w:val="en-AU"/>
              </w:rPr>
              <w:t xml:space="preserve">ass </w:t>
            </w:r>
            <w:r>
              <w:rPr>
                <w:rFonts w:cs="Arial"/>
                <w:lang w:val="en-AU"/>
              </w:rPr>
              <w:t>S</w:t>
            </w:r>
            <w:r w:rsidRPr="00E30957">
              <w:rPr>
                <w:rFonts w:cs="Arial"/>
                <w:lang w:val="en-AU"/>
              </w:rPr>
              <w:t>pectrometry</w:t>
            </w:r>
          </w:p>
        </w:tc>
      </w:tr>
      <w:tr w:rsidR="00185EFD" w:rsidRPr="006C2A7B" w14:paraId="2A6FB333" w14:textId="77777777" w:rsidTr="00CD399D">
        <w:trPr>
          <w:trHeight w:val="332"/>
          <w:tblHeader/>
        </w:trPr>
        <w:tc>
          <w:tcPr>
            <w:tcW w:w="907" w:type="pct"/>
            <w:vAlign w:val="center"/>
          </w:tcPr>
          <w:p w14:paraId="28D15A73" w14:textId="77777777" w:rsidR="00185EFD" w:rsidRPr="00E30957" w:rsidRDefault="00185EFD" w:rsidP="00BE791B">
            <w:pPr>
              <w:spacing w:line="276" w:lineRule="auto"/>
              <w:jc w:val="left"/>
              <w:rPr>
                <w:rFonts w:cs="Arial"/>
                <w:lang w:val="en-AU"/>
              </w:rPr>
            </w:pPr>
            <w:r w:rsidRPr="00E30957">
              <w:rPr>
                <w:rFonts w:cs="Arial"/>
                <w:lang w:val="en-AU"/>
              </w:rPr>
              <w:t>LOD</w:t>
            </w:r>
          </w:p>
        </w:tc>
        <w:tc>
          <w:tcPr>
            <w:tcW w:w="4093" w:type="pct"/>
            <w:vAlign w:val="center"/>
          </w:tcPr>
          <w:p w14:paraId="0287AFCB" w14:textId="77777777" w:rsidR="00185EFD" w:rsidRPr="00E30957" w:rsidRDefault="00185EFD" w:rsidP="00BE791B">
            <w:pPr>
              <w:spacing w:line="276" w:lineRule="auto"/>
              <w:jc w:val="left"/>
              <w:rPr>
                <w:rFonts w:cs="Arial"/>
                <w:lang w:val="en-AU"/>
              </w:rPr>
            </w:pPr>
            <w:r w:rsidRPr="00E30957">
              <w:rPr>
                <w:rFonts w:cs="Arial"/>
                <w:lang w:val="en-AU"/>
              </w:rPr>
              <w:t>Limit of Detection</w:t>
            </w:r>
          </w:p>
        </w:tc>
      </w:tr>
      <w:tr w:rsidR="00185EFD" w:rsidRPr="006C2A7B" w14:paraId="2CE5C9A6" w14:textId="77777777" w:rsidTr="00CD399D">
        <w:trPr>
          <w:trHeight w:val="332"/>
          <w:tblHeader/>
        </w:trPr>
        <w:tc>
          <w:tcPr>
            <w:tcW w:w="907" w:type="pct"/>
            <w:vAlign w:val="center"/>
          </w:tcPr>
          <w:p w14:paraId="1A3A64B4" w14:textId="77777777" w:rsidR="00185EFD" w:rsidRPr="00E30957" w:rsidRDefault="00185EFD" w:rsidP="00BE791B">
            <w:pPr>
              <w:spacing w:line="276" w:lineRule="auto"/>
              <w:jc w:val="left"/>
              <w:rPr>
                <w:rFonts w:cs="Arial"/>
                <w:lang w:val="en-AU"/>
              </w:rPr>
            </w:pPr>
            <w:r w:rsidRPr="00E30957">
              <w:rPr>
                <w:rFonts w:cs="Arial"/>
                <w:lang w:val="en-AU"/>
              </w:rPr>
              <w:t>LOR</w:t>
            </w:r>
          </w:p>
        </w:tc>
        <w:tc>
          <w:tcPr>
            <w:tcW w:w="4093" w:type="pct"/>
            <w:vAlign w:val="center"/>
          </w:tcPr>
          <w:p w14:paraId="4D360835" w14:textId="77777777" w:rsidR="00185EFD" w:rsidRPr="00E30957" w:rsidRDefault="00185EFD" w:rsidP="00BE791B">
            <w:pPr>
              <w:spacing w:line="276" w:lineRule="auto"/>
              <w:jc w:val="left"/>
              <w:rPr>
                <w:rFonts w:cs="Arial"/>
                <w:lang w:val="en-AU"/>
              </w:rPr>
            </w:pPr>
            <w:r w:rsidRPr="00E30957">
              <w:rPr>
                <w:rFonts w:cs="Arial"/>
                <w:lang w:val="en-AU"/>
              </w:rPr>
              <w:t>Limit of Reporting</w:t>
            </w:r>
          </w:p>
        </w:tc>
      </w:tr>
      <w:tr w:rsidR="00185EFD" w:rsidRPr="006C2A7B" w14:paraId="4816C81A" w14:textId="77777777" w:rsidTr="00CD399D">
        <w:trPr>
          <w:trHeight w:val="332"/>
          <w:tblHeader/>
        </w:trPr>
        <w:tc>
          <w:tcPr>
            <w:tcW w:w="907" w:type="pct"/>
            <w:vAlign w:val="center"/>
          </w:tcPr>
          <w:p w14:paraId="0675AA78" w14:textId="77777777" w:rsidR="00185EFD" w:rsidRPr="00E30957" w:rsidRDefault="00185EFD" w:rsidP="00BE791B">
            <w:pPr>
              <w:spacing w:line="276" w:lineRule="auto"/>
              <w:jc w:val="left"/>
              <w:rPr>
                <w:rFonts w:cs="Arial"/>
                <w:lang w:val="en-AU"/>
              </w:rPr>
            </w:pPr>
            <w:r w:rsidRPr="00E30957">
              <w:rPr>
                <w:rFonts w:cs="Arial"/>
                <w:lang w:val="en-AU"/>
              </w:rPr>
              <w:t>MCPA</w:t>
            </w:r>
          </w:p>
        </w:tc>
        <w:tc>
          <w:tcPr>
            <w:tcW w:w="4093" w:type="pct"/>
            <w:vAlign w:val="center"/>
          </w:tcPr>
          <w:p w14:paraId="6B1963CE" w14:textId="77777777" w:rsidR="00185EFD" w:rsidRPr="00E30957" w:rsidRDefault="00185EFD" w:rsidP="00BE791B">
            <w:pPr>
              <w:spacing w:line="276" w:lineRule="auto"/>
              <w:jc w:val="left"/>
              <w:rPr>
                <w:rFonts w:cs="Arial"/>
                <w:lang w:val="en-AU"/>
              </w:rPr>
            </w:pPr>
            <w:r w:rsidRPr="00E30957">
              <w:rPr>
                <w:rFonts w:cs="Arial"/>
                <w:lang w:val="en-AU"/>
              </w:rPr>
              <w:t>2-methyl-4-chlorophenoxyacetic acid</w:t>
            </w:r>
          </w:p>
        </w:tc>
      </w:tr>
      <w:tr w:rsidR="00185EFD" w:rsidRPr="006C2A7B" w14:paraId="00E95DFA" w14:textId="77777777" w:rsidTr="00CD399D">
        <w:trPr>
          <w:trHeight w:val="332"/>
          <w:tblHeader/>
        </w:trPr>
        <w:tc>
          <w:tcPr>
            <w:tcW w:w="907" w:type="pct"/>
            <w:vAlign w:val="center"/>
          </w:tcPr>
          <w:p w14:paraId="2D076770" w14:textId="77777777" w:rsidR="00185EFD" w:rsidRPr="00E30957" w:rsidRDefault="00185EFD" w:rsidP="00BE791B">
            <w:pPr>
              <w:spacing w:line="276" w:lineRule="auto"/>
              <w:jc w:val="left"/>
              <w:rPr>
                <w:rFonts w:cs="Arial"/>
                <w:lang w:val="en-AU"/>
              </w:rPr>
            </w:pPr>
            <w:r w:rsidRPr="00E30957">
              <w:rPr>
                <w:rFonts w:cs="Arial"/>
                <w:lang w:val="en-AU"/>
              </w:rPr>
              <w:t>MMP</w:t>
            </w:r>
          </w:p>
        </w:tc>
        <w:tc>
          <w:tcPr>
            <w:tcW w:w="4093" w:type="pct"/>
            <w:vAlign w:val="center"/>
          </w:tcPr>
          <w:p w14:paraId="1017ECF0" w14:textId="77777777" w:rsidR="00185EFD" w:rsidRPr="00E30957" w:rsidRDefault="00185EFD" w:rsidP="00BE791B">
            <w:pPr>
              <w:spacing w:line="276" w:lineRule="auto"/>
              <w:jc w:val="left"/>
              <w:rPr>
                <w:rFonts w:cs="Arial"/>
                <w:lang w:val="en-AU"/>
              </w:rPr>
            </w:pPr>
            <w:r w:rsidRPr="00E30957">
              <w:rPr>
                <w:rFonts w:cs="Arial"/>
                <w:lang w:val="en-AU"/>
              </w:rPr>
              <w:t>Marine Monitoring Program</w:t>
            </w:r>
          </w:p>
        </w:tc>
      </w:tr>
      <w:tr w:rsidR="00185EFD" w:rsidRPr="006C2A7B" w14:paraId="4A7AC0E7" w14:textId="77777777" w:rsidTr="00CD399D">
        <w:trPr>
          <w:trHeight w:val="332"/>
          <w:tblHeader/>
        </w:trPr>
        <w:tc>
          <w:tcPr>
            <w:tcW w:w="907" w:type="pct"/>
            <w:vAlign w:val="center"/>
          </w:tcPr>
          <w:p w14:paraId="13C6E86F" w14:textId="77777777" w:rsidR="00185EFD" w:rsidRPr="00E30957" w:rsidRDefault="00185EFD" w:rsidP="00BE791B">
            <w:pPr>
              <w:spacing w:line="276" w:lineRule="auto"/>
              <w:jc w:val="left"/>
              <w:rPr>
                <w:rFonts w:cs="Arial"/>
                <w:lang w:val="en-AU"/>
              </w:rPr>
            </w:pPr>
            <w:r w:rsidRPr="00E30957">
              <w:rPr>
                <w:rFonts w:cs="Arial"/>
                <w:lang w:val="en-AU"/>
              </w:rPr>
              <w:t>ms-PAF</w:t>
            </w:r>
          </w:p>
        </w:tc>
        <w:tc>
          <w:tcPr>
            <w:tcW w:w="4093" w:type="pct"/>
            <w:vAlign w:val="center"/>
          </w:tcPr>
          <w:p w14:paraId="50CFAF09" w14:textId="77777777" w:rsidR="00185EFD" w:rsidRPr="00E30957" w:rsidRDefault="00185EFD" w:rsidP="00BE791B">
            <w:pPr>
              <w:spacing w:line="276" w:lineRule="auto"/>
              <w:jc w:val="left"/>
              <w:rPr>
                <w:rFonts w:cs="Arial"/>
                <w:lang w:val="en-AU"/>
              </w:rPr>
            </w:pPr>
            <w:r w:rsidRPr="00E30957">
              <w:rPr>
                <w:rFonts w:cs="Arial"/>
                <w:lang w:val="en-AU"/>
              </w:rPr>
              <w:t xml:space="preserve">Multisubstance </w:t>
            </w:r>
            <w:r>
              <w:rPr>
                <w:rFonts w:cs="Arial"/>
                <w:lang w:val="en-AU"/>
              </w:rPr>
              <w:t xml:space="preserve">- </w:t>
            </w:r>
            <w:r w:rsidRPr="00E30957">
              <w:rPr>
                <w:rFonts w:cs="Arial"/>
                <w:lang w:val="en-AU"/>
              </w:rPr>
              <w:t>potentially affected fraction</w:t>
            </w:r>
          </w:p>
        </w:tc>
      </w:tr>
      <w:tr w:rsidR="00185EFD" w:rsidRPr="006C2A7B" w14:paraId="7211FF1B" w14:textId="77777777" w:rsidTr="00CD399D">
        <w:trPr>
          <w:trHeight w:val="332"/>
          <w:tblHeader/>
        </w:trPr>
        <w:tc>
          <w:tcPr>
            <w:tcW w:w="907" w:type="pct"/>
            <w:vAlign w:val="center"/>
          </w:tcPr>
          <w:p w14:paraId="62472ACB" w14:textId="77777777" w:rsidR="00185EFD" w:rsidRPr="00E30957" w:rsidRDefault="00185EFD" w:rsidP="00BE791B">
            <w:pPr>
              <w:spacing w:line="276" w:lineRule="auto"/>
              <w:jc w:val="left"/>
              <w:rPr>
                <w:rFonts w:cs="Arial"/>
                <w:lang w:val="en-AU"/>
              </w:rPr>
            </w:pPr>
            <w:r w:rsidRPr="00E30957">
              <w:rPr>
                <w:rFonts w:cs="Arial"/>
                <w:lang w:val="en-AU"/>
              </w:rPr>
              <w:t>NOEC</w:t>
            </w:r>
          </w:p>
        </w:tc>
        <w:tc>
          <w:tcPr>
            <w:tcW w:w="4093" w:type="pct"/>
            <w:vAlign w:val="center"/>
          </w:tcPr>
          <w:p w14:paraId="5F419585" w14:textId="77777777" w:rsidR="00185EFD" w:rsidRPr="00E30957" w:rsidRDefault="00185EFD" w:rsidP="00BE791B">
            <w:pPr>
              <w:spacing w:line="276" w:lineRule="auto"/>
              <w:jc w:val="left"/>
              <w:rPr>
                <w:rFonts w:cs="Arial"/>
                <w:lang w:val="en-AU"/>
              </w:rPr>
            </w:pPr>
            <w:r w:rsidRPr="00E30957">
              <w:rPr>
                <w:rFonts w:cs="Arial"/>
                <w:lang w:val="en-AU"/>
              </w:rPr>
              <w:t>No Observed Effect Concentration</w:t>
            </w:r>
          </w:p>
        </w:tc>
      </w:tr>
      <w:tr w:rsidR="00185EFD" w:rsidRPr="006C2A7B" w14:paraId="6100B4A9" w14:textId="77777777" w:rsidTr="00CD399D">
        <w:trPr>
          <w:trHeight w:val="332"/>
          <w:tblHeader/>
        </w:trPr>
        <w:tc>
          <w:tcPr>
            <w:tcW w:w="907" w:type="pct"/>
            <w:vAlign w:val="center"/>
          </w:tcPr>
          <w:p w14:paraId="3774AF50" w14:textId="77777777" w:rsidR="00185EFD" w:rsidRPr="00E30957" w:rsidRDefault="00185EFD" w:rsidP="00BE791B">
            <w:pPr>
              <w:spacing w:line="276" w:lineRule="auto"/>
              <w:jc w:val="left"/>
              <w:rPr>
                <w:rFonts w:cs="Arial"/>
                <w:lang w:val="en-AU"/>
              </w:rPr>
            </w:pPr>
            <w:r w:rsidRPr="00E30957">
              <w:rPr>
                <w:rFonts w:cs="Arial"/>
                <w:lang w:val="en-AU"/>
              </w:rPr>
              <w:t>PDMS</w:t>
            </w:r>
          </w:p>
        </w:tc>
        <w:tc>
          <w:tcPr>
            <w:tcW w:w="4093" w:type="pct"/>
            <w:vAlign w:val="center"/>
          </w:tcPr>
          <w:p w14:paraId="12765753" w14:textId="77777777" w:rsidR="00185EFD" w:rsidRPr="00E30957" w:rsidRDefault="00185EFD" w:rsidP="00BE791B">
            <w:pPr>
              <w:spacing w:line="276" w:lineRule="auto"/>
              <w:jc w:val="left"/>
              <w:rPr>
                <w:rFonts w:cs="Arial"/>
                <w:lang w:val="en-AU"/>
              </w:rPr>
            </w:pPr>
            <w:r w:rsidRPr="00E30957">
              <w:rPr>
                <w:rFonts w:cs="Arial"/>
                <w:lang w:val="en-AU"/>
              </w:rPr>
              <w:t>Polydimethylsiloxane passive sampler</w:t>
            </w:r>
          </w:p>
        </w:tc>
      </w:tr>
      <w:tr w:rsidR="00185EFD" w:rsidRPr="006C2A7B" w14:paraId="442C11C7" w14:textId="77777777" w:rsidTr="00CD399D">
        <w:trPr>
          <w:trHeight w:val="332"/>
          <w:tblHeader/>
        </w:trPr>
        <w:tc>
          <w:tcPr>
            <w:tcW w:w="907" w:type="pct"/>
            <w:vAlign w:val="center"/>
          </w:tcPr>
          <w:p w14:paraId="731FA95C" w14:textId="77777777" w:rsidR="00185EFD" w:rsidRPr="00E30957" w:rsidRDefault="00185EFD" w:rsidP="00BE791B">
            <w:pPr>
              <w:spacing w:line="276" w:lineRule="auto"/>
              <w:jc w:val="left"/>
              <w:rPr>
                <w:rFonts w:cs="Arial"/>
                <w:lang w:val="en-AU"/>
              </w:rPr>
            </w:pPr>
            <w:r w:rsidRPr="00E30957">
              <w:rPr>
                <w:rFonts w:cs="Arial"/>
                <w:lang w:val="en-AU"/>
              </w:rPr>
              <w:t>PFM</w:t>
            </w:r>
          </w:p>
        </w:tc>
        <w:tc>
          <w:tcPr>
            <w:tcW w:w="4093" w:type="pct"/>
            <w:vAlign w:val="center"/>
          </w:tcPr>
          <w:p w14:paraId="20B112D4" w14:textId="77777777" w:rsidR="00185EFD" w:rsidRPr="00E30957" w:rsidRDefault="00185EFD" w:rsidP="00BE791B">
            <w:pPr>
              <w:spacing w:line="276" w:lineRule="auto"/>
              <w:jc w:val="left"/>
              <w:rPr>
                <w:rFonts w:cs="Arial"/>
                <w:lang w:val="en-AU"/>
              </w:rPr>
            </w:pPr>
            <w:r w:rsidRPr="00E30957">
              <w:rPr>
                <w:rFonts w:cs="Arial"/>
                <w:lang w:val="en-AU"/>
              </w:rPr>
              <w:t>Passive/Plaster Flow Monitor</w:t>
            </w:r>
          </w:p>
        </w:tc>
      </w:tr>
      <w:tr w:rsidR="00185EFD" w:rsidRPr="006C2A7B" w14:paraId="23A5A16D" w14:textId="77777777" w:rsidTr="00CD399D">
        <w:trPr>
          <w:trHeight w:val="332"/>
          <w:tblHeader/>
        </w:trPr>
        <w:tc>
          <w:tcPr>
            <w:tcW w:w="907" w:type="pct"/>
            <w:vAlign w:val="center"/>
          </w:tcPr>
          <w:p w14:paraId="69B2D310" w14:textId="77777777" w:rsidR="00185EFD" w:rsidRPr="00E30957" w:rsidRDefault="00185EFD" w:rsidP="00BE791B">
            <w:pPr>
              <w:spacing w:line="276" w:lineRule="auto"/>
              <w:jc w:val="left"/>
              <w:rPr>
                <w:rFonts w:cs="Arial"/>
                <w:lang w:val="en-AU"/>
              </w:rPr>
            </w:pPr>
            <w:r w:rsidRPr="00E30957">
              <w:rPr>
                <w:rFonts w:cs="Arial"/>
                <w:lang w:val="en-AU"/>
              </w:rPr>
              <w:t>PSII-</w:t>
            </w:r>
            <w:r>
              <w:rPr>
                <w:rFonts w:cs="Arial"/>
                <w:lang w:val="en-AU"/>
              </w:rPr>
              <w:t>HEq</w:t>
            </w:r>
          </w:p>
        </w:tc>
        <w:tc>
          <w:tcPr>
            <w:tcW w:w="4093" w:type="pct"/>
            <w:vAlign w:val="center"/>
          </w:tcPr>
          <w:p w14:paraId="0C57E981" w14:textId="77777777" w:rsidR="00185EFD" w:rsidRPr="00E30957" w:rsidRDefault="00185EFD" w:rsidP="00BE791B">
            <w:pPr>
              <w:spacing w:line="276" w:lineRule="auto"/>
              <w:jc w:val="left"/>
              <w:rPr>
                <w:rFonts w:cs="Arial"/>
                <w:lang w:val="en-AU"/>
              </w:rPr>
            </w:pPr>
            <w:r>
              <w:rPr>
                <w:rFonts w:cs="Arial"/>
                <w:lang w:val="en-AU"/>
              </w:rPr>
              <w:t xml:space="preserve">Photosystem II </w:t>
            </w:r>
            <w:r w:rsidRPr="00E30957">
              <w:rPr>
                <w:rFonts w:cs="Arial"/>
                <w:lang w:val="en-AU"/>
              </w:rPr>
              <w:t>Herbicide Equivalent Concentration</w:t>
            </w:r>
          </w:p>
        </w:tc>
      </w:tr>
      <w:tr w:rsidR="00185EFD" w:rsidRPr="006C2A7B" w14:paraId="5E24C60F" w14:textId="77777777" w:rsidTr="00CD399D">
        <w:trPr>
          <w:trHeight w:val="332"/>
          <w:tblHeader/>
        </w:trPr>
        <w:tc>
          <w:tcPr>
            <w:tcW w:w="907" w:type="pct"/>
            <w:vAlign w:val="center"/>
          </w:tcPr>
          <w:p w14:paraId="242EA8D8" w14:textId="77777777" w:rsidR="00185EFD" w:rsidRPr="00E30957" w:rsidRDefault="00185EFD" w:rsidP="00BE791B">
            <w:pPr>
              <w:spacing w:line="276" w:lineRule="auto"/>
              <w:jc w:val="left"/>
              <w:rPr>
                <w:rFonts w:cs="Arial"/>
                <w:lang w:val="en-AU"/>
              </w:rPr>
            </w:pPr>
            <w:r w:rsidRPr="00E30957">
              <w:rPr>
                <w:rFonts w:cs="Arial"/>
                <w:lang w:val="en-AU"/>
              </w:rPr>
              <w:t>PTFE</w:t>
            </w:r>
          </w:p>
        </w:tc>
        <w:tc>
          <w:tcPr>
            <w:tcW w:w="4093" w:type="pct"/>
            <w:vAlign w:val="center"/>
          </w:tcPr>
          <w:p w14:paraId="2D101C92" w14:textId="77777777" w:rsidR="00185EFD" w:rsidRPr="00E30957" w:rsidRDefault="00185EFD" w:rsidP="00BE791B">
            <w:pPr>
              <w:spacing w:line="276" w:lineRule="auto"/>
              <w:jc w:val="left"/>
              <w:rPr>
                <w:rFonts w:cs="Arial"/>
                <w:lang w:val="en-AU"/>
              </w:rPr>
            </w:pPr>
            <w:r w:rsidRPr="00E30957">
              <w:rPr>
                <w:rFonts w:cs="Arial"/>
                <w:lang w:val="en-AU"/>
              </w:rPr>
              <w:t>Polytetrafluoroethylene : Common brand name - Teflon</w:t>
            </w:r>
          </w:p>
        </w:tc>
      </w:tr>
      <w:tr w:rsidR="00185EFD" w:rsidRPr="006C2A7B" w14:paraId="34274D2F" w14:textId="77777777" w:rsidTr="00CD399D">
        <w:trPr>
          <w:trHeight w:val="332"/>
          <w:tblHeader/>
        </w:trPr>
        <w:tc>
          <w:tcPr>
            <w:tcW w:w="907" w:type="pct"/>
            <w:vAlign w:val="center"/>
          </w:tcPr>
          <w:p w14:paraId="43CF100E" w14:textId="77777777" w:rsidR="00185EFD" w:rsidRPr="00E30957" w:rsidRDefault="00185EFD" w:rsidP="00BE791B">
            <w:pPr>
              <w:spacing w:line="276" w:lineRule="auto"/>
              <w:jc w:val="left"/>
              <w:rPr>
                <w:rFonts w:cs="Arial"/>
                <w:lang w:val="en-AU"/>
              </w:rPr>
            </w:pPr>
            <w:r w:rsidRPr="00E30957">
              <w:rPr>
                <w:rFonts w:cs="Arial"/>
                <w:lang w:val="en-AU"/>
              </w:rPr>
              <w:t>PWG</w:t>
            </w:r>
          </w:p>
        </w:tc>
        <w:tc>
          <w:tcPr>
            <w:tcW w:w="4093" w:type="pct"/>
            <w:vAlign w:val="center"/>
          </w:tcPr>
          <w:p w14:paraId="79A7C46C" w14:textId="77777777" w:rsidR="00185EFD" w:rsidRPr="00E30957" w:rsidRDefault="00185EFD" w:rsidP="00BE791B">
            <w:pPr>
              <w:spacing w:line="276" w:lineRule="auto"/>
              <w:jc w:val="left"/>
              <w:rPr>
                <w:rFonts w:cs="Arial"/>
                <w:lang w:val="en-AU"/>
              </w:rPr>
            </w:pPr>
            <w:r w:rsidRPr="00E30957">
              <w:rPr>
                <w:rFonts w:cs="Arial"/>
                <w:lang w:val="en-AU"/>
              </w:rPr>
              <w:t>Pesticide Working Group</w:t>
            </w:r>
          </w:p>
        </w:tc>
      </w:tr>
      <w:tr w:rsidR="00185EFD" w:rsidRPr="006C2A7B" w14:paraId="5EF57459" w14:textId="77777777" w:rsidTr="00CD399D">
        <w:trPr>
          <w:trHeight w:val="332"/>
          <w:tblHeader/>
        </w:trPr>
        <w:tc>
          <w:tcPr>
            <w:tcW w:w="907" w:type="pct"/>
            <w:vAlign w:val="center"/>
          </w:tcPr>
          <w:p w14:paraId="62C8D7EB" w14:textId="77777777" w:rsidR="00185EFD" w:rsidRPr="00E30957" w:rsidRDefault="00185EFD" w:rsidP="00BE791B">
            <w:pPr>
              <w:spacing w:line="276" w:lineRule="auto"/>
              <w:jc w:val="left"/>
              <w:rPr>
                <w:rFonts w:cs="Arial"/>
                <w:lang w:val="en-AU"/>
              </w:rPr>
            </w:pPr>
            <w:r>
              <w:rPr>
                <w:rFonts w:cs="Arial"/>
                <w:lang w:val="en-AU"/>
              </w:rPr>
              <w:t>QAEHS</w:t>
            </w:r>
          </w:p>
        </w:tc>
        <w:tc>
          <w:tcPr>
            <w:tcW w:w="4093" w:type="pct"/>
            <w:vAlign w:val="center"/>
          </w:tcPr>
          <w:p w14:paraId="4E103606" w14:textId="77777777" w:rsidR="00185EFD" w:rsidRPr="00E30957" w:rsidRDefault="00185EFD" w:rsidP="00BE791B">
            <w:pPr>
              <w:spacing w:line="276" w:lineRule="auto"/>
              <w:jc w:val="left"/>
              <w:rPr>
                <w:rFonts w:cs="Arial"/>
                <w:lang w:val="en-AU"/>
              </w:rPr>
            </w:pPr>
            <w:r>
              <w:rPr>
                <w:rFonts w:cs="Arial"/>
                <w:lang w:val="en-AU"/>
              </w:rPr>
              <w:t>Queensland Alliance for Environmental Health Sciences (formerly Entox)</w:t>
            </w:r>
          </w:p>
        </w:tc>
      </w:tr>
      <w:tr w:rsidR="00185EFD" w:rsidRPr="006C2A7B" w14:paraId="7360561F" w14:textId="77777777" w:rsidTr="00CD399D">
        <w:trPr>
          <w:trHeight w:val="332"/>
          <w:tblHeader/>
        </w:trPr>
        <w:tc>
          <w:tcPr>
            <w:tcW w:w="907" w:type="pct"/>
            <w:vAlign w:val="center"/>
          </w:tcPr>
          <w:p w14:paraId="097D50F4" w14:textId="77777777" w:rsidR="00185EFD" w:rsidRPr="00E30957" w:rsidRDefault="00185EFD" w:rsidP="00BE791B">
            <w:pPr>
              <w:spacing w:line="276" w:lineRule="auto"/>
              <w:jc w:val="left"/>
              <w:rPr>
                <w:rFonts w:cs="Arial"/>
                <w:lang w:val="en-AU"/>
              </w:rPr>
            </w:pPr>
            <w:r w:rsidRPr="00E30957">
              <w:rPr>
                <w:rFonts w:cs="Arial"/>
                <w:lang w:val="en-AU"/>
              </w:rPr>
              <w:t>QA</w:t>
            </w:r>
            <w:r>
              <w:rPr>
                <w:rFonts w:cs="Arial"/>
                <w:lang w:val="en-AU"/>
              </w:rPr>
              <w:t>/</w:t>
            </w:r>
            <w:r w:rsidRPr="00E30957">
              <w:rPr>
                <w:rFonts w:cs="Arial"/>
                <w:lang w:val="en-AU"/>
              </w:rPr>
              <w:t>QC</w:t>
            </w:r>
          </w:p>
        </w:tc>
        <w:tc>
          <w:tcPr>
            <w:tcW w:w="4093" w:type="pct"/>
            <w:vAlign w:val="center"/>
          </w:tcPr>
          <w:p w14:paraId="27975338" w14:textId="77777777" w:rsidR="00185EFD" w:rsidRPr="00E30957" w:rsidRDefault="00185EFD" w:rsidP="00BE791B">
            <w:pPr>
              <w:spacing w:line="276" w:lineRule="auto"/>
              <w:jc w:val="left"/>
              <w:rPr>
                <w:rFonts w:cs="Arial"/>
                <w:lang w:val="en-AU"/>
              </w:rPr>
            </w:pPr>
            <w:r w:rsidRPr="00E30957">
              <w:rPr>
                <w:rFonts w:cs="Arial"/>
                <w:lang w:val="en-AU"/>
              </w:rPr>
              <w:t>Quality Assurance</w:t>
            </w:r>
            <w:r>
              <w:rPr>
                <w:rFonts w:cs="Arial"/>
                <w:lang w:val="en-AU"/>
              </w:rPr>
              <w:t>/</w:t>
            </w:r>
            <w:r w:rsidRPr="00E30957">
              <w:rPr>
                <w:rFonts w:cs="Arial"/>
                <w:lang w:val="en-AU"/>
              </w:rPr>
              <w:t>Quality Control</w:t>
            </w:r>
          </w:p>
        </w:tc>
      </w:tr>
      <w:tr w:rsidR="00185EFD" w:rsidRPr="006C2A7B" w14:paraId="68F0D4A1" w14:textId="77777777" w:rsidTr="00CD399D">
        <w:trPr>
          <w:trHeight w:val="332"/>
          <w:tblHeader/>
        </w:trPr>
        <w:tc>
          <w:tcPr>
            <w:tcW w:w="907" w:type="pct"/>
            <w:vAlign w:val="center"/>
          </w:tcPr>
          <w:p w14:paraId="51D4C7BD" w14:textId="77777777" w:rsidR="00185EFD" w:rsidRPr="00E30957" w:rsidRDefault="00185EFD" w:rsidP="00BE791B">
            <w:pPr>
              <w:spacing w:line="276" w:lineRule="auto"/>
              <w:jc w:val="left"/>
              <w:rPr>
                <w:rFonts w:cs="Arial"/>
                <w:lang w:val="en-AU"/>
              </w:rPr>
            </w:pPr>
            <w:r w:rsidRPr="00E30957">
              <w:rPr>
                <w:rFonts w:cs="Arial"/>
                <w:lang w:val="en-AU"/>
              </w:rPr>
              <w:t>QHFSS</w:t>
            </w:r>
          </w:p>
        </w:tc>
        <w:tc>
          <w:tcPr>
            <w:tcW w:w="4093" w:type="pct"/>
            <w:vAlign w:val="center"/>
          </w:tcPr>
          <w:p w14:paraId="6AFF8DD3" w14:textId="77777777" w:rsidR="00185EFD" w:rsidRPr="00E30957" w:rsidRDefault="00185EFD" w:rsidP="00BE791B">
            <w:pPr>
              <w:spacing w:line="276" w:lineRule="auto"/>
              <w:jc w:val="left"/>
              <w:rPr>
                <w:rFonts w:cs="Arial"/>
                <w:lang w:val="en-AU"/>
              </w:rPr>
            </w:pPr>
            <w:r w:rsidRPr="00E30957">
              <w:rPr>
                <w:rFonts w:cs="Arial"/>
                <w:lang w:val="en-AU"/>
              </w:rPr>
              <w:t>Queensland Health Forensic &amp; Scientific Services</w:t>
            </w:r>
          </w:p>
        </w:tc>
      </w:tr>
      <w:tr w:rsidR="00185EFD" w:rsidRPr="006C2A7B" w14:paraId="2B34124F" w14:textId="77777777" w:rsidTr="00CD399D">
        <w:trPr>
          <w:trHeight w:val="332"/>
          <w:tblHeader/>
        </w:trPr>
        <w:tc>
          <w:tcPr>
            <w:tcW w:w="907" w:type="pct"/>
            <w:vAlign w:val="center"/>
          </w:tcPr>
          <w:p w14:paraId="7A1A23CA" w14:textId="77777777" w:rsidR="00185EFD" w:rsidRPr="00E30957" w:rsidRDefault="00185EFD" w:rsidP="00BE791B">
            <w:pPr>
              <w:spacing w:line="276" w:lineRule="auto"/>
              <w:jc w:val="left"/>
              <w:rPr>
                <w:rFonts w:cs="Arial"/>
                <w:lang w:val="en-AU"/>
              </w:rPr>
            </w:pPr>
            <w:r w:rsidRPr="00E30957">
              <w:rPr>
                <w:rFonts w:cs="Arial"/>
                <w:lang w:val="en-AU"/>
              </w:rPr>
              <w:t>RPF</w:t>
            </w:r>
          </w:p>
        </w:tc>
        <w:tc>
          <w:tcPr>
            <w:tcW w:w="4093" w:type="pct"/>
            <w:vAlign w:val="center"/>
          </w:tcPr>
          <w:p w14:paraId="57DBED86" w14:textId="77777777" w:rsidR="00185EFD" w:rsidRPr="00E30957" w:rsidRDefault="00185EFD" w:rsidP="00BE791B">
            <w:pPr>
              <w:spacing w:line="276" w:lineRule="auto"/>
              <w:jc w:val="left"/>
              <w:rPr>
                <w:rFonts w:cs="Arial"/>
                <w:lang w:val="en-AU"/>
              </w:rPr>
            </w:pPr>
            <w:r w:rsidRPr="00E30957">
              <w:rPr>
                <w:rFonts w:cs="Arial"/>
                <w:lang w:val="en-AU"/>
              </w:rPr>
              <w:t>Relative Potency Factor</w:t>
            </w:r>
          </w:p>
        </w:tc>
      </w:tr>
      <w:tr w:rsidR="00185EFD" w:rsidRPr="006C2A7B" w14:paraId="1D9D6666" w14:textId="77777777" w:rsidTr="00CD399D">
        <w:trPr>
          <w:trHeight w:val="332"/>
          <w:tblHeader/>
        </w:trPr>
        <w:tc>
          <w:tcPr>
            <w:tcW w:w="907" w:type="pct"/>
            <w:vAlign w:val="center"/>
          </w:tcPr>
          <w:p w14:paraId="07AF385E" w14:textId="77777777" w:rsidR="00185EFD" w:rsidRPr="00E30957" w:rsidRDefault="00185EFD" w:rsidP="00BE791B">
            <w:pPr>
              <w:spacing w:line="276" w:lineRule="auto"/>
              <w:jc w:val="left"/>
              <w:rPr>
                <w:rFonts w:cs="Arial"/>
                <w:lang w:val="en-AU"/>
              </w:rPr>
            </w:pPr>
            <w:r w:rsidRPr="00E30957">
              <w:rPr>
                <w:rFonts w:cs="Arial"/>
                <w:lang w:val="en-AU"/>
              </w:rPr>
              <w:t>RWQPP</w:t>
            </w:r>
          </w:p>
        </w:tc>
        <w:tc>
          <w:tcPr>
            <w:tcW w:w="4093" w:type="pct"/>
            <w:vAlign w:val="center"/>
          </w:tcPr>
          <w:p w14:paraId="6812358E" w14:textId="77777777" w:rsidR="00185EFD" w:rsidRPr="00E30957" w:rsidRDefault="00185EFD" w:rsidP="00BE791B">
            <w:pPr>
              <w:spacing w:line="276" w:lineRule="auto"/>
              <w:jc w:val="left"/>
              <w:rPr>
                <w:rFonts w:cs="Arial"/>
                <w:lang w:val="en-AU"/>
              </w:rPr>
            </w:pPr>
            <w:r w:rsidRPr="00E30957">
              <w:rPr>
                <w:rFonts w:cs="Arial"/>
                <w:lang w:val="en-AU"/>
              </w:rPr>
              <w:t>Reef Water Quality Protection Plan</w:t>
            </w:r>
          </w:p>
        </w:tc>
      </w:tr>
      <w:tr w:rsidR="00185EFD" w:rsidRPr="006C2A7B" w14:paraId="49C8EA7A" w14:textId="77777777" w:rsidTr="00CD399D">
        <w:trPr>
          <w:trHeight w:val="332"/>
          <w:tblHeader/>
        </w:trPr>
        <w:tc>
          <w:tcPr>
            <w:tcW w:w="907" w:type="pct"/>
            <w:vAlign w:val="center"/>
          </w:tcPr>
          <w:p w14:paraId="3A6E1A6A" w14:textId="77777777" w:rsidR="00185EFD" w:rsidRPr="00E30957" w:rsidRDefault="00185EFD" w:rsidP="00BE791B">
            <w:pPr>
              <w:spacing w:line="276" w:lineRule="auto"/>
              <w:jc w:val="left"/>
              <w:rPr>
                <w:rFonts w:cs="Arial"/>
                <w:lang w:val="en-AU"/>
              </w:rPr>
            </w:pPr>
            <w:r w:rsidRPr="00E30957">
              <w:rPr>
                <w:rFonts w:cs="Arial"/>
                <w:lang w:val="en-AU"/>
              </w:rPr>
              <w:t>SDB-RPS</w:t>
            </w:r>
          </w:p>
        </w:tc>
        <w:tc>
          <w:tcPr>
            <w:tcW w:w="4093" w:type="pct"/>
            <w:vAlign w:val="center"/>
          </w:tcPr>
          <w:p w14:paraId="2CF839AA" w14:textId="77777777" w:rsidR="00185EFD" w:rsidRPr="00E30957" w:rsidRDefault="00185EFD" w:rsidP="00BE791B">
            <w:pPr>
              <w:spacing w:line="276" w:lineRule="auto"/>
              <w:jc w:val="left"/>
              <w:rPr>
                <w:rFonts w:cs="Arial"/>
                <w:lang w:val="en-AU"/>
              </w:rPr>
            </w:pPr>
            <w:r w:rsidRPr="00E30957">
              <w:rPr>
                <w:rFonts w:cs="Arial"/>
                <w:lang w:val="en-AU"/>
              </w:rPr>
              <w:t>Poly(styrenedivinylbenzene) copolymer – reverse phase sulfonated</w:t>
            </w:r>
          </w:p>
        </w:tc>
      </w:tr>
      <w:tr w:rsidR="00185EFD" w:rsidRPr="006C2A7B" w14:paraId="6A16FD13" w14:textId="77777777" w:rsidTr="00CD399D">
        <w:trPr>
          <w:trHeight w:val="332"/>
          <w:tblHeader/>
        </w:trPr>
        <w:tc>
          <w:tcPr>
            <w:tcW w:w="907" w:type="pct"/>
            <w:vAlign w:val="center"/>
          </w:tcPr>
          <w:p w14:paraId="3BD81B3E" w14:textId="77777777" w:rsidR="00185EFD" w:rsidRPr="00E30957" w:rsidRDefault="00185EFD" w:rsidP="00BE791B">
            <w:pPr>
              <w:spacing w:line="276" w:lineRule="auto"/>
              <w:jc w:val="left"/>
              <w:rPr>
                <w:rFonts w:cs="Arial"/>
                <w:lang w:val="en-AU"/>
              </w:rPr>
            </w:pPr>
            <w:r w:rsidRPr="00E30957">
              <w:rPr>
                <w:rFonts w:cs="Arial"/>
                <w:lang w:val="en-AU"/>
              </w:rPr>
              <w:t>SOP</w:t>
            </w:r>
          </w:p>
        </w:tc>
        <w:tc>
          <w:tcPr>
            <w:tcW w:w="4093" w:type="pct"/>
            <w:vAlign w:val="center"/>
          </w:tcPr>
          <w:p w14:paraId="6C99F9F4" w14:textId="77777777" w:rsidR="00185EFD" w:rsidRPr="00E30957" w:rsidRDefault="00185EFD" w:rsidP="00BE791B">
            <w:pPr>
              <w:spacing w:line="276" w:lineRule="auto"/>
              <w:jc w:val="left"/>
              <w:rPr>
                <w:rFonts w:cs="Arial"/>
                <w:lang w:val="en-AU"/>
              </w:rPr>
            </w:pPr>
            <w:r w:rsidRPr="00E30957">
              <w:rPr>
                <w:rFonts w:cs="Arial"/>
                <w:lang w:val="en-AU"/>
              </w:rPr>
              <w:t>Standard Operation Procedure</w:t>
            </w:r>
          </w:p>
        </w:tc>
      </w:tr>
      <w:tr w:rsidR="00185EFD" w:rsidRPr="006C2A7B" w14:paraId="30E544E1" w14:textId="77777777" w:rsidTr="00CD399D">
        <w:trPr>
          <w:trHeight w:val="332"/>
          <w:tblHeader/>
        </w:trPr>
        <w:tc>
          <w:tcPr>
            <w:tcW w:w="907" w:type="pct"/>
            <w:vAlign w:val="center"/>
          </w:tcPr>
          <w:p w14:paraId="0EF7B06D" w14:textId="77777777" w:rsidR="00185EFD" w:rsidRPr="00E30957" w:rsidRDefault="00185EFD" w:rsidP="00BE791B">
            <w:pPr>
              <w:spacing w:line="276" w:lineRule="auto"/>
              <w:jc w:val="left"/>
              <w:rPr>
                <w:rFonts w:cs="Arial"/>
                <w:lang w:val="en-AU"/>
              </w:rPr>
            </w:pPr>
            <w:r>
              <w:rPr>
                <w:rFonts w:cs="Arial"/>
                <w:lang w:val="en-AU"/>
              </w:rPr>
              <w:t>SSD</w:t>
            </w:r>
          </w:p>
        </w:tc>
        <w:tc>
          <w:tcPr>
            <w:tcW w:w="4093" w:type="pct"/>
            <w:vAlign w:val="center"/>
          </w:tcPr>
          <w:p w14:paraId="4F37F600" w14:textId="77777777" w:rsidR="00185EFD" w:rsidRPr="00E30957" w:rsidRDefault="00185EFD" w:rsidP="00BE791B">
            <w:pPr>
              <w:spacing w:line="276" w:lineRule="auto"/>
              <w:jc w:val="left"/>
              <w:rPr>
                <w:rFonts w:cs="Arial"/>
                <w:lang w:val="en-AU"/>
              </w:rPr>
            </w:pPr>
            <w:r>
              <w:rPr>
                <w:rFonts w:cs="Arial"/>
                <w:lang w:val="en-AU"/>
              </w:rPr>
              <w:t>Species sensitivity distribution</w:t>
            </w:r>
          </w:p>
        </w:tc>
      </w:tr>
      <w:tr w:rsidR="00185EFD" w:rsidRPr="006C2A7B" w14:paraId="365ACE15" w14:textId="77777777" w:rsidTr="00CD399D">
        <w:trPr>
          <w:trHeight w:val="332"/>
          <w:tblHeader/>
        </w:trPr>
        <w:tc>
          <w:tcPr>
            <w:tcW w:w="907" w:type="pct"/>
            <w:vAlign w:val="center"/>
          </w:tcPr>
          <w:p w14:paraId="66902E46" w14:textId="77777777" w:rsidR="00185EFD" w:rsidRDefault="00185EFD" w:rsidP="00BE791B">
            <w:pPr>
              <w:spacing w:line="276" w:lineRule="auto"/>
              <w:jc w:val="left"/>
              <w:rPr>
                <w:rFonts w:cs="Arial"/>
                <w:lang w:val="en-AU"/>
              </w:rPr>
            </w:pPr>
            <w:r>
              <w:rPr>
                <w:rFonts w:cs="Arial"/>
                <w:lang w:val="en-AU"/>
              </w:rPr>
              <w:t>TEF</w:t>
            </w:r>
          </w:p>
        </w:tc>
        <w:tc>
          <w:tcPr>
            <w:tcW w:w="4093" w:type="pct"/>
            <w:vAlign w:val="center"/>
          </w:tcPr>
          <w:p w14:paraId="444C18A8" w14:textId="77777777" w:rsidR="00185EFD" w:rsidRDefault="00185EFD" w:rsidP="00BE791B">
            <w:pPr>
              <w:spacing w:line="276" w:lineRule="auto"/>
              <w:jc w:val="left"/>
              <w:rPr>
                <w:rFonts w:cs="Arial"/>
                <w:lang w:val="en-AU"/>
              </w:rPr>
            </w:pPr>
            <w:r>
              <w:rPr>
                <w:rFonts w:cs="Arial"/>
                <w:lang w:val="en-AU"/>
              </w:rPr>
              <w:t>Toxic Equivalency Factor</w:t>
            </w:r>
          </w:p>
        </w:tc>
      </w:tr>
    </w:tbl>
    <w:p w14:paraId="15720CB0" w14:textId="77777777" w:rsidR="00AD6279" w:rsidRDefault="00AD6279" w:rsidP="00015606">
      <w:pPr>
        <w:spacing w:line="276" w:lineRule="auto"/>
        <w:rPr>
          <w:lang w:val="en-AU"/>
        </w:rPr>
      </w:pPr>
    </w:p>
    <w:p w14:paraId="15720CB1" w14:textId="64051C24" w:rsidR="00F546E9" w:rsidRDefault="0078207D" w:rsidP="00015606">
      <w:pPr>
        <w:spacing w:line="276" w:lineRule="auto"/>
        <w:rPr>
          <w:lang w:val="en-AU"/>
        </w:rPr>
      </w:pPr>
      <w:r>
        <w:rPr>
          <w:lang w:val="en-AU"/>
        </w:rPr>
        <w:t xml:space="preserve">Note that throughout this report the term </w:t>
      </w:r>
      <w:r w:rsidRPr="0078207D">
        <w:rPr>
          <w:b/>
          <w:lang w:val="en-AU"/>
        </w:rPr>
        <w:t>pesticide</w:t>
      </w:r>
      <w:r>
        <w:rPr>
          <w:lang w:val="en-AU"/>
        </w:rPr>
        <w:t xml:space="preserve"> is used to refer c</w:t>
      </w:r>
      <w:r>
        <w:rPr>
          <w:rFonts w:cs="Arial"/>
          <w:lang w:val="en-AU"/>
        </w:rPr>
        <w:t xml:space="preserve">ollectively to the group of </w:t>
      </w:r>
      <w:r w:rsidRPr="00997B02">
        <w:rPr>
          <w:rFonts w:cs="Arial"/>
          <w:b/>
          <w:lang w:val="en-AU"/>
        </w:rPr>
        <w:t>insecticides, herbicides and fungicides</w:t>
      </w:r>
      <w:r w:rsidR="00465B04">
        <w:rPr>
          <w:rFonts w:cs="Arial"/>
          <w:lang w:val="en-AU"/>
        </w:rPr>
        <w:t>.</w:t>
      </w:r>
    </w:p>
    <w:p w14:paraId="15720CB2" w14:textId="77777777" w:rsidR="00AD6279" w:rsidRPr="00AD6279" w:rsidRDefault="00AD6279" w:rsidP="00AD6279">
      <w:pPr>
        <w:keepNext/>
        <w:spacing w:after="240"/>
        <w:ind w:right="-144"/>
        <w:jc w:val="left"/>
        <w:outlineLvl w:val="0"/>
        <w:rPr>
          <w:rFonts w:ascii="Century Gothic" w:eastAsia="SimSun" w:hAnsi="Century Gothic" w:cs="Times New Roman"/>
          <w:b/>
          <w:color w:val="0070C0"/>
          <w:kern w:val="28"/>
          <w:sz w:val="36"/>
          <w:szCs w:val="36"/>
          <w:lang w:val="en-GB" w:bidi="ar-SA"/>
        </w:rPr>
      </w:pPr>
      <w:bookmarkStart w:id="7" w:name="_Toc502499982"/>
      <w:r w:rsidRPr="00AD6279">
        <w:rPr>
          <w:rFonts w:ascii="Century Gothic" w:eastAsia="SimSun" w:hAnsi="Century Gothic" w:cs="Times New Roman"/>
          <w:b/>
          <w:color w:val="0070C0"/>
          <w:kern w:val="28"/>
          <w:sz w:val="36"/>
          <w:szCs w:val="36"/>
          <w:lang w:val="en-GB" w:bidi="ar-SA"/>
        </w:rPr>
        <w:t>Acknowledgements</w:t>
      </w:r>
      <w:bookmarkEnd w:id="7"/>
    </w:p>
    <w:p w14:paraId="15720CB3" w14:textId="77777777" w:rsidR="00AD6279" w:rsidRPr="00B675D3" w:rsidRDefault="00AD6279" w:rsidP="00AD6279">
      <w:pPr>
        <w:spacing w:line="276" w:lineRule="auto"/>
        <w:rPr>
          <w:rFonts w:eastAsia="Dotum" w:cs="Arial"/>
          <w:b/>
          <w:lang w:val="en-AU"/>
        </w:rPr>
      </w:pPr>
      <w:r w:rsidRPr="00B675D3">
        <w:rPr>
          <w:rFonts w:eastAsia="Dotum" w:cs="Arial"/>
          <w:b/>
          <w:lang w:val="en-AU"/>
        </w:rPr>
        <w:t>Other contributors to this work include</w:t>
      </w:r>
      <w:r w:rsidR="00B914A5">
        <w:rPr>
          <w:rFonts w:eastAsia="Dotum" w:cs="Arial"/>
          <w:b/>
          <w:lang w:val="en-AU"/>
        </w:rPr>
        <w:t>:</w:t>
      </w:r>
    </w:p>
    <w:p w14:paraId="15720CB4" w14:textId="77777777" w:rsidR="00200C83" w:rsidRPr="004B2254" w:rsidRDefault="00200C83" w:rsidP="00200C83">
      <w:pPr>
        <w:pStyle w:val="ListParagraph"/>
        <w:numPr>
          <w:ilvl w:val="0"/>
          <w:numId w:val="5"/>
        </w:numPr>
        <w:spacing w:line="276" w:lineRule="auto"/>
        <w:ind w:left="851" w:hanging="720"/>
        <w:rPr>
          <w:rFonts w:cs="Arial"/>
          <w:lang w:val="en-AU"/>
        </w:rPr>
      </w:pPr>
      <w:r>
        <w:rPr>
          <w:rFonts w:cs="Arial"/>
          <w:lang w:val="en-AU"/>
        </w:rPr>
        <w:t>The</w:t>
      </w:r>
      <w:r w:rsidRPr="004B2254">
        <w:rPr>
          <w:rFonts w:cs="Arial"/>
          <w:lang w:val="en-AU"/>
        </w:rPr>
        <w:t xml:space="preserve"> staff of </w:t>
      </w:r>
      <w:r>
        <w:rPr>
          <w:rFonts w:cs="Arial"/>
          <w:lang w:val="en-AU"/>
        </w:rPr>
        <w:t xml:space="preserve">the </w:t>
      </w:r>
      <w:r w:rsidRPr="004B2254">
        <w:rPr>
          <w:rFonts w:cs="Arial"/>
          <w:lang w:val="en-AU"/>
        </w:rPr>
        <w:t xml:space="preserve">Australian Institute of Marine Sciences </w:t>
      </w:r>
      <w:r>
        <w:rPr>
          <w:rFonts w:cs="Arial"/>
          <w:lang w:val="en-AU"/>
        </w:rPr>
        <w:t xml:space="preserve">and James Cook University </w:t>
      </w:r>
      <w:r w:rsidRPr="004B2254">
        <w:rPr>
          <w:rFonts w:cs="Arial"/>
          <w:lang w:val="en-AU"/>
        </w:rPr>
        <w:t>for the assessment of long term discharge data</w:t>
      </w:r>
      <w:r>
        <w:rPr>
          <w:rFonts w:cs="Arial"/>
          <w:lang w:val="en-AU"/>
        </w:rPr>
        <w:t xml:space="preserve"> and mapping;</w:t>
      </w:r>
    </w:p>
    <w:p w14:paraId="15720CB5" w14:textId="77777777" w:rsidR="00AD6279" w:rsidRPr="004B2254" w:rsidRDefault="00AD6279" w:rsidP="00220439">
      <w:pPr>
        <w:pStyle w:val="ListParagraph"/>
        <w:numPr>
          <w:ilvl w:val="0"/>
          <w:numId w:val="5"/>
        </w:numPr>
        <w:spacing w:line="276" w:lineRule="auto"/>
        <w:ind w:left="851" w:hanging="720"/>
        <w:rPr>
          <w:rFonts w:cs="Arial"/>
          <w:lang w:val="en-AU"/>
        </w:rPr>
      </w:pPr>
      <w:r w:rsidRPr="004B2254">
        <w:rPr>
          <w:rFonts w:cs="Arial"/>
          <w:lang w:val="en-AU"/>
        </w:rPr>
        <w:t>Carol Honchin of GBRMPA for her wor</w:t>
      </w:r>
      <w:r w:rsidR="008F0A2E">
        <w:rPr>
          <w:rFonts w:cs="Arial"/>
          <w:lang w:val="en-AU"/>
        </w:rPr>
        <w:t>k on the PSII-</w:t>
      </w:r>
      <w:r w:rsidR="009D307F">
        <w:rPr>
          <w:rFonts w:cs="Arial"/>
          <w:lang w:val="en-AU"/>
        </w:rPr>
        <w:t>HEq</w:t>
      </w:r>
      <w:r w:rsidR="008F0A2E">
        <w:rPr>
          <w:rFonts w:cs="Arial"/>
          <w:lang w:val="en-AU"/>
        </w:rPr>
        <w:t xml:space="preserve"> Index in 2010;</w:t>
      </w:r>
    </w:p>
    <w:p w14:paraId="15720CB6" w14:textId="77777777" w:rsidR="00AD6279" w:rsidRPr="008B7E72" w:rsidRDefault="00AD6279" w:rsidP="00220439">
      <w:pPr>
        <w:pStyle w:val="ListParagraph"/>
        <w:numPr>
          <w:ilvl w:val="0"/>
          <w:numId w:val="5"/>
        </w:numPr>
        <w:spacing w:line="276" w:lineRule="auto"/>
        <w:ind w:left="851" w:hanging="720"/>
        <w:rPr>
          <w:rFonts w:cs="Arial"/>
          <w:lang w:val="en-AU"/>
        </w:rPr>
      </w:pPr>
      <w:r>
        <w:rPr>
          <w:rFonts w:cs="Arial"/>
        </w:rPr>
        <w:t>The early work of David Haynes, Joelle Prange and Deb Bass of GBRMPA in establishing and managing this monitoring program.</w:t>
      </w:r>
    </w:p>
    <w:p w14:paraId="15720CB7" w14:textId="77777777" w:rsidR="00200C83" w:rsidRDefault="00200C83" w:rsidP="00AD6279">
      <w:pPr>
        <w:spacing w:line="276" w:lineRule="auto"/>
        <w:rPr>
          <w:rFonts w:eastAsia="Dotum" w:cs="Arial"/>
          <w:b/>
          <w:lang w:val="en-AU"/>
        </w:rPr>
      </w:pPr>
    </w:p>
    <w:p w14:paraId="15720CB8" w14:textId="77777777" w:rsidR="00AD6279" w:rsidRPr="00B675D3" w:rsidRDefault="00AD6279" w:rsidP="00AD6279">
      <w:pPr>
        <w:spacing w:line="276" w:lineRule="auto"/>
        <w:rPr>
          <w:rFonts w:eastAsia="Dotum" w:cs="Arial"/>
          <w:b/>
          <w:lang w:val="en-AU"/>
        </w:rPr>
      </w:pPr>
      <w:r w:rsidRPr="00B675D3">
        <w:rPr>
          <w:rFonts w:eastAsia="Dotum" w:cs="Arial"/>
          <w:b/>
          <w:lang w:val="en-AU"/>
        </w:rPr>
        <w:t>These monitoring activities have been undertaken in some form since 2005</w:t>
      </w:r>
      <w:r>
        <w:rPr>
          <w:rFonts w:eastAsia="Dotum" w:cs="Arial"/>
          <w:b/>
          <w:lang w:val="en-AU"/>
        </w:rPr>
        <w:t xml:space="preserve"> and</w:t>
      </w:r>
      <w:r w:rsidRPr="00B675D3">
        <w:rPr>
          <w:rFonts w:eastAsia="Dotum" w:cs="Arial"/>
          <w:b/>
          <w:lang w:val="en-AU"/>
        </w:rPr>
        <w:t xml:space="preserve"> </w:t>
      </w:r>
      <w:r>
        <w:rPr>
          <w:rFonts w:eastAsia="Dotum" w:cs="Arial"/>
          <w:b/>
          <w:lang w:val="en-AU"/>
        </w:rPr>
        <w:t>we a</w:t>
      </w:r>
      <w:r w:rsidR="008F0A2E">
        <w:rPr>
          <w:rFonts w:eastAsia="Dotum" w:cs="Arial"/>
          <w:b/>
          <w:lang w:val="en-AU"/>
        </w:rPr>
        <w:t>cknowledge:</w:t>
      </w:r>
    </w:p>
    <w:p w14:paraId="15720CB9" w14:textId="77777777" w:rsidR="00200C83" w:rsidRDefault="00AD6279" w:rsidP="00AD6279">
      <w:pPr>
        <w:spacing w:line="276" w:lineRule="auto"/>
        <w:rPr>
          <w:rFonts w:cs="Arial"/>
          <w:lang w:val="en-AU"/>
        </w:rPr>
      </w:pPr>
      <w:r>
        <w:rPr>
          <w:rFonts w:cs="Arial"/>
          <w:lang w:val="en-AU"/>
        </w:rPr>
        <w:t xml:space="preserve">Dr Karen Kennedy, Andrew Dunn, </w:t>
      </w:r>
      <w:r w:rsidRPr="00BA3F02">
        <w:rPr>
          <w:rFonts w:cs="Arial"/>
          <w:lang w:val="en-AU"/>
        </w:rPr>
        <w:t>Dr Michael Bartkow, Dr Tatiana Komarova, Dr Melanie Shaw,</w:t>
      </w:r>
      <w:r>
        <w:rPr>
          <w:rFonts w:cs="Arial"/>
          <w:lang w:val="en-AU"/>
        </w:rPr>
        <w:t xml:space="preserve"> </w:t>
      </w:r>
      <w:r w:rsidRPr="00BA3F02">
        <w:rPr>
          <w:rFonts w:cs="Arial"/>
          <w:lang w:val="en-AU"/>
        </w:rPr>
        <w:t>Anita Kapernick</w:t>
      </w:r>
      <w:r>
        <w:rPr>
          <w:rFonts w:cs="Arial"/>
          <w:lang w:val="en-AU"/>
        </w:rPr>
        <w:t xml:space="preserve">, </w:t>
      </w:r>
      <w:r w:rsidR="00030BBA">
        <w:rPr>
          <w:rFonts w:cs="Arial"/>
          <w:lang w:val="en-AU"/>
        </w:rPr>
        <w:t xml:space="preserve">Dr </w:t>
      </w:r>
      <w:r>
        <w:rPr>
          <w:rFonts w:cs="Arial"/>
          <w:lang w:val="en-AU"/>
        </w:rPr>
        <w:t xml:space="preserve">Jake O’Brien, Andrew Banks, </w:t>
      </w:r>
      <w:r w:rsidR="008F0A2E">
        <w:rPr>
          <w:rFonts w:cs="Arial"/>
          <w:lang w:val="en-AU"/>
        </w:rPr>
        <w:t xml:space="preserve">Rachel Mackie, </w:t>
      </w:r>
      <w:r>
        <w:rPr>
          <w:rFonts w:cs="Arial"/>
          <w:lang w:val="en-AU"/>
        </w:rPr>
        <w:t>Carol Marshall,</w:t>
      </w:r>
      <w:r w:rsidRPr="00662276">
        <w:rPr>
          <w:rFonts w:cs="Arial"/>
          <w:lang w:val="en-AU"/>
        </w:rPr>
        <w:t xml:space="preserve"> </w:t>
      </w:r>
      <w:r w:rsidRPr="004B2254">
        <w:rPr>
          <w:rFonts w:cs="Arial"/>
          <w:lang w:val="en-AU"/>
        </w:rPr>
        <w:t>Steve Carter of Queensland Health Forensic and Scientific Services</w:t>
      </w:r>
      <w:r w:rsidR="00200C83">
        <w:rPr>
          <w:rFonts w:cs="Arial"/>
          <w:lang w:val="en-AU"/>
        </w:rPr>
        <w:t>.</w:t>
      </w:r>
    </w:p>
    <w:p w14:paraId="15720CBA" w14:textId="77777777" w:rsidR="00200C83" w:rsidRDefault="00200C83" w:rsidP="00AD6279">
      <w:pPr>
        <w:spacing w:line="276" w:lineRule="auto"/>
        <w:rPr>
          <w:rFonts w:cs="Arial"/>
          <w:lang w:val="en-AU"/>
        </w:rPr>
      </w:pPr>
    </w:p>
    <w:p w14:paraId="15720CBB" w14:textId="5E914CC0" w:rsidR="00200C83" w:rsidRDefault="00200C83" w:rsidP="00AD6279">
      <w:pPr>
        <w:spacing w:line="276" w:lineRule="auto"/>
        <w:rPr>
          <w:rFonts w:eastAsia="Dotum" w:cs="Arial"/>
          <w:lang w:val="en-AU"/>
        </w:rPr>
      </w:pPr>
      <w:r>
        <w:rPr>
          <w:rFonts w:cs="Arial"/>
          <w:lang w:val="en-AU"/>
        </w:rPr>
        <w:t>We thank</w:t>
      </w:r>
      <w:r w:rsidR="00AD6279" w:rsidRPr="00030BBA">
        <w:rPr>
          <w:rFonts w:cs="Arial"/>
          <w:lang w:val="en-AU"/>
        </w:rPr>
        <w:t xml:space="preserve"> Rachael Smith, Olivia King </w:t>
      </w:r>
      <w:r w:rsidR="00E458AE">
        <w:rPr>
          <w:rFonts w:cs="Arial"/>
          <w:lang w:val="en-AU"/>
        </w:rPr>
        <w:t xml:space="preserve">and Ryan Turner </w:t>
      </w:r>
      <w:r w:rsidR="00AD6279" w:rsidRPr="00030BBA">
        <w:rPr>
          <w:rFonts w:cs="Arial"/>
          <w:lang w:val="en-AU"/>
        </w:rPr>
        <w:t xml:space="preserve">(Department of Science, Information Technology and Innovation) who provided </w:t>
      </w:r>
      <w:r w:rsidR="00030BBA" w:rsidRPr="00030BBA">
        <w:rPr>
          <w:rFonts w:cs="Arial"/>
          <w:lang w:val="en-AU"/>
        </w:rPr>
        <w:t xml:space="preserve">data </w:t>
      </w:r>
      <w:r w:rsidR="00030BBA">
        <w:rPr>
          <w:rFonts w:cs="Arial"/>
          <w:lang w:val="en-AU"/>
        </w:rPr>
        <w:t xml:space="preserve">and advice on the </w:t>
      </w:r>
      <w:r w:rsidR="00AD6279" w:rsidRPr="00030BBA">
        <w:rPr>
          <w:rFonts w:cs="Arial"/>
          <w:lang w:val="en-AU"/>
        </w:rPr>
        <w:t>ms-PAF</w:t>
      </w:r>
      <w:r w:rsidR="00030BBA">
        <w:rPr>
          <w:rFonts w:cs="Arial"/>
          <w:lang w:val="en-AU"/>
        </w:rPr>
        <w:t xml:space="preserve"> </w:t>
      </w:r>
      <w:r>
        <w:rPr>
          <w:rFonts w:cs="Arial"/>
          <w:lang w:val="en-AU"/>
        </w:rPr>
        <w:t>model</w:t>
      </w:r>
      <w:r w:rsidR="00465B04">
        <w:rPr>
          <w:rFonts w:cs="Arial"/>
          <w:lang w:val="en-AU"/>
        </w:rPr>
        <w:t xml:space="preserve">, </w:t>
      </w:r>
      <w:r w:rsidR="00030BBA">
        <w:rPr>
          <w:rFonts w:cs="Arial"/>
          <w:lang w:val="en-AU"/>
        </w:rPr>
        <w:t xml:space="preserve">proposed guideline values, </w:t>
      </w:r>
      <w:r w:rsidR="00465B04">
        <w:rPr>
          <w:rFonts w:cs="Arial"/>
          <w:lang w:val="en-AU"/>
        </w:rPr>
        <w:t>and</w:t>
      </w:r>
      <w:r w:rsidR="00030BBA">
        <w:rPr>
          <w:rFonts w:cs="Arial"/>
          <w:lang w:val="en-AU"/>
        </w:rPr>
        <w:t xml:space="preserve"> end-of-catchment load monitoring data (in advance of release of the annual GBRCLMP report)</w:t>
      </w:r>
      <w:r w:rsidR="00AD6279" w:rsidRPr="00030BBA">
        <w:rPr>
          <w:rFonts w:cs="Arial"/>
          <w:lang w:val="en-AU"/>
        </w:rPr>
        <w:t>.</w:t>
      </w:r>
      <w:r w:rsidRPr="00200C83">
        <w:rPr>
          <w:rFonts w:eastAsia="Dotum" w:cs="Arial"/>
          <w:lang w:val="en-AU"/>
        </w:rPr>
        <w:t xml:space="preserve"> </w:t>
      </w:r>
    </w:p>
    <w:p w14:paraId="15720CBC" w14:textId="77777777" w:rsidR="00200C83" w:rsidRDefault="00200C83" w:rsidP="00AD6279">
      <w:pPr>
        <w:spacing w:line="276" w:lineRule="auto"/>
        <w:rPr>
          <w:rFonts w:eastAsia="Dotum" w:cs="Arial"/>
          <w:lang w:val="en-AU"/>
        </w:rPr>
      </w:pPr>
    </w:p>
    <w:p w14:paraId="15720CBD" w14:textId="77777777" w:rsidR="00AD6279" w:rsidRPr="00BA3F02" w:rsidRDefault="00200C83" w:rsidP="00AD6279">
      <w:pPr>
        <w:spacing w:line="276" w:lineRule="auto"/>
        <w:rPr>
          <w:rFonts w:cs="Arial"/>
          <w:lang w:val="en-AU"/>
        </w:rPr>
      </w:pPr>
      <w:r>
        <w:rPr>
          <w:rFonts w:eastAsia="Dotum" w:cs="Arial"/>
          <w:lang w:val="en-AU"/>
        </w:rPr>
        <w:t>QAEHS</w:t>
      </w:r>
      <w:r w:rsidRPr="00E458AE">
        <w:rPr>
          <w:rFonts w:eastAsia="Dotum" w:cs="Arial"/>
          <w:lang w:val="en-AU"/>
        </w:rPr>
        <w:t xml:space="preserve"> gratefully acknowledges the technical support provided by David Boadle and Brett Baker (CSIRO Land &amp; Water) as well as IMOS/CSIRO through funding of the Lucinda Jetty Coastal Observatory.</w:t>
      </w:r>
    </w:p>
    <w:p w14:paraId="15720CBE" w14:textId="77777777" w:rsidR="00AD6279" w:rsidRDefault="00AD6279" w:rsidP="00AD6279">
      <w:pPr>
        <w:spacing w:line="276" w:lineRule="auto"/>
        <w:rPr>
          <w:lang w:val="en-AU"/>
        </w:rPr>
      </w:pPr>
    </w:p>
    <w:p w14:paraId="15720CBF" w14:textId="77777777" w:rsidR="00AD6279" w:rsidRPr="008F0A2E" w:rsidRDefault="00AD6279" w:rsidP="00AD6279">
      <w:pPr>
        <w:spacing w:line="276" w:lineRule="auto"/>
        <w:rPr>
          <w:rFonts w:eastAsia="Dotum" w:cs="Arial"/>
          <w:lang w:val="en-AU"/>
        </w:rPr>
      </w:pPr>
      <w:r w:rsidRPr="008F0A2E">
        <w:rPr>
          <w:rFonts w:eastAsia="Dotum" w:cs="Arial"/>
          <w:lang w:val="en-AU"/>
        </w:rPr>
        <w:lastRenderedPageBreak/>
        <w:t>The assistance of the numerous volunteers who have deployed passive samplers is</w:t>
      </w:r>
      <w:r w:rsidR="00B914A5" w:rsidRPr="008F0A2E">
        <w:rPr>
          <w:rFonts w:eastAsia="Dotum" w:cs="Arial"/>
          <w:lang w:val="en-AU"/>
        </w:rPr>
        <w:t xml:space="preserve"> gratefully acknowledged:</w:t>
      </w:r>
    </w:p>
    <w:tbl>
      <w:tblPr>
        <w:tblStyle w:val="Anita-ReportConsult"/>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Volunteers"/>
        <w:tblDescription w:val="Volunteers who deploy passive samplers in the program"/>
      </w:tblPr>
      <w:tblGrid>
        <w:gridCol w:w="2925"/>
        <w:gridCol w:w="3656"/>
        <w:gridCol w:w="3573"/>
      </w:tblGrid>
      <w:tr w:rsidR="00AD6279" w:rsidRPr="00E458AE" w14:paraId="15720CC3" w14:textId="77777777" w:rsidTr="00B914A5">
        <w:trPr>
          <w:trHeight w:val="794"/>
          <w:tblHeader/>
          <w:jc w:val="center"/>
        </w:trPr>
        <w:tc>
          <w:tcPr>
            <w:tcW w:w="2925" w:type="dxa"/>
            <w:vAlign w:val="center"/>
          </w:tcPr>
          <w:p w14:paraId="15720CC0" w14:textId="77777777" w:rsidR="00AD6279" w:rsidRPr="00E458AE" w:rsidRDefault="00AD6279" w:rsidP="00B914A5">
            <w:pPr>
              <w:spacing w:line="276" w:lineRule="auto"/>
              <w:jc w:val="left"/>
              <w:rPr>
                <w:rFonts w:eastAsia="Dotum" w:cs="Arial"/>
                <w:sz w:val="20"/>
                <w:szCs w:val="18"/>
                <w:lang w:val="en-AU"/>
              </w:rPr>
            </w:pPr>
            <w:r w:rsidRPr="00E458AE">
              <w:rPr>
                <w:rFonts w:eastAsia="Dotum" w:cs="Arial"/>
                <w:sz w:val="20"/>
                <w:szCs w:val="18"/>
                <w:lang w:val="en-AU"/>
              </w:rPr>
              <w:t>Cahills Couriers</w:t>
            </w:r>
          </w:p>
        </w:tc>
        <w:tc>
          <w:tcPr>
            <w:tcW w:w="3656" w:type="dxa"/>
            <w:vAlign w:val="center"/>
          </w:tcPr>
          <w:p w14:paraId="15720CC1" w14:textId="77777777" w:rsidR="00AD6279" w:rsidRPr="00E458AE" w:rsidRDefault="00E458AE" w:rsidP="00B914A5">
            <w:pPr>
              <w:spacing w:line="276" w:lineRule="auto"/>
              <w:jc w:val="left"/>
              <w:rPr>
                <w:rFonts w:eastAsia="Dotum" w:cs="Arial"/>
                <w:sz w:val="20"/>
                <w:szCs w:val="18"/>
                <w:lang w:val="en-AU"/>
              </w:rPr>
            </w:pPr>
            <w:r w:rsidRPr="00E458AE">
              <w:rPr>
                <w:rFonts w:eastAsia="Dotum" w:cs="Arial"/>
                <w:sz w:val="20"/>
                <w:szCs w:val="18"/>
                <w:lang w:val="en-AU"/>
              </w:rPr>
              <w:t>Dan Atherton</w:t>
            </w:r>
          </w:p>
        </w:tc>
        <w:tc>
          <w:tcPr>
            <w:tcW w:w="3573" w:type="dxa"/>
            <w:vAlign w:val="center"/>
          </w:tcPr>
          <w:p w14:paraId="15720CC2" w14:textId="77777777" w:rsidR="00AD6279" w:rsidRPr="00E458AE" w:rsidRDefault="00AD6279" w:rsidP="00B914A5">
            <w:pPr>
              <w:spacing w:line="276" w:lineRule="auto"/>
              <w:jc w:val="left"/>
              <w:rPr>
                <w:rFonts w:eastAsia="Dotum" w:cs="Arial"/>
                <w:sz w:val="20"/>
                <w:szCs w:val="18"/>
                <w:lang w:val="en-AU"/>
              </w:rPr>
            </w:pPr>
            <w:r w:rsidRPr="00E458AE">
              <w:rPr>
                <w:rFonts w:eastAsia="Dotum" w:cs="Arial"/>
                <w:sz w:val="20"/>
                <w:szCs w:val="18"/>
                <w:lang w:val="en-AU"/>
              </w:rPr>
              <w:t>Great Barrier Reef Marine Park Authority</w:t>
            </w:r>
          </w:p>
        </w:tc>
      </w:tr>
      <w:tr w:rsidR="00AD6279" w:rsidRPr="00E458AE" w14:paraId="15720CC7" w14:textId="77777777" w:rsidTr="00B914A5">
        <w:trPr>
          <w:trHeight w:val="794"/>
          <w:tblHeader/>
          <w:jc w:val="center"/>
        </w:trPr>
        <w:tc>
          <w:tcPr>
            <w:tcW w:w="2925" w:type="dxa"/>
            <w:vAlign w:val="center"/>
          </w:tcPr>
          <w:p w14:paraId="15720CC4" w14:textId="77777777" w:rsidR="00AD6279" w:rsidRPr="00E458AE" w:rsidRDefault="00AD6279" w:rsidP="00B914A5">
            <w:pPr>
              <w:spacing w:line="276" w:lineRule="auto"/>
              <w:jc w:val="left"/>
              <w:rPr>
                <w:rFonts w:eastAsia="Dotum" w:cs="Arial"/>
                <w:sz w:val="20"/>
                <w:szCs w:val="18"/>
                <w:lang w:val="en-AU"/>
              </w:rPr>
            </w:pPr>
            <w:r w:rsidRPr="00E458AE">
              <w:rPr>
                <w:rFonts w:eastAsia="Dotum" w:cs="Arial"/>
                <w:sz w:val="20"/>
                <w:szCs w:val="18"/>
                <w:lang w:val="en-AU"/>
              </w:rPr>
              <w:t>Mission Beach/ Dunk Island Water Taxi</w:t>
            </w:r>
          </w:p>
        </w:tc>
        <w:tc>
          <w:tcPr>
            <w:tcW w:w="3656" w:type="dxa"/>
            <w:vAlign w:val="center"/>
          </w:tcPr>
          <w:p w14:paraId="15720CC5" w14:textId="77777777" w:rsidR="00AD6279" w:rsidRPr="00E458AE" w:rsidRDefault="00E458AE" w:rsidP="00B914A5">
            <w:pPr>
              <w:spacing w:line="276" w:lineRule="auto"/>
              <w:jc w:val="left"/>
              <w:rPr>
                <w:rFonts w:eastAsia="Dotum" w:cs="Arial"/>
                <w:sz w:val="20"/>
                <w:szCs w:val="18"/>
                <w:lang w:val="en-AU"/>
              </w:rPr>
            </w:pPr>
            <w:r w:rsidRPr="00E458AE">
              <w:rPr>
                <w:rFonts w:eastAsia="Dotum" w:cs="Arial"/>
                <w:sz w:val="20"/>
                <w:szCs w:val="18"/>
                <w:lang w:val="en-AU"/>
              </w:rPr>
              <w:t>Doug Baird</w:t>
            </w:r>
          </w:p>
        </w:tc>
        <w:tc>
          <w:tcPr>
            <w:tcW w:w="3573" w:type="dxa"/>
            <w:vAlign w:val="center"/>
          </w:tcPr>
          <w:p w14:paraId="15720CC6" w14:textId="77777777" w:rsidR="00AD6279" w:rsidRPr="00E458AE" w:rsidRDefault="00AD6279" w:rsidP="00B914A5">
            <w:pPr>
              <w:spacing w:line="276" w:lineRule="auto"/>
              <w:jc w:val="left"/>
              <w:rPr>
                <w:rFonts w:eastAsia="Dotum" w:cs="Arial"/>
                <w:sz w:val="20"/>
                <w:szCs w:val="18"/>
                <w:lang w:val="en-AU"/>
              </w:rPr>
            </w:pPr>
            <w:r w:rsidRPr="00E458AE">
              <w:rPr>
                <w:rFonts w:eastAsia="Dotum" w:cs="Arial"/>
                <w:sz w:val="20"/>
                <w:szCs w:val="18"/>
                <w:lang w:val="en-AU"/>
              </w:rPr>
              <w:t>Centre for Tropical Water &amp; Aquatic Ecosystem Research (TropWater)</w:t>
            </w:r>
          </w:p>
        </w:tc>
      </w:tr>
      <w:tr w:rsidR="00AD6279" w:rsidRPr="00E458AE" w14:paraId="15720CCB" w14:textId="77777777" w:rsidTr="00B914A5">
        <w:trPr>
          <w:trHeight w:val="794"/>
          <w:tblHeader/>
          <w:jc w:val="center"/>
        </w:trPr>
        <w:tc>
          <w:tcPr>
            <w:tcW w:w="2925" w:type="dxa"/>
            <w:vAlign w:val="center"/>
          </w:tcPr>
          <w:p w14:paraId="15720CC8" w14:textId="77777777" w:rsidR="00AD6279" w:rsidRPr="00E458AE" w:rsidRDefault="00AD6279" w:rsidP="00B914A5">
            <w:pPr>
              <w:spacing w:line="276" w:lineRule="auto"/>
              <w:jc w:val="left"/>
              <w:rPr>
                <w:rFonts w:eastAsia="Dotum" w:cs="Arial"/>
                <w:sz w:val="20"/>
                <w:szCs w:val="18"/>
                <w:lang w:val="en-AU"/>
              </w:rPr>
            </w:pPr>
            <w:r w:rsidRPr="00E458AE">
              <w:rPr>
                <w:rFonts w:eastAsia="Dotum" w:cs="Arial"/>
                <w:sz w:val="20"/>
                <w:szCs w:val="18"/>
                <w:lang w:val="en-AU"/>
              </w:rPr>
              <w:t>Sarina Bait Supplies</w:t>
            </w:r>
          </w:p>
        </w:tc>
        <w:tc>
          <w:tcPr>
            <w:tcW w:w="3656" w:type="dxa"/>
            <w:vAlign w:val="center"/>
          </w:tcPr>
          <w:p w14:paraId="15720CC9" w14:textId="77777777" w:rsidR="00AD6279" w:rsidRPr="00E458AE" w:rsidRDefault="00AD6279" w:rsidP="00B914A5">
            <w:pPr>
              <w:spacing w:line="276" w:lineRule="auto"/>
              <w:jc w:val="left"/>
              <w:rPr>
                <w:rFonts w:eastAsia="Dotum" w:cs="Arial"/>
                <w:sz w:val="20"/>
                <w:szCs w:val="18"/>
                <w:lang w:val="en-AU"/>
              </w:rPr>
            </w:pPr>
            <w:r w:rsidRPr="00E458AE">
              <w:rPr>
                <w:rFonts w:eastAsia="Dotum" w:cs="Arial"/>
                <w:sz w:val="20"/>
                <w:szCs w:val="18"/>
                <w:lang w:val="en-AU"/>
              </w:rPr>
              <w:t>Frankland Island Cruise &amp; Dive</w:t>
            </w:r>
          </w:p>
        </w:tc>
        <w:tc>
          <w:tcPr>
            <w:tcW w:w="3573" w:type="dxa"/>
            <w:vAlign w:val="center"/>
          </w:tcPr>
          <w:p w14:paraId="15720CCA" w14:textId="77777777" w:rsidR="00AD6279" w:rsidRPr="00E458AE" w:rsidRDefault="00AD6279" w:rsidP="00B914A5">
            <w:pPr>
              <w:spacing w:line="276" w:lineRule="auto"/>
              <w:jc w:val="left"/>
              <w:rPr>
                <w:rFonts w:eastAsia="Dotum" w:cs="Arial"/>
                <w:sz w:val="20"/>
                <w:szCs w:val="18"/>
                <w:lang w:val="en-AU"/>
              </w:rPr>
            </w:pPr>
            <w:r w:rsidRPr="00E458AE">
              <w:rPr>
                <w:rFonts w:eastAsia="Dotum" w:cs="Arial"/>
                <w:sz w:val="20"/>
                <w:szCs w:val="18"/>
                <w:lang w:val="en-AU"/>
              </w:rPr>
              <w:t>North Keppel Island Environmental Education Centre</w:t>
            </w:r>
          </w:p>
        </w:tc>
      </w:tr>
      <w:tr w:rsidR="00AD6279" w:rsidRPr="00E458AE" w14:paraId="15720CD0" w14:textId="77777777" w:rsidTr="00B914A5">
        <w:trPr>
          <w:trHeight w:val="794"/>
          <w:tblHeader/>
          <w:jc w:val="center"/>
        </w:trPr>
        <w:tc>
          <w:tcPr>
            <w:tcW w:w="2925" w:type="dxa"/>
            <w:vAlign w:val="center"/>
          </w:tcPr>
          <w:p w14:paraId="15720CCC" w14:textId="77777777" w:rsidR="00AD6279" w:rsidRPr="00E458AE" w:rsidRDefault="00AD6279" w:rsidP="00B914A5">
            <w:pPr>
              <w:spacing w:line="276" w:lineRule="auto"/>
              <w:jc w:val="left"/>
              <w:rPr>
                <w:rFonts w:eastAsia="Dotum" w:cs="Arial"/>
                <w:sz w:val="20"/>
                <w:szCs w:val="18"/>
                <w:lang w:val="en-AU"/>
              </w:rPr>
            </w:pPr>
            <w:r w:rsidRPr="00E458AE">
              <w:rPr>
                <w:rFonts w:eastAsia="Dotum" w:cs="Arial"/>
                <w:sz w:val="20"/>
                <w:szCs w:val="18"/>
                <w:lang w:val="en-AU"/>
              </w:rPr>
              <w:t>Jace Services</w:t>
            </w:r>
          </w:p>
        </w:tc>
        <w:tc>
          <w:tcPr>
            <w:tcW w:w="3656" w:type="dxa"/>
            <w:vAlign w:val="center"/>
          </w:tcPr>
          <w:p w14:paraId="15720CCD" w14:textId="77777777" w:rsidR="00E458AE" w:rsidRDefault="00AD6279" w:rsidP="00B914A5">
            <w:pPr>
              <w:spacing w:line="276" w:lineRule="auto"/>
              <w:jc w:val="left"/>
              <w:rPr>
                <w:rFonts w:cs="Arial"/>
                <w:sz w:val="20"/>
                <w:szCs w:val="18"/>
              </w:rPr>
            </w:pPr>
            <w:r w:rsidRPr="00E458AE">
              <w:rPr>
                <w:rFonts w:eastAsia="Dotum" w:cs="Arial"/>
                <w:sz w:val="20"/>
                <w:szCs w:val="18"/>
                <w:lang w:val="en-AU"/>
              </w:rPr>
              <w:t>Mission Beach Charters</w:t>
            </w:r>
            <w:r w:rsidR="00E458AE" w:rsidRPr="00E458AE">
              <w:rPr>
                <w:rFonts w:cs="Arial"/>
                <w:sz w:val="20"/>
                <w:szCs w:val="18"/>
              </w:rPr>
              <w:t xml:space="preserve">: </w:t>
            </w:r>
          </w:p>
          <w:p w14:paraId="15720CCE" w14:textId="77777777" w:rsidR="00AD6279" w:rsidRPr="00E458AE" w:rsidRDefault="00E458AE" w:rsidP="00B914A5">
            <w:pPr>
              <w:spacing w:line="276" w:lineRule="auto"/>
              <w:jc w:val="left"/>
              <w:rPr>
                <w:rFonts w:eastAsia="Dotum" w:cs="Arial"/>
                <w:sz w:val="20"/>
                <w:szCs w:val="18"/>
                <w:lang w:val="en-AU"/>
              </w:rPr>
            </w:pPr>
            <w:r w:rsidRPr="00E458AE">
              <w:rPr>
                <w:rFonts w:cs="Arial"/>
                <w:sz w:val="20"/>
                <w:szCs w:val="18"/>
              </w:rPr>
              <w:t>Bec Rowlands and Jason Shearer</w:t>
            </w:r>
          </w:p>
        </w:tc>
        <w:tc>
          <w:tcPr>
            <w:tcW w:w="3573" w:type="dxa"/>
            <w:vAlign w:val="center"/>
          </w:tcPr>
          <w:p w14:paraId="15720CCF" w14:textId="77777777" w:rsidR="00AD6279" w:rsidRPr="00E458AE" w:rsidRDefault="00E458AE" w:rsidP="00B914A5">
            <w:pPr>
              <w:spacing w:line="276" w:lineRule="auto"/>
              <w:jc w:val="left"/>
              <w:rPr>
                <w:rFonts w:eastAsia="Dotum" w:cs="Arial"/>
                <w:sz w:val="20"/>
                <w:szCs w:val="18"/>
                <w:lang w:val="en-AU"/>
              </w:rPr>
            </w:pPr>
            <w:r w:rsidRPr="00E458AE">
              <w:rPr>
                <w:rFonts w:eastAsia="Dotum" w:cs="Arial"/>
                <w:sz w:val="20"/>
                <w:szCs w:val="18"/>
                <w:lang w:val="en-AU"/>
              </w:rPr>
              <w:t>Brett Shorten</w:t>
            </w:r>
          </w:p>
        </w:tc>
      </w:tr>
      <w:tr w:rsidR="00AD6279" w:rsidRPr="00E458AE" w14:paraId="15720CD4" w14:textId="77777777" w:rsidTr="00B914A5">
        <w:trPr>
          <w:trHeight w:val="794"/>
          <w:tblHeader/>
          <w:jc w:val="center"/>
        </w:trPr>
        <w:tc>
          <w:tcPr>
            <w:tcW w:w="2925" w:type="dxa"/>
            <w:vAlign w:val="center"/>
          </w:tcPr>
          <w:p w14:paraId="15720CD1" w14:textId="77777777" w:rsidR="00AD6279" w:rsidRPr="00E458AE" w:rsidRDefault="00AD6279" w:rsidP="00B914A5">
            <w:pPr>
              <w:spacing w:line="276" w:lineRule="auto"/>
              <w:jc w:val="left"/>
              <w:rPr>
                <w:rFonts w:eastAsia="Dotum" w:cs="Arial"/>
                <w:sz w:val="20"/>
                <w:szCs w:val="18"/>
                <w:lang w:val="en-AU"/>
              </w:rPr>
            </w:pPr>
            <w:r w:rsidRPr="00E458AE">
              <w:rPr>
                <w:rFonts w:eastAsia="Dotum" w:cs="Arial"/>
                <w:sz w:val="20"/>
                <w:szCs w:val="18"/>
                <w:lang w:val="en-AU"/>
              </w:rPr>
              <w:t>Reef Fleet Terminal</w:t>
            </w:r>
          </w:p>
        </w:tc>
        <w:tc>
          <w:tcPr>
            <w:tcW w:w="3656" w:type="dxa"/>
            <w:vAlign w:val="center"/>
          </w:tcPr>
          <w:p w14:paraId="15720CD2" w14:textId="77777777" w:rsidR="00AD6279" w:rsidRPr="00E458AE" w:rsidRDefault="00E458AE" w:rsidP="00B914A5">
            <w:pPr>
              <w:spacing w:line="276" w:lineRule="auto"/>
              <w:jc w:val="left"/>
              <w:rPr>
                <w:rFonts w:eastAsia="Dotum" w:cs="Arial"/>
                <w:sz w:val="20"/>
                <w:szCs w:val="18"/>
                <w:lang w:val="en-AU"/>
              </w:rPr>
            </w:pPr>
            <w:r w:rsidRPr="00E458AE">
              <w:rPr>
                <w:rFonts w:eastAsia="Dotum" w:cs="Arial"/>
                <w:sz w:val="20"/>
                <w:szCs w:val="18"/>
                <w:lang w:val="en-AU"/>
              </w:rPr>
              <w:t>Quicksilver Connections</w:t>
            </w:r>
          </w:p>
        </w:tc>
        <w:tc>
          <w:tcPr>
            <w:tcW w:w="3573" w:type="dxa"/>
            <w:vAlign w:val="center"/>
          </w:tcPr>
          <w:p w14:paraId="15720CD3" w14:textId="77777777" w:rsidR="00AD6279" w:rsidRPr="00E458AE" w:rsidRDefault="00AD6279" w:rsidP="00B914A5">
            <w:pPr>
              <w:spacing w:line="276" w:lineRule="auto"/>
              <w:jc w:val="left"/>
              <w:rPr>
                <w:rFonts w:eastAsia="Dotum" w:cs="Arial"/>
                <w:sz w:val="20"/>
                <w:szCs w:val="18"/>
                <w:lang w:val="en-AU"/>
              </w:rPr>
            </w:pPr>
            <w:r w:rsidRPr="00E458AE">
              <w:rPr>
                <w:rFonts w:eastAsia="Dotum" w:cs="Arial"/>
                <w:sz w:val="20"/>
                <w:szCs w:val="18"/>
                <w:lang w:val="en-AU"/>
              </w:rPr>
              <w:t>Australian Institute of Marine Science</w:t>
            </w:r>
          </w:p>
        </w:tc>
      </w:tr>
    </w:tbl>
    <w:p w14:paraId="15720CD5" w14:textId="77777777" w:rsidR="00B914A5" w:rsidRDefault="00B914A5" w:rsidP="00AD6279">
      <w:pPr>
        <w:spacing w:line="276" w:lineRule="auto"/>
        <w:rPr>
          <w:rFonts w:eastAsia="Dotum" w:cs="Arial"/>
          <w:b/>
          <w:lang w:val="en-AU"/>
        </w:rPr>
      </w:pPr>
    </w:p>
    <w:p w14:paraId="15720CD6" w14:textId="77777777" w:rsidR="00E30957" w:rsidRDefault="00E458AE" w:rsidP="00E458AE">
      <w:pPr>
        <w:spacing w:line="276" w:lineRule="auto"/>
        <w:rPr>
          <w:rFonts w:cs="Arial"/>
          <w:lang w:val="en-AU"/>
        </w:rPr>
      </w:pPr>
      <w:r>
        <w:rPr>
          <w:rFonts w:eastAsia="Dotum" w:cs="Arial"/>
          <w:lang w:val="en-AU"/>
        </w:rPr>
        <w:t>Further</w:t>
      </w:r>
      <w:r w:rsidR="00AD6279" w:rsidRPr="008F0A2E">
        <w:rPr>
          <w:rFonts w:eastAsia="Dotum" w:cs="Arial"/>
          <w:lang w:val="en-AU"/>
        </w:rPr>
        <w:t xml:space="preserve"> thanks </w:t>
      </w:r>
      <w:r>
        <w:rPr>
          <w:rFonts w:eastAsia="Dotum" w:cs="Arial"/>
          <w:lang w:val="en-AU"/>
        </w:rPr>
        <w:t xml:space="preserve">go to </w:t>
      </w:r>
      <w:r w:rsidR="00AD6279" w:rsidRPr="008F0A2E">
        <w:rPr>
          <w:rFonts w:eastAsia="Dotum" w:cs="Arial"/>
          <w:lang w:val="en-AU"/>
        </w:rPr>
        <w:t xml:space="preserve">GBRMPA Program Manager Katherine Martin and GBRMPA Regional coordinators for the role they have played in managing and facilitating this monitoring program throughout the years: </w:t>
      </w:r>
      <w:r w:rsidR="00AD6279" w:rsidRPr="008F0A2E">
        <w:rPr>
          <w:rFonts w:cs="Arial"/>
          <w:lang w:val="en-AU"/>
        </w:rPr>
        <w:t xml:space="preserve">Carolyn Thompson, Cath McLean, Phil Laycock, </w:t>
      </w:r>
      <w:r>
        <w:rPr>
          <w:rFonts w:cs="Arial"/>
          <w:lang w:val="en-AU"/>
        </w:rPr>
        <w:t>and Warwick Sheldon.</w:t>
      </w:r>
    </w:p>
    <w:p w14:paraId="15720CD7" w14:textId="77777777" w:rsidR="00E458AE" w:rsidRDefault="00E458AE" w:rsidP="00E458AE">
      <w:pPr>
        <w:spacing w:line="276" w:lineRule="auto"/>
        <w:rPr>
          <w:rFonts w:cs="Arial"/>
          <w:lang w:val="en-AU"/>
        </w:rPr>
      </w:pPr>
    </w:p>
    <w:p w14:paraId="15720CD8" w14:textId="77777777" w:rsidR="00E458AE" w:rsidRDefault="00E458AE" w:rsidP="00E458AE">
      <w:pPr>
        <w:spacing w:line="276" w:lineRule="auto"/>
        <w:rPr>
          <w:lang w:val="en-AU"/>
        </w:rPr>
      </w:pPr>
      <w:r w:rsidRPr="00B675D3">
        <w:rPr>
          <w:rFonts w:eastAsia="Dotum" w:cs="Arial"/>
          <w:b/>
          <w:lang w:val="en-AU"/>
        </w:rPr>
        <w:t xml:space="preserve">About the </w:t>
      </w:r>
      <w:r>
        <w:rPr>
          <w:rFonts w:eastAsia="Dotum" w:cs="Arial"/>
          <w:b/>
          <w:lang w:val="en-AU"/>
        </w:rPr>
        <w:t xml:space="preserve">MMP: </w:t>
      </w:r>
      <w:r w:rsidRPr="000C3309">
        <w:rPr>
          <w:rFonts w:cs="Arial"/>
          <w:lang w:val="en-AU"/>
        </w:rPr>
        <w:t>Th</w:t>
      </w:r>
      <w:r>
        <w:rPr>
          <w:rFonts w:cs="Arial"/>
          <w:lang w:val="en-AU"/>
        </w:rPr>
        <w:t>e MMP is a water quality and ecosystem health long-term monitoring program in the Reef lagoon to track the effectiveness of the Reef Plan. This project</w:t>
      </w:r>
      <w:r w:rsidRPr="000C3309">
        <w:rPr>
          <w:rFonts w:cs="Arial"/>
          <w:lang w:val="en-AU"/>
        </w:rPr>
        <w:t xml:space="preserve"> is supported by the Great Barrier Reef Marine Park Authority</w:t>
      </w:r>
      <w:r>
        <w:rPr>
          <w:rFonts w:cs="Arial"/>
          <w:lang w:val="en-AU"/>
        </w:rPr>
        <w:t xml:space="preserve"> (GBRMPA)</w:t>
      </w:r>
      <w:r w:rsidRPr="000C3309">
        <w:rPr>
          <w:rFonts w:cs="Arial"/>
          <w:lang w:val="en-AU"/>
        </w:rPr>
        <w:t xml:space="preserve">, through funding from the Australian Government’s </w:t>
      </w:r>
      <w:r>
        <w:rPr>
          <w:rFonts w:cs="Arial"/>
          <w:lang w:val="en-AU"/>
        </w:rPr>
        <w:t>C</w:t>
      </w:r>
      <w:r w:rsidRPr="000C3309">
        <w:rPr>
          <w:rFonts w:cs="Arial"/>
          <w:lang w:val="en-AU"/>
        </w:rPr>
        <w:t>aring for Our Country.</w:t>
      </w:r>
      <w:r w:rsidRPr="000C3309">
        <w:rPr>
          <w:rFonts w:cs="Arial"/>
          <w:b/>
          <w:sz w:val="20"/>
          <w:szCs w:val="20"/>
          <w:lang w:val="en-AU"/>
        </w:rPr>
        <w:t xml:space="preserve"> </w:t>
      </w:r>
      <w:bookmarkStart w:id="8" w:name="_Toc405835388"/>
      <w:bookmarkStart w:id="9" w:name="_Toc406329885"/>
      <w:bookmarkStart w:id="10" w:name="_Toc406329979"/>
      <w:bookmarkStart w:id="11" w:name="_Toc406770607"/>
      <w:bookmarkStart w:id="12" w:name="_Toc405835389"/>
      <w:bookmarkStart w:id="13" w:name="_Toc406329886"/>
      <w:bookmarkStart w:id="14" w:name="_Toc406329980"/>
      <w:bookmarkStart w:id="15" w:name="_Toc406770608"/>
      <w:bookmarkStart w:id="16" w:name="_Toc405835390"/>
      <w:bookmarkStart w:id="17" w:name="_Toc406329887"/>
      <w:bookmarkStart w:id="18" w:name="_Toc406329981"/>
      <w:bookmarkStart w:id="19" w:name="_Toc406770609"/>
      <w:bookmarkEnd w:id="8"/>
      <w:bookmarkEnd w:id="9"/>
      <w:bookmarkEnd w:id="10"/>
      <w:bookmarkEnd w:id="11"/>
      <w:bookmarkEnd w:id="12"/>
      <w:bookmarkEnd w:id="13"/>
      <w:bookmarkEnd w:id="14"/>
      <w:bookmarkEnd w:id="15"/>
      <w:bookmarkEnd w:id="16"/>
      <w:bookmarkEnd w:id="17"/>
      <w:bookmarkEnd w:id="18"/>
      <w:bookmarkEnd w:id="19"/>
    </w:p>
    <w:p w14:paraId="15720CD9" w14:textId="77777777" w:rsidR="00E458AE" w:rsidRPr="00E458AE" w:rsidRDefault="00E458AE" w:rsidP="00E458AE">
      <w:pPr>
        <w:spacing w:line="276" w:lineRule="auto"/>
        <w:rPr>
          <w:rFonts w:cs="Arial"/>
          <w:lang w:val="en-AU"/>
        </w:rPr>
        <w:sectPr w:rsidR="00E458AE" w:rsidRPr="00E458AE" w:rsidSect="00991239">
          <w:headerReference w:type="default" r:id="rId16"/>
          <w:footerReference w:type="default" r:id="rId17"/>
          <w:pgSz w:w="11906" w:h="16838" w:code="9"/>
          <w:pgMar w:top="624" w:right="720" w:bottom="624" w:left="720" w:header="709" w:footer="709" w:gutter="0"/>
          <w:pgNumType w:fmt="lowerRoman" w:start="1"/>
          <w:cols w:space="708"/>
          <w:docGrid w:linePitch="360"/>
        </w:sectPr>
      </w:pPr>
    </w:p>
    <w:p w14:paraId="15720CDA" w14:textId="77777777" w:rsidR="0059608E" w:rsidRPr="004E0EF8" w:rsidRDefault="004E0EF8" w:rsidP="00C6607C">
      <w:pPr>
        <w:pStyle w:val="Heading1"/>
        <w:keepNext/>
        <w:numPr>
          <w:ilvl w:val="0"/>
          <w:numId w:val="1"/>
        </w:numPr>
        <w:spacing w:before="120" w:after="480" w:line="240" w:lineRule="auto"/>
        <w:ind w:left="574" w:hanging="574"/>
        <w:jc w:val="both"/>
        <w:rPr>
          <w:rFonts w:eastAsia="Times New Roman" w:cs="Arial"/>
          <w:bCs w:val="0"/>
          <w:caps w:val="0"/>
          <w:kern w:val="28"/>
          <w:sz w:val="36"/>
          <w:szCs w:val="28"/>
          <w:lang w:eastAsia="en-US" w:bidi="ar-SA"/>
        </w:rPr>
      </w:pPr>
      <w:bookmarkStart w:id="20" w:name="_Ref480726680"/>
      <w:bookmarkStart w:id="21" w:name="_Toc502499983"/>
      <w:bookmarkStart w:id="22" w:name="_Toc211315597"/>
      <w:r>
        <w:rPr>
          <w:rFonts w:eastAsia="Times New Roman" w:cs="Arial"/>
          <w:bCs w:val="0"/>
          <w:caps w:val="0"/>
          <w:kern w:val="28"/>
          <w:sz w:val="36"/>
          <w:szCs w:val="28"/>
          <w:lang w:eastAsia="en-US" w:bidi="ar-SA"/>
        </w:rPr>
        <w:lastRenderedPageBreak/>
        <w:t>Executive Summary</w:t>
      </w:r>
      <w:bookmarkEnd w:id="20"/>
      <w:bookmarkEnd w:id="21"/>
    </w:p>
    <w:p w14:paraId="15720CDB" w14:textId="5B64ED6F" w:rsidR="0059608E" w:rsidRDefault="0059608E" w:rsidP="00015606">
      <w:pPr>
        <w:spacing w:line="276" w:lineRule="auto"/>
        <w:rPr>
          <w:rFonts w:cs="Arial"/>
          <w:lang w:val="en-AU"/>
        </w:rPr>
      </w:pPr>
      <w:r>
        <w:rPr>
          <w:rFonts w:cs="Arial"/>
          <w:lang w:val="en-AU"/>
        </w:rPr>
        <w:t xml:space="preserve">Declining water quality </w:t>
      </w:r>
      <w:r w:rsidR="00FA26F3">
        <w:rPr>
          <w:rFonts w:cs="Arial"/>
          <w:lang w:val="en-AU"/>
        </w:rPr>
        <w:t>as a result of</w:t>
      </w:r>
      <w:r>
        <w:rPr>
          <w:rFonts w:cs="Arial"/>
          <w:lang w:val="en-AU"/>
        </w:rPr>
        <w:t xml:space="preserve"> land-based activit</w:t>
      </w:r>
      <w:r w:rsidR="00D162E8">
        <w:rPr>
          <w:rFonts w:cs="Arial"/>
          <w:lang w:val="en-AU"/>
        </w:rPr>
        <w:t>i</w:t>
      </w:r>
      <w:r>
        <w:rPr>
          <w:rFonts w:cs="Arial"/>
          <w:lang w:val="en-AU"/>
        </w:rPr>
        <w:t xml:space="preserve">es and run-off </w:t>
      </w:r>
      <w:r w:rsidR="00FA26F3">
        <w:rPr>
          <w:rFonts w:cs="Arial"/>
          <w:lang w:val="en-AU"/>
        </w:rPr>
        <w:t xml:space="preserve">from </w:t>
      </w:r>
      <w:r w:rsidR="00FA26F3" w:rsidRPr="00FA26F3">
        <w:rPr>
          <w:rFonts w:cs="Arial"/>
          <w:lang w:val="en-AU"/>
        </w:rPr>
        <w:t xml:space="preserve">adjacent catchments </w:t>
      </w:r>
      <w:r>
        <w:rPr>
          <w:rFonts w:cs="Arial"/>
          <w:lang w:val="en-AU"/>
        </w:rPr>
        <w:t xml:space="preserve">has been identified as </w:t>
      </w:r>
      <w:r w:rsidR="00FA26F3">
        <w:rPr>
          <w:rFonts w:cs="Arial"/>
          <w:lang w:val="en-AU"/>
        </w:rPr>
        <w:t>one of the key threats to t</w:t>
      </w:r>
      <w:r>
        <w:rPr>
          <w:rFonts w:cs="Arial"/>
          <w:lang w:val="en-AU"/>
        </w:rPr>
        <w:t xml:space="preserve">he </w:t>
      </w:r>
      <w:r w:rsidR="00FA26F3" w:rsidRPr="00FA26F3">
        <w:rPr>
          <w:rFonts w:cs="Arial"/>
          <w:lang w:val="en-AU"/>
        </w:rPr>
        <w:t xml:space="preserve">long-term </w:t>
      </w:r>
      <w:r>
        <w:rPr>
          <w:rFonts w:cs="Arial"/>
          <w:lang w:val="en-AU"/>
        </w:rPr>
        <w:t>health and resilience of the Great Barrier Reef</w:t>
      </w:r>
      <w:r w:rsidR="00FA26F3">
        <w:rPr>
          <w:rFonts w:cs="Arial"/>
          <w:lang w:val="en-AU"/>
        </w:rPr>
        <w:t xml:space="preserve"> (the Reef). Sediment, nutrient</w:t>
      </w:r>
      <w:r w:rsidR="002A77E1">
        <w:rPr>
          <w:rFonts w:cs="Arial"/>
          <w:lang w:val="en-AU"/>
        </w:rPr>
        <w:t>s</w:t>
      </w:r>
      <w:r>
        <w:rPr>
          <w:rFonts w:cs="Arial"/>
          <w:lang w:val="en-AU"/>
        </w:rPr>
        <w:t xml:space="preserve"> and pesticide</w:t>
      </w:r>
      <w:r w:rsidR="002A77E1">
        <w:rPr>
          <w:rFonts w:cs="Arial"/>
          <w:lang w:val="en-AU"/>
        </w:rPr>
        <w:t>s</w:t>
      </w:r>
      <w:r>
        <w:rPr>
          <w:rFonts w:cs="Arial"/>
          <w:lang w:val="en-AU"/>
        </w:rPr>
        <w:t xml:space="preserve"> </w:t>
      </w:r>
      <w:r w:rsidR="00FA26F3">
        <w:rPr>
          <w:rFonts w:cs="Arial"/>
          <w:lang w:val="en-AU"/>
        </w:rPr>
        <w:t>in run-off plumes reaching nearshore marine ecosystems</w:t>
      </w:r>
      <w:r w:rsidR="00A27031">
        <w:rPr>
          <w:rFonts w:cs="Arial"/>
          <w:lang w:val="en-AU"/>
        </w:rPr>
        <w:t>,</w:t>
      </w:r>
      <w:r w:rsidR="00FA26F3">
        <w:rPr>
          <w:rFonts w:cs="Arial"/>
          <w:lang w:val="en-AU"/>
        </w:rPr>
        <w:t xml:space="preserve"> </w:t>
      </w:r>
      <w:r w:rsidR="00A27031">
        <w:rPr>
          <w:rFonts w:cs="Arial"/>
          <w:lang w:val="en-AU"/>
        </w:rPr>
        <w:t>which</w:t>
      </w:r>
      <w:r w:rsidR="00FA26F3">
        <w:rPr>
          <w:rFonts w:cs="Arial"/>
          <w:lang w:val="en-AU"/>
        </w:rPr>
        <w:t xml:space="preserve"> </w:t>
      </w:r>
      <w:r w:rsidR="00C6607C">
        <w:rPr>
          <w:rFonts w:cs="Arial"/>
          <w:lang w:val="en-AU"/>
        </w:rPr>
        <w:t>are home to</w:t>
      </w:r>
      <w:r w:rsidR="00FA26F3">
        <w:rPr>
          <w:rFonts w:cs="Arial"/>
          <w:lang w:val="en-AU"/>
        </w:rPr>
        <w:t xml:space="preserve"> sensitive seagrass beds and coral reefs</w:t>
      </w:r>
      <w:r w:rsidR="00A27031">
        <w:rPr>
          <w:rFonts w:cs="Arial"/>
          <w:lang w:val="en-AU"/>
        </w:rPr>
        <w:t>,</w:t>
      </w:r>
      <w:r w:rsidR="00FA26F3">
        <w:rPr>
          <w:rFonts w:cs="Arial"/>
          <w:lang w:val="en-AU"/>
        </w:rPr>
        <w:t xml:space="preserve"> </w:t>
      </w:r>
      <w:r w:rsidR="00C36509">
        <w:rPr>
          <w:rFonts w:cs="Arial"/>
          <w:lang w:val="en-AU"/>
        </w:rPr>
        <w:t xml:space="preserve">may </w:t>
      </w:r>
      <w:r>
        <w:rPr>
          <w:rFonts w:cs="Arial"/>
          <w:lang w:val="en-AU"/>
        </w:rPr>
        <w:t xml:space="preserve">have </w:t>
      </w:r>
      <w:r w:rsidR="001301AC">
        <w:rPr>
          <w:rFonts w:cs="Arial"/>
          <w:lang w:val="en-AU"/>
        </w:rPr>
        <w:t>adverse effects</w:t>
      </w:r>
      <w:r>
        <w:rPr>
          <w:rFonts w:cs="Arial"/>
          <w:lang w:val="en-AU"/>
        </w:rPr>
        <w:t xml:space="preserve"> on </w:t>
      </w:r>
      <w:r w:rsidR="00A27031">
        <w:rPr>
          <w:rFonts w:cs="Arial"/>
          <w:lang w:val="en-AU"/>
        </w:rPr>
        <w:t xml:space="preserve">the viability of </w:t>
      </w:r>
      <w:r>
        <w:rPr>
          <w:rFonts w:cs="Arial"/>
          <w:lang w:val="en-AU"/>
        </w:rPr>
        <w:t xml:space="preserve">marine plants and animals </w:t>
      </w:r>
      <w:r w:rsidR="00FA26F3">
        <w:rPr>
          <w:rFonts w:cs="Arial"/>
          <w:lang w:val="en-AU"/>
        </w:rPr>
        <w:t>in these systems</w:t>
      </w:r>
      <w:r>
        <w:rPr>
          <w:rFonts w:cs="Arial"/>
          <w:lang w:val="en-AU"/>
        </w:rPr>
        <w:t>. The Reef Water Quality Protection Plan (Reef Plan</w:t>
      </w:r>
      <w:r w:rsidR="002A77E1">
        <w:rPr>
          <w:rFonts w:cs="Arial"/>
          <w:lang w:val="en-AU"/>
        </w:rPr>
        <w:t>, 2013</w:t>
      </w:r>
      <w:r>
        <w:rPr>
          <w:rFonts w:cs="Arial"/>
          <w:lang w:val="en-AU"/>
        </w:rPr>
        <w:t xml:space="preserve">) </w:t>
      </w:r>
      <w:r w:rsidRPr="008B2AA1">
        <w:rPr>
          <w:rFonts w:cs="Arial"/>
          <w:lang w:val="en-AU"/>
        </w:rPr>
        <w:t xml:space="preserve">is a collaborative program designed to improve </w:t>
      </w:r>
      <w:r w:rsidR="00A27031" w:rsidRPr="008B2AA1">
        <w:rPr>
          <w:rFonts w:cs="Arial"/>
          <w:lang w:val="en-AU"/>
        </w:rPr>
        <w:t xml:space="preserve">water </w:t>
      </w:r>
      <w:r w:rsidRPr="008B2AA1">
        <w:rPr>
          <w:rFonts w:cs="Arial"/>
          <w:lang w:val="en-AU"/>
        </w:rPr>
        <w:t xml:space="preserve">quality in the Reef though improved land management </w:t>
      </w:r>
      <w:r>
        <w:rPr>
          <w:rFonts w:cs="Arial"/>
          <w:lang w:val="en-AU"/>
        </w:rPr>
        <w:t>practises</w:t>
      </w:r>
      <w:r w:rsidR="00A27031">
        <w:rPr>
          <w:rFonts w:cs="Arial"/>
          <w:lang w:val="en-AU"/>
        </w:rPr>
        <w:t xml:space="preserve"> in the adjacent catchments</w:t>
      </w:r>
      <w:r>
        <w:rPr>
          <w:rFonts w:cs="Arial"/>
          <w:lang w:val="en-AU"/>
        </w:rPr>
        <w:t xml:space="preserve">. In </w:t>
      </w:r>
      <w:r w:rsidR="00070AE2">
        <w:rPr>
          <w:rFonts w:cs="Arial"/>
          <w:lang w:val="en-AU"/>
        </w:rPr>
        <w:t>2015-16</w:t>
      </w:r>
      <w:r>
        <w:rPr>
          <w:rFonts w:cs="Arial"/>
          <w:lang w:val="en-AU"/>
        </w:rPr>
        <w:t xml:space="preserve">, </w:t>
      </w:r>
      <w:r w:rsidR="008F0A2E">
        <w:rPr>
          <w:rFonts w:cs="Arial"/>
          <w:lang w:val="en-AU"/>
        </w:rPr>
        <w:t>QAEHS</w:t>
      </w:r>
      <w:r>
        <w:rPr>
          <w:rFonts w:cs="Arial"/>
          <w:lang w:val="en-AU"/>
        </w:rPr>
        <w:t xml:space="preserve"> carried out water quality monitoring in the </w:t>
      </w:r>
      <w:r w:rsidR="00A27031">
        <w:rPr>
          <w:rFonts w:cs="Arial"/>
          <w:lang w:val="en-AU"/>
        </w:rPr>
        <w:t xml:space="preserve">nearshore marine environment of the Great Barrier Reef Marine Park </w:t>
      </w:r>
      <w:r>
        <w:rPr>
          <w:rFonts w:cs="Arial"/>
          <w:lang w:val="en-AU"/>
        </w:rPr>
        <w:t>as part of the Marine Monitoring Program (MMP) under Reef Plan</w:t>
      </w:r>
      <w:r w:rsidR="002A77E1">
        <w:rPr>
          <w:rFonts w:cs="Arial"/>
          <w:lang w:val="en-AU"/>
        </w:rPr>
        <w:t xml:space="preserve"> (2013)</w:t>
      </w:r>
      <w:r>
        <w:rPr>
          <w:rFonts w:cs="Arial"/>
          <w:lang w:val="en-AU"/>
        </w:rPr>
        <w:t xml:space="preserve">. The key objectives of the project </w:t>
      </w:r>
      <w:r w:rsidR="002A77E1">
        <w:rPr>
          <w:rFonts w:cs="Arial"/>
          <w:lang w:val="en-AU"/>
        </w:rPr>
        <w:t xml:space="preserve">were </w:t>
      </w:r>
      <w:r>
        <w:rPr>
          <w:rFonts w:cs="Arial"/>
          <w:lang w:val="en-AU"/>
        </w:rPr>
        <w:t xml:space="preserve">to monitor and </w:t>
      </w:r>
      <w:r w:rsidRPr="00F43AA4">
        <w:rPr>
          <w:rFonts w:cs="Arial"/>
          <w:lang w:val="en-AU"/>
        </w:rPr>
        <w:t xml:space="preserve">assess trends in water quality (i.e. </w:t>
      </w:r>
      <w:r>
        <w:rPr>
          <w:rFonts w:cs="Arial"/>
          <w:lang w:val="en-AU"/>
        </w:rPr>
        <w:t xml:space="preserve">concentrations of </w:t>
      </w:r>
      <w:r w:rsidR="00A27031">
        <w:rPr>
          <w:rFonts w:cs="Arial"/>
          <w:lang w:val="en-AU"/>
        </w:rPr>
        <w:t>pesticides</w:t>
      </w:r>
      <w:r w:rsidRPr="00F43AA4">
        <w:rPr>
          <w:rFonts w:cs="Arial"/>
          <w:lang w:val="en-AU"/>
        </w:rPr>
        <w:t xml:space="preserve">) </w:t>
      </w:r>
      <w:r w:rsidR="00A27031">
        <w:rPr>
          <w:rFonts w:cs="Arial"/>
          <w:lang w:val="en-AU"/>
        </w:rPr>
        <w:t>against wat</w:t>
      </w:r>
      <w:r>
        <w:rPr>
          <w:rFonts w:cs="Arial"/>
          <w:lang w:val="en-AU"/>
        </w:rPr>
        <w:t xml:space="preserve">er </w:t>
      </w:r>
      <w:r w:rsidR="00A27031">
        <w:rPr>
          <w:rFonts w:cs="Arial"/>
          <w:lang w:val="en-AU"/>
        </w:rPr>
        <w:t>q</w:t>
      </w:r>
      <w:r>
        <w:rPr>
          <w:rFonts w:cs="Arial"/>
          <w:lang w:val="en-AU"/>
        </w:rPr>
        <w:t xml:space="preserve">uality </w:t>
      </w:r>
      <w:r w:rsidR="00A27031">
        <w:rPr>
          <w:rFonts w:cs="Arial"/>
          <w:lang w:val="en-AU"/>
        </w:rPr>
        <w:t>g</w:t>
      </w:r>
      <w:r>
        <w:rPr>
          <w:rFonts w:cs="Arial"/>
          <w:lang w:val="en-AU"/>
        </w:rPr>
        <w:t xml:space="preserve">uidelines, </w:t>
      </w:r>
      <w:r w:rsidRPr="00F43AA4">
        <w:rPr>
          <w:rFonts w:cs="Arial"/>
          <w:lang w:val="en-AU"/>
        </w:rPr>
        <w:t xml:space="preserve">and </w:t>
      </w:r>
      <w:r w:rsidR="00A27031">
        <w:rPr>
          <w:rFonts w:cs="Arial"/>
          <w:lang w:val="en-AU"/>
        </w:rPr>
        <w:t>link near</w:t>
      </w:r>
      <w:r>
        <w:rPr>
          <w:rFonts w:cs="Arial"/>
          <w:lang w:val="en-AU"/>
        </w:rPr>
        <w:t xml:space="preserve">shore </w:t>
      </w:r>
      <w:r w:rsidR="00A27031">
        <w:rPr>
          <w:rFonts w:cs="Arial"/>
          <w:lang w:val="en-AU"/>
        </w:rPr>
        <w:t xml:space="preserve">pesticide </w:t>
      </w:r>
      <w:r>
        <w:rPr>
          <w:rFonts w:cs="Arial"/>
          <w:lang w:val="en-AU"/>
        </w:rPr>
        <w:t xml:space="preserve">concentrations with end-of-catchment </w:t>
      </w:r>
      <w:r w:rsidR="00A27031">
        <w:rPr>
          <w:rFonts w:cs="Arial"/>
          <w:lang w:val="en-AU"/>
        </w:rPr>
        <w:t xml:space="preserve">pesticide </w:t>
      </w:r>
      <w:r>
        <w:rPr>
          <w:rFonts w:cs="Arial"/>
          <w:lang w:val="en-AU"/>
        </w:rPr>
        <w:t>loads</w:t>
      </w:r>
      <w:r w:rsidR="00A27031">
        <w:rPr>
          <w:rFonts w:cs="Arial"/>
          <w:lang w:val="en-AU"/>
        </w:rPr>
        <w:t xml:space="preserve"> discharged from rivers into the Reef lagoon</w:t>
      </w:r>
      <w:r>
        <w:rPr>
          <w:rFonts w:cs="Arial"/>
          <w:lang w:val="en-AU"/>
        </w:rPr>
        <w:t>.</w:t>
      </w:r>
      <w:r w:rsidRPr="00F43AA4">
        <w:rPr>
          <w:rFonts w:cs="Arial"/>
          <w:lang w:val="en-AU"/>
        </w:rPr>
        <w:t xml:space="preserve"> </w:t>
      </w:r>
    </w:p>
    <w:p w14:paraId="15720CDC" w14:textId="77777777" w:rsidR="00A27031" w:rsidRDefault="00A27031" w:rsidP="00A27031">
      <w:pPr>
        <w:spacing w:line="276" w:lineRule="auto"/>
        <w:rPr>
          <w:rFonts w:cs="Arial"/>
          <w:lang w:val="en-AU"/>
        </w:rPr>
      </w:pPr>
    </w:p>
    <w:p w14:paraId="15720CDD" w14:textId="61E2A916" w:rsidR="000F1331" w:rsidRDefault="00A27031" w:rsidP="000F1331">
      <w:pPr>
        <w:spacing w:line="276" w:lineRule="auto"/>
        <w:rPr>
          <w:rFonts w:cs="Arial"/>
          <w:lang w:val="en-AU"/>
        </w:rPr>
      </w:pPr>
      <w:r w:rsidRPr="00A12942">
        <w:rPr>
          <w:lang w:val="en-AU"/>
        </w:rPr>
        <w:t>In 2015-16</w:t>
      </w:r>
      <w:r w:rsidR="00C6607C">
        <w:rPr>
          <w:lang w:val="en-AU"/>
        </w:rPr>
        <w:t>,</w:t>
      </w:r>
      <w:r>
        <w:rPr>
          <w:rFonts w:cs="Arial"/>
          <w:lang w:val="en-AU"/>
        </w:rPr>
        <w:t xml:space="preserve"> a combination of </w:t>
      </w:r>
      <w:r w:rsidR="001301AC">
        <w:rPr>
          <w:rFonts w:cs="Arial"/>
          <w:lang w:val="en-AU"/>
        </w:rPr>
        <w:t xml:space="preserve">two different sampling techniques (passive and </w:t>
      </w:r>
      <w:r>
        <w:rPr>
          <w:rFonts w:cs="Arial"/>
          <w:lang w:val="en-AU"/>
        </w:rPr>
        <w:t>grab sampling) were utilised to monitor spatial and temporal trends in pesticide concentrations. Pesticides in these monitoring activities include</w:t>
      </w:r>
      <w:r w:rsidR="00F546E9">
        <w:rPr>
          <w:rFonts w:cs="Arial"/>
          <w:lang w:val="en-AU"/>
        </w:rPr>
        <w:t>d</w:t>
      </w:r>
      <w:r>
        <w:rPr>
          <w:rFonts w:cs="Arial"/>
          <w:lang w:val="en-AU"/>
        </w:rPr>
        <w:t xml:space="preserve"> photosystem II (PSII) inhibiting herbicides (</w:t>
      </w:r>
      <w:r w:rsidR="001301AC">
        <w:rPr>
          <w:rFonts w:cs="Arial"/>
          <w:lang w:val="en-AU"/>
        </w:rPr>
        <w:t>such as</w:t>
      </w:r>
      <w:r w:rsidR="00C6607C">
        <w:rPr>
          <w:rFonts w:cs="Arial"/>
          <w:lang w:val="en-AU"/>
        </w:rPr>
        <w:t xml:space="preserve"> </w:t>
      </w:r>
      <w:r>
        <w:rPr>
          <w:rFonts w:cs="Arial"/>
          <w:lang w:val="en-AU"/>
        </w:rPr>
        <w:t>ametryn, atrazine, diuron, hexazinone and tebuthiuron)</w:t>
      </w:r>
      <w:r w:rsidR="002A77E1">
        <w:rPr>
          <w:rFonts w:cs="Arial"/>
          <w:lang w:val="en-AU"/>
        </w:rPr>
        <w:t>,</w:t>
      </w:r>
      <w:r>
        <w:rPr>
          <w:rFonts w:cs="Arial"/>
          <w:lang w:val="en-AU"/>
        </w:rPr>
        <w:t xml:space="preserve"> which </w:t>
      </w:r>
      <w:r w:rsidR="00AD21D5">
        <w:rPr>
          <w:rFonts w:cs="Arial"/>
          <w:lang w:val="en-AU"/>
        </w:rPr>
        <w:t>are commonly detected in catchment</w:t>
      </w:r>
      <w:r w:rsidRPr="005D2536">
        <w:rPr>
          <w:rFonts w:cs="Arial"/>
          <w:lang w:val="en-AU"/>
        </w:rPr>
        <w:t xml:space="preserve"> monitoring due to their heavy usage in </w:t>
      </w:r>
      <w:r>
        <w:rPr>
          <w:rFonts w:cs="Arial"/>
          <w:lang w:val="en-AU"/>
        </w:rPr>
        <w:t>Reef</w:t>
      </w:r>
      <w:r w:rsidRPr="005D2536">
        <w:rPr>
          <w:rFonts w:cs="Arial"/>
          <w:lang w:val="en-AU"/>
        </w:rPr>
        <w:t xml:space="preserve"> catchments</w:t>
      </w:r>
      <w:r>
        <w:rPr>
          <w:rFonts w:cs="Arial"/>
          <w:lang w:val="en-AU"/>
        </w:rPr>
        <w:t xml:space="preserve"> in the sugar cane, horticulture and grazing industries. In recent years, </w:t>
      </w:r>
      <w:r w:rsidR="00AD21D5">
        <w:rPr>
          <w:rFonts w:cs="Arial"/>
          <w:lang w:val="en-AU"/>
        </w:rPr>
        <w:t>other pesticides in addition to the traditional five high-usage PSII herbicides</w:t>
      </w:r>
      <w:r w:rsidR="003232AC">
        <w:rPr>
          <w:rFonts w:cs="Arial"/>
          <w:lang w:val="en-AU"/>
        </w:rPr>
        <w:t xml:space="preserve"> (which include pre- and post-emergent ‘knockdown’ herbicides)</w:t>
      </w:r>
      <w:r w:rsidR="00AD21D5">
        <w:rPr>
          <w:rFonts w:cs="Arial"/>
          <w:lang w:val="en-AU"/>
        </w:rPr>
        <w:t xml:space="preserve"> are being increasingly adopted by industry</w:t>
      </w:r>
      <w:r w:rsidR="003232AC">
        <w:rPr>
          <w:rFonts w:cs="Arial"/>
          <w:lang w:val="en-AU"/>
        </w:rPr>
        <w:t>,</w:t>
      </w:r>
      <w:r w:rsidR="00AD21D5">
        <w:rPr>
          <w:rFonts w:cs="Arial"/>
          <w:lang w:val="en-AU"/>
        </w:rPr>
        <w:t xml:space="preserve"> </w:t>
      </w:r>
      <w:r>
        <w:rPr>
          <w:rFonts w:cs="Arial"/>
          <w:lang w:val="en-AU"/>
        </w:rPr>
        <w:t xml:space="preserve">and subsequently </w:t>
      </w:r>
      <w:r w:rsidR="00AD21D5">
        <w:rPr>
          <w:rFonts w:cs="Arial"/>
          <w:lang w:val="en-AU"/>
        </w:rPr>
        <w:t>are also commonly detected</w:t>
      </w:r>
      <w:r w:rsidR="00C6607C">
        <w:rPr>
          <w:rFonts w:cs="Arial"/>
          <w:lang w:val="en-AU"/>
        </w:rPr>
        <w:t xml:space="preserve"> in </w:t>
      </w:r>
      <w:r>
        <w:rPr>
          <w:rFonts w:cs="Arial"/>
          <w:lang w:val="en-AU"/>
        </w:rPr>
        <w:t>monitoring</w:t>
      </w:r>
      <w:r w:rsidR="00C6607C">
        <w:rPr>
          <w:rFonts w:cs="Arial"/>
          <w:lang w:val="en-AU"/>
        </w:rPr>
        <w:t xml:space="preserve"> activities</w:t>
      </w:r>
      <w:r>
        <w:rPr>
          <w:rFonts w:cs="Arial"/>
          <w:lang w:val="en-AU"/>
        </w:rPr>
        <w:t xml:space="preserve">. </w:t>
      </w:r>
      <w:r w:rsidR="000F1331">
        <w:rPr>
          <w:rFonts w:cs="Arial"/>
          <w:lang w:val="en-AU"/>
        </w:rPr>
        <w:t xml:space="preserve">Pesticide levels are reported </w:t>
      </w:r>
      <w:r w:rsidR="000E47C5">
        <w:rPr>
          <w:rFonts w:cs="Arial"/>
          <w:lang w:val="en-AU"/>
        </w:rPr>
        <w:t xml:space="preserve">here </w:t>
      </w:r>
      <w:r w:rsidR="000F1331">
        <w:rPr>
          <w:rFonts w:cs="Arial"/>
          <w:lang w:val="en-AU"/>
        </w:rPr>
        <w:t xml:space="preserve">as concentrations </w:t>
      </w:r>
      <w:r w:rsidR="000E47C5">
        <w:rPr>
          <w:rFonts w:cs="Arial"/>
          <w:lang w:val="en-AU"/>
        </w:rPr>
        <w:t xml:space="preserve">detected </w:t>
      </w:r>
      <w:r w:rsidR="000F1331">
        <w:rPr>
          <w:rFonts w:cs="Arial"/>
          <w:lang w:val="en-AU"/>
        </w:rPr>
        <w:t>(ng L</w:t>
      </w:r>
      <w:r w:rsidR="000F1331">
        <w:rPr>
          <w:rFonts w:cs="Arial"/>
          <w:vertAlign w:val="superscript"/>
          <w:lang w:val="en-AU"/>
        </w:rPr>
        <w:t>-1</w:t>
      </w:r>
      <w:r w:rsidR="000F1331">
        <w:rPr>
          <w:rFonts w:cs="Arial"/>
          <w:lang w:val="en-AU"/>
        </w:rPr>
        <w:t>)</w:t>
      </w:r>
      <w:r w:rsidR="000E47C5">
        <w:rPr>
          <w:rFonts w:cs="Arial"/>
          <w:lang w:val="en-AU"/>
        </w:rPr>
        <w:t xml:space="preserve">, and as PSII herbicide </w:t>
      </w:r>
      <w:r w:rsidR="000E47C5" w:rsidRPr="000F1331">
        <w:rPr>
          <w:rFonts w:cs="Arial"/>
          <w:lang w:val="en-AU"/>
        </w:rPr>
        <w:t>equivalent concentrations (PSII-HEq) (ng L</w:t>
      </w:r>
      <w:r w:rsidR="000E47C5" w:rsidRPr="000F1331">
        <w:rPr>
          <w:rFonts w:cs="Arial"/>
          <w:vertAlign w:val="superscript"/>
          <w:lang w:val="en-AU"/>
        </w:rPr>
        <w:t>-1</w:t>
      </w:r>
      <w:r w:rsidR="000E47C5" w:rsidRPr="000F1331">
        <w:rPr>
          <w:rFonts w:cs="Arial"/>
          <w:lang w:val="en-AU"/>
        </w:rPr>
        <w:t>)</w:t>
      </w:r>
      <w:r w:rsidR="000F1331">
        <w:rPr>
          <w:rFonts w:cs="Arial"/>
          <w:lang w:val="en-AU"/>
        </w:rPr>
        <w:t xml:space="preserve"> </w:t>
      </w:r>
      <w:r w:rsidR="000E47C5">
        <w:rPr>
          <w:rFonts w:cs="Arial"/>
          <w:lang w:val="en-AU"/>
        </w:rPr>
        <w:t>(</w:t>
      </w:r>
      <w:r w:rsidR="000F1331">
        <w:rPr>
          <w:rFonts w:cs="Arial"/>
          <w:lang w:val="en-AU"/>
        </w:rPr>
        <w:t xml:space="preserve">a measure of the ecotoxicity of </w:t>
      </w:r>
      <w:r w:rsidR="00F546E9">
        <w:rPr>
          <w:rFonts w:cs="Arial"/>
          <w:lang w:val="en-AU"/>
        </w:rPr>
        <w:t>PSII herbicide</w:t>
      </w:r>
      <w:r w:rsidR="00F546E9" w:rsidRPr="00F546E9">
        <w:rPr>
          <w:rFonts w:cs="Arial"/>
          <w:lang w:val="en-AU"/>
        </w:rPr>
        <w:t xml:space="preserve"> </w:t>
      </w:r>
      <w:r w:rsidR="00F546E9">
        <w:rPr>
          <w:rFonts w:cs="Arial"/>
          <w:lang w:val="en-AU"/>
        </w:rPr>
        <w:t>mixtures</w:t>
      </w:r>
      <w:r w:rsidR="000E47C5">
        <w:rPr>
          <w:rFonts w:cs="Arial"/>
          <w:lang w:val="en-AU"/>
        </w:rPr>
        <w:t>)</w:t>
      </w:r>
      <w:r w:rsidR="000F1331" w:rsidRPr="000F1331">
        <w:rPr>
          <w:rFonts w:cs="Arial"/>
          <w:lang w:val="en-AU"/>
        </w:rPr>
        <w:t>.</w:t>
      </w:r>
      <w:r w:rsidR="000F1331">
        <w:rPr>
          <w:rFonts w:cs="Arial"/>
          <w:lang w:val="en-AU"/>
        </w:rPr>
        <w:t xml:space="preserve"> PSII-HEq concentrations are assessed against a</w:t>
      </w:r>
      <w:r w:rsidR="007F45C0">
        <w:rPr>
          <w:rFonts w:cs="Arial"/>
          <w:lang w:val="en-AU"/>
        </w:rPr>
        <w:t>n</w:t>
      </w:r>
      <w:r w:rsidR="000F1331">
        <w:rPr>
          <w:rFonts w:cs="Arial"/>
          <w:lang w:val="en-AU"/>
        </w:rPr>
        <w:t xml:space="preserve"> index from Category 5 (no reported effects) to Category 1 (</w:t>
      </w:r>
      <w:r w:rsidR="000F1331" w:rsidRPr="000F1331">
        <w:rPr>
          <w:rFonts w:cs="Arial"/>
          <w:lang w:val="en-AU"/>
        </w:rPr>
        <w:t>demonstrate</w:t>
      </w:r>
      <w:r w:rsidR="000F1331">
        <w:rPr>
          <w:rFonts w:cs="Arial"/>
          <w:lang w:val="en-AU"/>
        </w:rPr>
        <w:t>d</w:t>
      </w:r>
      <w:r w:rsidR="000F1331" w:rsidRPr="000F1331">
        <w:rPr>
          <w:rFonts w:cs="Arial"/>
          <w:lang w:val="en-AU"/>
        </w:rPr>
        <w:t xml:space="preserve"> </w:t>
      </w:r>
      <w:r w:rsidR="000E47C5">
        <w:rPr>
          <w:rFonts w:cs="Arial"/>
          <w:lang w:val="en-AU"/>
        </w:rPr>
        <w:t xml:space="preserve">empirical </w:t>
      </w:r>
      <w:r w:rsidR="000F1331" w:rsidRPr="000F1331">
        <w:rPr>
          <w:rFonts w:cs="Arial"/>
          <w:lang w:val="en-AU"/>
        </w:rPr>
        <w:t>effects on the growth and death of aquatic plants and animals exposed to the pesticide</w:t>
      </w:r>
      <w:r w:rsidR="000F1331">
        <w:rPr>
          <w:rFonts w:cs="Arial"/>
          <w:lang w:val="en-AU"/>
        </w:rPr>
        <w:t>). An alternative ecotoxicity measure, the multisubstance</w:t>
      </w:r>
      <w:r w:rsidR="000E47C5">
        <w:rPr>
          <w:rFonts w:cs="Arial"/>
          <w:lang w:val="en-AU"/>
        </w:rPr>
        <w:t xml:space="preserve"> – </w:t>
      </w:r>
      <w:r w:rsidR="000F1331">
        <w:rPr>
          <w:rFonts w:cs="Arial"/>
          <w:lang w:val="en-AU"/>
        </w:rPr>
        <w:t>potentially affected fraction (ms-PAF), was assessed as part of a case study.</w:t>
      </w:r>
    </w:p>
    <w:p w14:paraId="15720CDE" w14:textId="77777777" w:rsidR="00A27031" w:rsidRDefault="00A27031" w:rsidP="00A27031">
      <w:pPr>
        <w:spacing w:line="276" w:lineRule="auto"/>
        <w:rPr>
          <w:rFonts w:cs="Arial"/>
          <w:lang w:val="en-AU"/>
        </w:rPr>
      </w:pPr>
    </w:p>
    <w:p w14:paraId="15720CDF" w14:textId="212E48F4" w:rsidR="00856BB9" w:rsidRDefault="00C6607C" w:rsidP="00A27031">
      <w:pPr>
        <w:spacing w:line="276" w:lineRule="auto"/>
        <w:rPr>
          <w:lang w:val="en-AU"/>
        </w:rPr>
      </w:pPr>
      <w:r>
        <w:rPr>
          <w:lang w:val="en-AU"/>
        </w:rPr>
        <w:t>P</w:t>
      </w:r>
      <w:r w:rsidR="00856BB9" w:rsidRPr="00A12942">
        <w:rPr>
          <w:lang w:val="en-AU"/>
        </w:rPr>
        <w:t>assive samplers</w:t>
      </w:r>
      <w:r>
        <w:rPr>
          <w:lang w:val="en-AU"/>
        </w:rPr>
        <w:t>,</w:t>
      </w:r>
      <w:r w:rsidR="00856BB9" w:rsidRPr="00A12942">
        <w:rPr>
          <w:lang w:val="en-AU"/>
        </w:rPr>
        <w:t xml:space="preserve"> </w:t>
      </w:r>
      <w:r>
        <w:rPr>
          <w:rFonts w:cs="Arial"/>
          <w:lang w:val="en-AU"/>
        </w:rPr>
        <w:t xml:space="preserve">which provide a time-averaged estimate of </w:t>
      </w:r>
      <w:r w:rsidR="000E47C5">
        <w:rPr>
          <w:rFonts w:cs="Arial"/>
          <w:lang w:val="en-AU"/>
        </w:rPr>
        <w:t xml:space="preserve">pesticide </w:t>
      </w:r>
      <w:r>
        <w:rPr>
          <w:rFonts w:cs="Arial"/>
          <w:lang w:val="en-AU"/>
        </w:rPr>
        <w:t>concentration over one to two month periods,</w:t>
      </w:r>
      <w:r w:rsidRPr="00A12942">
        <w:rPr>
          <w:lang w:val="en-AU"/>
        </w:rPr>
        <w:t xml:space="preserve"> </w:t>
      </w:r>
      <w:r w:rsidR="00856BB9" w:rsidRPr="00A12942">
        <w:rPr>
          <w:lang w:val="en-AU"/>
        </w:rPr>
        <w:t xml:space="preserve">were deployed at </w:t>
      </w:r>
      <w:r w:rsidR="00B51BC1" w:rsidRPr="00A12942">
        <w:rPr>
          <w:lang w:val="en-AU"/>
        </w:rPr>
        <w:t>eleven</w:t>
      </w:r>
      <w:r w:rsidR="00856BB9" w:rsidRPr="00A12942">
        <w:rPr>
          <w:lang w:val="en-AU"/>
        </w:rPr>
        <w:t xml:space="preserve"> </w:t>
      </w:r>
      <w:r w:rsidRPr="00F43AA4">
        <w:rPr>
          <w:rFonts w:cs="Arial"/>
          <w:lang w:val="en-AU"/>
        </w:rPr>
        <w:t>fixed</w:t>
      </w:r>
      <w:r>
        <w:rPr>
          <w:rFonts w:cs="Arial"/>
          <w:lang w:val="en-AU"/>
        </w:rPr>
        <w:t xml:space="preserve"> monitoring </w:t>
      </w:r>
      <w:r w:rsidR="00856BB9" w:rsidRPr="00A12942">
        <w:rPr>
          <w:lang w:val="en-AU"/>
        </w:rPr>
        <w:t>sites</w:t>
      </w:r>
      <w:r w:rsidRPr="00C6607C">
        <w:rPr>
          <w:rFonts w:cs="Arial"/>
          <w:lang w:val="en-AU"/>
        </w:rPr>
        <w:t xml:space="preserve"> </w:t>
      </w:r>
      <w:r w:rsidRPr="00F43AA4">
        <w:rPr>
          <w:rFonts w:cs="Arial"/>
          <w:lang w:val="en-AU"/>
        </w:rPr>
        <w:t>located in four Natural Resource Management regions (the Wet Tropics, Burdekin, Mackay Whitsunday</w:t>
      </w:r>
      <w:r>
        <w:rPr>
          <w:rFonts w:cs="Arial"/>
          <w:lang w:val="en-AU"/>
        </w:rPr>
        <w:t xml:space="preserve"> </w:t>
      </w:r>
      <w:r w:rsidRPr="00F43AA4">
        <w:rPr>
          <w:rFonts w:cs="Arial"/>
          <w:lang w:val="en-AU"/>
        </w:rPr>
        <w:t>and Fitzroy).</w:t>
      </w:r>
      <w:r>
        <w:rPr>
          <w:lang w:val="en-AU"/>
        </w:rPr>
        <w:t xml:space="preserve"> F</w:t>
      </w:r>
      <w:r w:rsidR="00A12942">
        <w:rPr>
          <w:lang w:val="en-AU"/>
        </w:rPr>
        <w:t>ive</w:t>
      </w:r>
      <w:r w:rsidR="00856BB9" w:rsidRPr="00A12942">
        <w:rPr>
          <w:lang w:val="en-AU"/>
        </w:rPr>
        <w:t xml:space="preserve"> </w:t>
      </w:r>
      <w:r>
        <w:rPr>
          <w:lang w:val="en-AU"/>
        </w:rPr>
        <w:t>of these sites</w:t>
      </w:r>
      <w:r w:rsidR="00856BB9" w:rsidRPr="00A12942">
        <w:rPr>
          <w:lang w:val="en-AU"/>
        </w:rPr>
        <w:t xml:space="preserve"> ha</w:t>
      </w:r>
      <w:r>
        <w:rPr>
          <w:lang w:val="en-AU"/>
        </w:rPr>
        <w:t>ve</w:t>
      </w:r>
      <w:r w:rsidR="00AD21D5">
        <w:rPr>
          <w:lang w:val="en-AU"/>
        </w:rPr>
        <w:t xml:space="preserve"> been</w:t>
      </w:r>
      <w:r w:rsidR="00A12942">
        <w:rPr>
          <w:lang w:val="en-AU"/>
        </w:rPr>
        <w:t xml:space="preserve"> continuous</w:t>
      </w:r>
      <w:r w:rsidR="00AD21D5">
        <w:rPr>
          <w:lang w:val="en-AU"/>
        </w:rPr>
        <w:t>ly</w:t>
      </w:r>
      <w:r w:rsidR="00A12942">
        <w:rPr>
          <w:lang w:val="en-AU"/>
        </w:rPr>
        <w:t xml:space="preserve"> monitor</w:t>
      </w:r>
      <w:r w:rsidR="00AD21D5">
        <w:rPr>
          <w:lang w:val="en-AU"/>
        </w:rPr>
        <w:t>ed</w:t>
      </w:r>
      <w:r w:rsidR="00856BB9" w:rsidRPr="00A12942">
        <w:rPr>
          <w:lang w:val="en-AU"/>
        </w:rPr>
        <w:t xml:space="preserve"> for between </w:t>
      </w:r>
      <w:r w:rsidR="00A12942">
        <w:rPr>
          <w:lang w:val="en-AU"/>
        </w:rPr>
        <w:t>seven</w:t>
      </w:r>
      <w:r w:rsidR="00856BB9" w:rsidRPr="00A12942">
        <w:rPr>
          <w:lang w:val="en-AU"/>
        </w:rPr>
        <w:t xml:space="preserve"> to </w:t>
      </w:r>
      <w:r w:rsidR="00A12942">
        <w:rPr>
          <w:lang w:val="en-AU"/>
        </w:rPr>
        <w:t>eleven</w:t>
      </w:r>
      <w:r w:rsidR="00856BB9" w:rsidRPr="00A12942">
        <w:rPr>
          <w:lang w:val="en-AU"/>
        </w:rPr>
        <w:t xml:space="preserve"> years. </w:t>
      </w:r>
      <w:r w:rsidR="00A12942">
        <w:rPr>
          <w:lang w:val="en-AU"/>
        </w:rPr>
        <w:t>T</w:t>
      </w:r>
      <w:r w:rsidR="00A12942" w:rsidRPr="00A12942">
        <w:rPr>
          <w:lang w:val="en-AU"/>
        </w:rPr>
        <w:t xml:space="preserve">o build </w:t>
      </w:r>
      <w:r>
        <w:rPr>
          <w:lang w:val="en-AU"/>
        </w:rPr>
        <w:t xml:space="preserve">direct </w:t>
      </w:r>
      <w:r w:rsidR="00A12942" w:rsidRPr="00A12942">
        <w:rPr>
          <w:lang w:val="en-AU"/>
        </w:rPr>
        <w:t>linkages between land-based activities</w:t>
      </w:r>
      <w:r>
        <w:rPr>
          <w:lang w:val="en-AU"/>
        </w:rPr>
        <w:t xml:space="preserve"> and</w:t>
      </w:r>
      <w:r w:rsidR="00A12942" w:rsidRPr="00A12942">
        <w:rPr>
          <w:lang w:val="en-AU"/>
        </w:rPr>
        <w:t xml:space="preserve"> </w:t>
      </w:r>
      <w:r w:rsidR="001301AC">
        <w:rPr>
          <w:lang w:val="en-AU"/>
        </w:rPr>
        <w:t xml:space="preserve">marine </w:t>
      </w:r>
      <w:r w:rsidR="00A12942" w:rsidRPr="00A12942">
        <w:rPr>
          <w:lang w:val="en-AU"/>
        </w:rPr>
        <w:t>ecosystem health</w:t>
      </w:r>
      <w:r>
        <w:rPr>
          <w:lang w:val="en-AU"/>
        </w:rPr>
        <w:t xml:space="preserve">, as well as </w:t>
      </w:r>
      <w:r w:rsidR="00665403">
        <w:rPr>
          <w:rFonts w:cs="Arial"/>
          <w:lang w:val="en-AU"/>
        </w:rPr>
        <w:t xml:space="preserve">identify the potential </w:t>
      </w:r>
      <w:r>
        <w:rPr>
          <w:rFonts w:cs="Arial"/>
          <w:lang w:val="en-AU"/>
        </w:rPr>
        <w:t>exposure risks in regions of known high pesticide use</w:t>
      </w:r>
      <w:r w:rsidR="00A12942">
        <w:rPr>
          <w:lang w:val="en-AU"/>
        </w:rPr>
        <w:t>, five</w:t>
      </w:r>
      <w:r w:rsidR="00856BB9" w:rsidRPr="00A12942">
        <w:rPr>
          <w:lang w:val="en-AU"/>
        </w:rPr>
        <w:t xml:space="preserve"> new </w:t>
      </w:r>
      <w:r>
        <w:rPr>
          <w:rFonts w:cs="Arial"/>
          <w:lang w:val="en-AU"/>
        </w:rPr>
        <w:t xml:space="preserve">monitoring </w:t>
      </w:r>
      <w:r w:rsidR="00856BB9" w:rsidRPr="00A12942">
        <w:rPr>
          <w:lang w:val="en-AU"/>
        </w:rPr>
        <w:t xml:space="preserve">sites were established </w:t>
      </w:r>
      <w:r w:rsidR="00A12942">
        <w:rPr>
          <w:lang w:val="en-AU"/>
        </w:rPr>
        <w:t>in the previous</w:t>
      </w:r>
      <w:r w:rsidR="00856BB9" w:rsidRPr="00A12942">
        <w:rPr>
          <w:lang w:val="en-AU"/>
        </w:rPr>
        <w:t xml:space="preserve"> monitoring year </w:t>
      </w:r>
      <w:r w:rsidR="00A12942">
        <w:rPr>
          <w:lang w:val="en-AU"/>
        </w:rPr>
        <w:t>and one new site in the current year. These recent sites</w:t>
      </w:r>
      <w:r w:rsidR="00856BB9" w:rsidRPr="00A12942">
        <w:rPr>
          <w:lang w:val="en-AU"/>
        </w:rPr>
        <w:t xml:space="preserve"> provide pesticide concentration info</w:t>
      </w:r>
      <w:r w:rsidR="00A27031">
        <w:rPr>
          <w:lang w:val="en-AU"/>
        </w:rPr>
        <w:t xml:space="preserve">rmation in areas where seagrass, coral reef </w:t>
      </w:r>
      <w:r w:rsidR="00856BB9" w:rsidRPr="00A12942">
        <w:rPr>
          <w:lang w:val="en-AU"/>
        </w:rPr>
        <w:t xml:space="preserve">and </w:t>
      </w:r>
      <w:r w:rsidR="00AD21D5">
        <w:rPr>
          <w:lang w:val="en-AU"/>
        </w:rPr>
        <w:t>catchment monitoring</w:t>
      </w:r>
      <w:r w:rsidR="001301AC">
        <w:rPr>
          <w:lang w:val="en-AU"/>
        </w:rPr>
        <w:t xml:space="preserve"> </w:t>
      </w:r>
      <w:r w:rsidR="00856BB9" w:rsidRPr="00A12942">
        <w:rPr>
          <w:lang w:val="en-AU"/>
        </w:rPr>
        <w:t xml:space="preserve">activities </w:t>
      </w:r>
      <w:r w:rsidR="00A12942">
        <w:rPr>
          <w:lang w:val="en-AU"/>
        </w:rPr>
        <w:t>are</w:t>
      </w:r>
      <w:r w:rsidR="00856BB9" w:rsidRPr="00A12942">
        <w:rPr>
          <w:lang w:val="en-AU"/>
        </w:rPr>
        <w:t xml:space="preserve"> also being conducted. </w:t>
      </w:r>
      <w:r w:rsidR="001301AC">
        <w:rPr>
          <w:lang w:val="en-AU"/>
        </w:rPr>
        <w:t xml:space="preserve">To assess </w:t>
      </w:r>
      <w:r w:rsidR="00AD21D5">
        <w:rPr>
          <w:lang w:val="en-AU"/>
        </w:rPr>
        <w:t xml:space="preserve">potential </w:t>
      </w:r>
      <w:r w:rsidR="001301AC">
        <w:rPr>
          <w:lang w:val="en-AU"/>
        </w:rPr>
        <w:t xml:space="preserve">exposure to </w:t>
      </w:r>
      <w:r w:rsidR="001301AC" w:rsidRPr="00F43AA4">
        <w:rPr>
          <w:rFonts w:cs="Arial"/>
          <w:lang w:val="en-AU"/>
        </w:rPr>
        <w:t>terrestrial run-off entering the Reef lagoon</w:t>
      </w:r>
      <w:r w:rsidR="001301AC">
        <w:rPr>
          <w:rFonts w:cs="Arial"/>
          <w:lang w:val="en-AU"/>
        </w:rPr>
        <w:t>,</w:t>
      </w:r>
      <w:r w:rsidR="001301AC" w:rsidRPr="00F43AA4">
        <w:rPr>
          <w:rFonts w:cs="Arial"/>
          <w:lang w:val="en-AU"/>
        </w:rPr>
        <w:t xml:space="preserve"> </w:t>
      </w:r>
      <w:r w:rsidR="001301AC">
        <w:rPr>
          <w:lang w:val="en-AU"/>
        </w:rPr>
        <w:t>g</w:t>
      </w:r>
      <w:r w:rsidR="00856BB9" w:rsidRPr="00A12942">
        <w:rPr>
          <w:lang w:val="en-AU"/>
        </w:rPr>
        <w:t xml:space="preserve">rab </w:t>
      </w:r>
      <w:r w:rsidR="001301AC">
        <w:rPr>
          <w:lang w:val="en-AU"/>
        </w:rPr>
        <w:t>sampling</w:t>
      </w:r>
      <w:r w:rsidR="00AD21D5" w:rsidRPr="00AD21D5">
        <w:rPr>
          <w:lang w:val="en-AU"/>
        </w:rPr>
        <w:t xml:space="preserve"> </w:t>
      </w:r>
      <w:r w:rsidR="00AD21D5">
        <w:rPr>
          <w:lang w:val="en-AU"/>
        </w:rPr>
        <w:t xml:space="preserve">was also </w:t>
      </w:r>
      <w:r w:rsidR="00AD21D5" w:rsidRPr="00A12942">
        <w:rPr>
          <w:lang w:val="en-AU"/>
        </w:rPr>
        <w:t>conducted</w:t>
      </w:r>
      <w:r w:rsidR="00AD21D5">
        <w:rPr>
          <w:lang w:val="en-AU"/>
        </w:rPr>
        <w:t xml:space="preserve"> </w:t>
      </w:r>
      <w:r w:rsidR="00AD21D5" w:rsidRPr="00A12942">
        <w:rPr>
          <w:lang w:val="en-AU"/>
        </w:rPr>
        <w:t xml:space="preserve">during periods of </w:t>
      </w:r>
      <w:r w:rsidR="00AD21D5">
        <w:rPr>
          <w:lang w:val="en-AU"/>
        </w:rPr>
        <w:t xml:space="preserve">high </w:t>
      </w:r>
      <w:r w:rsidR="00AD21D5" w:rsidRPr="00A12942">
        <w:rPr>
          <w:lang w:val="en-AU"/>
        </w:rPr>
        <w:t>freshwater river discharge</w:t>
      </w:r>
      <w:r w:rsidR="00AD21D5">
        <w:rPr>
          <w:lang w:val="en-AU"/>
        </w:rPr>
        <w:t>. Grab samples</w:t>
      </w:r>
      <w:r>
        <w:rPr>
          <w:rFonts w:cs="Arial"/>
          <w:lang w:val="en-AU"/>
        </w:rPr>
        <w:t xml:space="preserve"> provide a point-in-time snapshot of concentrations</w:t>
      </w:r>
      <w:r w:rsidR="00AD21D5">
        <w:rPr>
          <w:lang w:val="en-AU"/>
        </w:rPr>
        <w:t>. Samples were collected</w:t>
      </w:r>
      <w:r w:rsidR="00856BB9" w:rsidRPr="00A12942">
        <w:rPr>
          <w:lang w:val="en-AU"/>
        </w:rPr>
        <w:t xml:space="preserve"> during the wet season</w:t>
      </w:r>
      <w:r w:rsidR="00A12942">
        <w:rPr>
          <w:lang w:val="en-AU"/>
        </w:rPr>
        <w:t xml:space="preserve"> along</w:t>
      </w:r>
      <w:r w:rsidR="00856BB9" w:rsidRPr="00A12942">
        <w:rPr>
          <w:lang w:val="en-AU"/>
        </w:rPr>
        <w:t xml:space="preserve"> transects extending from two rivers in the Wet Tropics region </w:t>
      </w:r>
      <w:r w:rsidR="00A12942">
        <w:rPr>
          <w:lang w:val="en-AU"/>
        </w:rPr>
        <w:t>and at two adjacent river mouth areas within the Mackay Whitsunday</w:t>
      </w:r>
      <w:r w:rsidR="00FA26F3">
        <w:rPr>
          <w:lang w:val="en-AU"/>
        </w:rPr>
        <w:t>.</w:t>
      </w:r>
    </w:p>
    <w:p w14:paraId="15720CE0" w14:textId="77777777" w:rsidR="00C6607C" w:rsidRPr="00A12942" w:rsidRDefault="00C6607C" w:rsidP="00A27031">
      <w:pPr>
        <w:spacing w:line="276" w:lineRule="auto"/>
        <w:rPr>
          <w:lang w:val="en-AU"/>
        </w:rPr>
      </w:pPr>
    </w:p>
    <w:p w14:paraId="15720CE1" w14:textId="080C1BA9" w:rsidR="007F45C0" w:rsidRDefault="007F45C0" w:rsidP="00015606">
      <w:pPr>
        <w:spacing w:line="276" w:lineRule="auto"/>
      </w:pPr>
      <w:r>
        <w:t>A</w:t>
      </w:r>
      <w:r w:rsidR="00BF0934">
        <w:t xml:space="preserve">s part of the </w:t>
      </w:r>
      <w:r w:rsidR="00BF0934" w:rsidRPr="00BF0934">
        <w:t xml:space="preserve">Driver-Pressure-State-Impact-Response </w:t>
      </w:r>
      <w:r w:rsidR="005847EC">
        <w:t xml:space="preserve">(DPSIR) </w:t>
      </w:r>
      <w:r w:rsidR="00BF0934" w:rsidRPr="00BF0934">
        <w:t>framework</w:t>
      </w:r>
      <w:r w:rsidR="00BF0934">
        <w:t>, a</w:t>
      </w:r>
      <w:r>
        <w:t xml:space="preserve"> range of pressures have been identified that influence the levels of pesticides discharged to the Reef lagoon</w:t>
      </w:r>
      <w:r w:rsidR="005A19C8">
        <w:t xml:space="preserve">. These include </w:t>
      </w:r>
      <w:r>
        <w:t>total runoff (quantified as end-of-catchment pesticide loads), annual rainfall, river discharge and cyclonic activity. 2015-16 was generally a ‘low-pressure’ year for pesticide discharge</w:t>
      </w:r>
      <w:r w:rsidR="00665403">
        <w:t>,</w:t>
      </w:r>
      <w:r>
        <w:t xml:space="preserve"> </w:t>
      </w:r>
      <w:r w:rsidR="00665403">
        <w:t xml:space="preserve">with rainfall and river discharges generally below the long-term annual averages </w:t>
      </w:r>
      <w:r w:rsidRPr="007F45C0">
        <w:t>(rainfall ranged from average to well below average across all catchments and there was no cyclone activity)</w:t>
      </w:r>
      <w:r>
        <w:t xml:space="preserve">. </w:t>
      </w:r>
      <w:r w:rsidR="00BF0934">
        <w:t xml:space="preserve">Catchment </w:t>
      </w:r>
      <w:r w:rsidR="009421DE">
        <w:t xml:space="preserve">pesticide </w:t>
      </w:r>
      <w:r w:rsidR="00FB0B99">
        <w:t>loads were</w:t>
      </w:r>
      <w:r w:rsidR="00BF0934" w:rsidRPr="00BF0934">
        <w:t xml:space="preserve"> similar to 2014-15 levels across most catchments and </w:t>
      </w:r>
      <w:r w:rsidR="00BF0934" w:rsidRPr="00BF0934">
        <w:lastRenderedPageBreak/>
        <w:t xml:space="preserve">were generally at the lower end of reported annual </w:t>
      </w:r>
      <w:r w:rsidR="00FB0B99">
        <w:t>loads</w:t>
      </w:r>
      <w:r w:rsidR="00FB0B99" w:rsidRPr="00BF0934">
        <w:t xml:space="preserve"> </w:t>
      </w:r>
      <w:r w:rsidR="00BF0934" w:rsidRPr="00BF0934">
        <w:t>since monitoring began</w:t>
      </w:r>
      <w:r w:rsidR="00BF0934">
        <w:t xml:space="preserve">. </w:t>
      </w:r>
      <w:r w:rsidR="00BF0934" w:rsidRPr="00BF0934">
        <w:t>Cons</w:t>
      </w:r>
      <w:r w:rsidR="009421DE">
        <w:t>istent with low level pressures</w:t>
      </w:r>
      <w:r w:rsidR="00BF0934" w:rsidRPr="00BF0934">
        <w:t xml:space="preserve"> </w:t>
      </w:r>
      <w:r w:rsidR="009421DE">
        <w:t>in</w:t>
      </w:r>
      <w:r w:rsidR="0095013E">
        <w:t xml:space="preserve"> 2014-15 and</w:t>
      </w:r>
      <w:r w:rsidR="009421DE">
        <w:t xml:space="preserve"> 2015-16, </w:t>
      </w:r>
      <w:r w:rsidR="00FB0B99">
        <w:t xml:space="preserve">time-averaged </w:t>
      </w:r>
      <w:r w:rsidR="00BF0934" w:rsidRPr="00BF0934">
        <w:t xml:space="preserve">pesticide concentrations at fixed </w:t>
      </w:r>
      <w:r w:rsidR="00FB0B99">
        <w:t xml:space="preserve">marine </w:t>
      </w:r>
      <w:r w:rsidR="00BF0934" w:rsidRPr="00BF0934">
        <w:t>monitoring sites were, at most sites, similar to the previous monitoring year</w:t>
      </w:r>
      <w:r w:rsidR="005A19C8">
        <w:t>. Ov</w:t>
      </w:r>
      <w:r w:rsidR="00BF0934" w:rsidRPr="00BF0934">
        <w:t>erall</w:t>
      </w:r>
      <w:r w:rsidR="005A19C8">
        <w:t>,</w:t>
      </w:r>
      <w:r w:rsidR="00BF0934" w:rsidRPr="00BF0934">
        <w:t xml:space="preserve"> </w:t>
      </w:r>
      <w:r w:rsidR="005A19C8">
        <w:t xml:space="preserve">concentrations </w:t>
      </w:r>
      <w:r w:rsidR="00BF0934" w:rsidRPr="00BF0934">
        <w:t xml:space="preserve">were lower than levels during past ‘high’ pressure La Niña years when rainfall and cyclonic activity were considerably above </w:t>
      </w:r>
      <w:r w:rsidR="0099568E" w:rsidRPr="00BF0934">
        <w:t>long-term</w:t>
      </w:r>
      <w:r w:rsidR="00BF0934" w:rsidRPr="00BF0934">
        <w:t xml:space="preserve"> averages.</w:t>
      </w:r>
      <w:r w:rsidR="00BF0934">
        <w:t xml:space="preserve"> </w:t>
      </w:r>
      <w:r w:rsidR="00BF0934" w:rsidRPr="00BF0934">
        <w:t xml:space="preserve">There was one </w:t>
      </w:r>
      <w:r w:rsidR="005A19C8">
        <w:t>notable</w:t>
      </w:r>
      <w:r w:rsidR="00BF0934" w:rsidRPr="00BF0934">
        <w:t xml:space="preserve"> exception to this trend at Round Top Island in the Mackay Whitsunday region</w:t>
      </w:r>
      <w:r w:rsidR="005A19C8">
        <w:t>. Pe</w:t>
      </w:r>
      <w:r w:rsidR="00BF0934" w:rsidRPr="00BF0934">
        <w:t xml:space="preserve">sticide </w:t>
      </w:r>
      <w:r w:rsidR="003232AC">
        <w:t>concentrations</w:t>
      </w:r>
      <w:r w:rsidR="00BF0934" w:rsidRPr="00BF0934">
        <w:t xml:space="preserve"> </w:t>
      </w:r>
      <w:r w:rsidR="003232AC">
        <w:t>at R</w:t>
      </w:r>
      <w:r w:rsidR="005A19C8">
        <w:t xml:space="preserve">ound Top Island </w:t>
      </w:r>
      <w:r w:rsidR="00BF0934" w:rsidRPr="00BF0934">
        <w:t xml:space="preserve">were elevated across most of the wet season and the maximum concentrations were the highest since monitoring began </w:t>
      </w:r>
      <w:r w:rsidR="00B02952">
        <w:t>(</w:t>
      </w:r>
      <w:r w:rsidR="005A19C8">
        <w:t>2005</w:t>
      </w:r>
      <w:r w:rsidR="00B02952">
        <w:t>)</w:t>
      </w:r>
      <w:r w:rsidR="00BF0934" w:rsidRPr="00BF0934">
        <w:t xml:space="preserve">. Concomitant with these high levels, there were minor guideline value </w:t>
      </w:r>
      <w:r w:rsidR="00BF0934">
        <w:t xml:space="preserve">(GV) </w:t>
      </w:r>
      <w:r w:rsidR="00BF0934" w:rsidRPr="00BF0934">
        <w:t>exceedances for three pesticides, diuron, imidacloprid and chlorpyrifos</w:t>
      </w:r>
      <w:r w:rsidR="005A19C8">
        <w:t>. Diuron and imidacloprid exceeded the</w:t>
      </w:r>
      <w:r w:rsidR="00BF0934">
        <w:t xml:space="preserve"> proposed marine GVs developed by the </w:t>
      </w:r>
      <w:r w:rsidR="00BF0934">
        <w:rPr>
          <w:rFonts w:cs="Arial"/>
          <w:lang w:val="en-AU"/>
        </w:rPr>
        <w:t xml:space="preserve">Department of Science, Information Technology and Innovation, </w:t>
      </w:r>
      <w:r w:rsidR="007A53AA">
        <w:rPr>
          <w:rFonts w:cs="Arial"/>
          <w:lang w:val="en-AU"/>
        </w:rPr>
        <w:t>(</w:t>
      </w:r>
      <w:r w:rsidR="00BF0934">
        <w:rPr>
          <w:rFonts w:cs="Arial"/>
          <w:lang w:val="en-AU"/>
        </w:rPr>
        <w:t>DSITI</w:t>
      </w:r>
      <w:r w:rsidR="00BF0934">
        <w:t>)</w:t>
      </w:r>
      <w:r w:rsidR="007A53AA">
        <w:t xml:space="preserve"> (430 and 33 ng L</w:t>
      </w:r>
      <w:r w:rsidR="007A53AA" w:rsidRPr="007A53AA">
        <w:rPr>
          <w:vertAlign w:val="superscript"/>
        </w:rPr>
        <w:t>-1</w:t>
      </w:r>
      <w:r w:rsidR="007A53AA">
        <w:t>, respectively</w:t>
      </w:r>
      <w:r w:rsidR="00BF0934">
        <w:t>)</w:t>
      </w:r>
      <w:r w:rsidR="00BF0934" w:rsidRPr="00BF0934">
        <w:t>.</w:t>
      </w:r>
      <w:r w:rsidR="005A19C8">
        <w:t xml:space="preserve"> Chlorpyrifos exceeded the </w:t>
      </w:r>
      <w:r w:rsidR="005A19C8" w:rsidRPr="005A19C8">
        <w:t>ANZECC</w:t>
      </w:r>
      <w:r w:rsidR="005A19C8">
        <w:t xml:space="preserve"> trigger value</w:t>
      </w:r>
      <w:r w:rsidR="007A53AA">
        <w:t xml:space="preserve"> (0.5 ng L</w:t>
      </w:r>
      <w:r w:rsidR="007A53AA" w:rsidRPr="007A53AA">
        <w:rPr>
          <w:vertAlign w:val="superscript"/>
        </w:rPr>
        <w:t>-1</w:t>
      </w:r>
      <w:r w:rsidR="007A53AA">
        <w:t>)</w:t>
      </w:r>
      <w:r w:rsidR="005A19C8">
        <w:t>.</w:t>
      </w:r>
      <w:r w:rsidR="00301D28">
        <w:t xml:space="preserve"> </w:t>
      </w:r>
      <w:r w:rsidR="00301D28" w:rsidRPr="00447213">
        <w:t xml:space="preserve">Only incomplete historical monitoring data are available for </w:t>
      </w:r>
      <w:r w:rsidR="00301D28">
        <w:t xml:space="preserve">Round Top Island from </w:t>
      </w:r>
      <w:r w:rsidR="00301D28" w:rsidRPr="00447213">
        <w:t>one previous year</w:t>
      </w:r>
      <w:r w:rsidR="00301D28">
        <w:t xml:space="preserve"> (2014-15)</w:t>
      </w:r>
      <w:r w:rsidR="0095013E">
        <w:t xml:space="preserve"> for comparison purposes</w:t>
      </w:r>
      <w:r w:rsidR="00301D28">
        <w:t>. Further monitoring is required to establish whether this is an ongoing pattern at this site.</w:t>
      </w:r>
    </w:p>
    <w:p w14:paraId="15720CE2" w14:textId="77777777" w:rsidR="007F45C0" w:rsidRDefault="007F45C0" w:rsidP="00015606">
      <w:pPr>
        <w:spacing w:line="276" w:lineRule="auto"/>
      </w:pPr>
    </w:p>
    <w:p w14:paraId="15720CE3" w14:textId="50B37603" w:rsidR="008E074E" w:rsidRDefault="0059608E" w:rsidP="008E074E">
      <w:pPr>
        <w:spacing w:line="276" w:lineRule="auto"/>
      </w:pPr>
      <w:r>
        <w:t xml:space="preserve">A </w:t>
      </w:r>
      <w:r w:rsidR="00766BAF">
        <w:t>range</w:t>
      </w:r>
      <w:r>
        <w:t xml:space="preserve"> of PSII herbicides and other pest</w:t>
      </w:r>
      <w:r w:rsidR="00766BAF">
        <w:t xml:space="preserve">icides were </w:t>
      </w:r>
      <w:r>
        <w:t xml:space="preserve">detected at </w:t>
      </w:r>
      <w:r w:rsidR="00766BAF">
        <w:t xml:space="preserve">all </w:t>
      </w:r>
      <w:r>
        <w:t xml:space="preserve">monitoring sites in </w:t>
      </w:r>
      <w:r w:rsidR="00070AE2">
        <w:t>201</w:t>
      </w:r>
      <w:r w:rsidR="007F45C0">
        <w:t>5</w:t>
      </w:r>
      <w:r w:rsidR="00070AE2">
        <w:t>-1</w:t>
      </w:r>
      <w:r w:rsidR="007F45C0">
        <w:t>6</w:t>
      </w:r>
      <w:r w:rsidR="00766BAF">
        <w:t xml:space="preserve">. </w:t>
      </w:r>
      <w:r w:rsidR="00766BAF" w:rsidRPr="00766BAF">
        <w:t xml:space="preserve">In line with previous monitoring years, diuron, atrazine and hexazinone were the most frequently detected and abundant </w:t>
      </w:r>
      <w:r w:rsidR="0095013E">
        <w:t>of the pesticides</w:t>
      </w:r>
      <w:r w:rsidR="00766BAF">
        <w:t xml:space="preserve"> at most sites</w:t>
      </w:r>
      <w:r w:rsidR="003232AC">
        <w:t>. M</w:t>
      </w:r>
      <w:r w:rsidR="008E074E">
        <w:t>aximum concentrations</w:t>
      </w:r>
      <w:r w:rsidR="003232AC">
        <w:t xml:space="preserve"> of these three </w:t>
      </w:r>
      <w:r w:rsidR="0095013E">
        <w:t>herbicides</w:t>
      </w:r>
      <w:r w:rsidR="008E074E">
        <w:t xml:space="preserve"> (462, 245 and 72 ng L</w:t>
      </w:r>
      <w:r w:rsidR="008E074E" w:rsidRPr="008E074E">
        <w:rPr>
          <w:vertAlign w:val="superscript"/>
        </w:rPr>
        <w:t>-1</w:t>
      </w:r>
      <w:r w:rsidR="008E074E">
        <w:t xml:space="preserve">, respectively) </w:t>
      </w:r>
      <w:r w:rsidR="003232AC">
        <w:t xml:space="preserve">occurred </w:t>
      </w:r>
      <w:r w:rsidR="008E074E">
        <w:t xml:space="preserve">at </w:t>
      </w:r>
      <w:r w:rsidR="005A19C8">
        <w:t>Round Top Island</w:t>
      </w:r>
      <w:r w:rsidR="00BD5A15">
        <w:t>, and t</w:t>
      </w:r>
      <w:r w:rsidR="008E074E">
        <w:t>his profile</w:t>
      </w:r>
      <w:r w:rsidR="00766BAF">
        <w:t xml:space="preserve"> is consistent with </w:t>
      </w:r>
      <w:r w:rsidR="006C0AEC">
        <w:t>pesticide usage by the</w:t>
      </w:r>
      <w:r w:rsidR="00766BAF">
        <w:t xml:space="preserve"> </w:t>
      </w:r>
      <w:r w:rsidR="006C0AEC" w:rsidRPr="00766BAF">
        <w:t>sugar cane</w:t>
      </w:r>
      <w:r w:rsidR="006C0AEC">
        <w:t xml:space="preserve"> industry </w:t>
      </w:r>
      <w:r w:rsidR="00766BAF">
        <w:t xml:space="preserve">in </w:t>
      </w:r>
      <w:r w:rsidR="00BD5A15">
        <w:t xml:space="preserve">the </w:t>
      </w:r>
      <w:r w:rsidR="00766BAF">
        <w:t xml:space="preserve">adjacent </w:t>
      </w:r>
      <w:r w:rsidR="00BD5A15">
        <w:t>catchment</w:t>
      </w:r>
      <w:r w:rsidR="00766BAF">
        <w:t xml:space="preserve">. </w:t>
      </w:r>
      <w:r w:rsidR="008E074E">
        <w:t>Whilst diuron dominated the pesticide profile at most sites, atrazine was the most abundant pesticide at Barratta Creek (Burdekin region) and Repulse Bay (Mackay Whitsunday)</w:t>
      </w:r>
      <w:r w:rsidR="00DF10DE">
        <w:t>. T</w:t>
      </w:r>
      <w:r w:rsidR="008E074E">
        <w:t>ebuthiuron was almost exclusively detected at North Keppel Island (</w:t>
      </w:r>
      <w:r w:rsidR="003E3EF9">
        <w:t xml:space="preserve">released from </w:t>
      </w:r>
      <w:r w:rsidR="008E074E">
        <w:t xml:space="preserve">Fitzroy </w:t>
      </w:r>
      <w:r w:rsidR="003E3EF9">
        <w:t>catchment</w:t>
      </w:r>
      <w:r w:rsidR="008E074E">
        <w:t xml:space="preserve">). </w:t>
      </w:r>
      <w:r w:rsidR="004504BF" w:rsidRPr="004504BF">
        <w:t xml:space="preserve">In response to increasing usage, the prevalence and loads of </w:t>
      </w:r>
      <w:r w:rsidR="003232AC">
        <w:t>other (non-PSII)</w:t>
      </w:r>
      <w:r w:rsidR="004504BF" w:rsidRPr="004504BF">
        <w:t xml:space="preserve"> pesticides are being monitored alongside the PSII herbicides</w:t>
      </w:r>
      <w:r w:rsidR="00DF10DE">
        <w:t>. Th</w:t>
      </w:r>
      <w:r w:rsidR="004504BF" w:rsidRPr="004504BF">
        <w:t xml:space="preserve">e proportion of </w:t>
      </w:r>
      <w:r w:rsidR="003232AC">
        <w:t>other pesticides</w:t>
      </w:r>
      <w:r w:rsidR="004504BF" w:rsidRPr="004504BF">
        <w:t xml:space="preserve"> in the total </w:t>
      </w:r>
      <w:r w:rsidR="00DF10DE">
        <w:t xml:space="preserve">load released </w:t>
      </w:r>
      <w:r w:rsidR="004504BF">
        <w:t>to the Reef lagoon</w:t>
      </w:r>
      <w:r w:rsidR="003232AC">
        <w:t xml:space="preserve"> is increasing. F</w:t>
      </w:r>
      <w:r w:rsidR="004504BF">
        <w:t xml:space="preserve">or example, </w:t>
      </w:r>
      <w:r w:rsidR="004504BF" w:rsidRPr="004504BF">
        <w:t xml:space="preserve">in 2015-16, the </w:t>
      </w:r>
      <w:r w:rsidR="00DF10DE">
        <w:t>load</w:t>
      </w:r>
      <w:r w:rsidR="004504BF" w:rsidRPr="004504BF">
        <w:t xml:space="preserve"> of </w:t>
      </w:r>
      <w:r w:rsidR="003232AC">
        <w:t>other</w:t>
      </w:r>
      <w:r w:rsidR="004504BF" w:rsidRPr="004504BF">
        <w:t xml:space="preserve"> </w:t>
      </w:r>
      <w:r w:rsidR="003232AC">
        <w:t>pesticides</w:t>
      </w:r>
      <w:r w:rsidR="004504BF" w:rsidRPr="004504BF">
        <w:t xml:space="preserve"> ranged between 26 –</w:t>
      </w:r>
      <w:r w:rsidR="004504BF">
        <w:t xml:space="preserve"> 181 per cent of the PSII load, </w:t>
      </w:r>
      <w:r w:rsidR="004504BF" w:rsidRPr="004504BF">
        <w:t>compared to 12 – 21 per cent in 2012-13</w:t>
      </w:r>
      <w:r w:rsidR="004504BF">
        <w:t xml:space="preserve">. Of the </w:t>
      </w:r>
      <w:r w:rsidR="003232AC">
        <w:t>other</w:t>
      </w:r>
      <w:r w:rsidR="004504BF">
        <w:t xml:space="preserve"> pesticides,</w:t>
      </w:r>
      <w:r w:rsidR="008E074E">
        <w:t xml:space="preserve"> </w:t>
      </w:r>
      <w:r w:rsidR="004504BF">
        <w:t xml:space="preserve">metolachlor, </w:t>
      </w:r>
      <w:r w:rsidR="008E074E">
        <w:rPr>
          <w:rStyle w:val="st"/>
        </w:rPr>
        <w:t>2,4-dichlorophenoxyacetic acid</w:t>
      </w:r>
      <w:r w:rsidR="008E074E">
        <w:t xml:space="preserve"> (2,4-D), </w:t>
      </w:r>
      <w:r w:rsidR="008E074E" w:rsidRPr="00EC2BEA">
        <w:t xml:space="preserve">2-methyl-4-chlorophenoxyacetic acid </w:t>
      </w:r>
      <w:r w:rsidR="008E074E">
        <w:t xml:space="preserve">(MCPA), </w:t>
      </w:r>
      <w:r w:rsidR="004504BF">
        <w:t xml:space="preserve">imidacloprid, </w:t>
      </w:r>
      <w:r w:rsidR="008E074E">
        <w:t>chlorpyrifos and pendimethalin were frequently detected in passive samplers at fixed sites</w:t>
      </w:r>
      <w:r w:rsidR="004504BF">
        <w:t xml:space="preserve">. </w:t>
      </w:r>
      <w:r w:rsidR="004504BF" w:rsidRPr="004504BF">
        <w:t xml:space="preserve">Compared to PSII herbicides, detected concentrations of </w:t>
      </w:r>
      <w:r w:rsidR="00BD5A15">
        <w:t>other</w:t>
      </w:r>
      <w:r w:rsidR="004504BF" w:rsidRPr="004504BF">
        <w:t xml:space="preserve"> pesticides at the monitoring sites were very low</w:t>
      </w:r>
      <w:r w:rsidR="003E4E7D">
        <w:t xml:space="preserve"> (typically sub ng L</w:t>
      </w:r>
      <w:r w:rsidR="003E4E7D" w:rsidRPr="003E4E7D">
        <w:rPr>
          <w:vertAlign w:val="superscript"/>
        </w:rPr>
        <w:t>-1</w:t>
      </w:r>
      <w:r w:rsidR="003E4E7D">
        <w:t>)</w:t>
      </w:r>
      <w:r w:rsidR="00DF10DE">
        <w:t>.</w:t>
      </w:r>
    </w:p>
    <w:p w14:paraId="15720CE4" w14:textId="77777777" w:rsidR="00766BAF" w:rsidRDefault="00766BAF" w:rsidP="00015606">
      <w:pPr>
        <w:spacing w:line="276" w:lineRule="auto"/>
      </w:pPr>
    </w:p>
    <w:p w14:paraId="15720CE5" w14:textId="614D322C" w:rsidR="00F546E9" w:rsidRDefault="003E4E7D" w:rsidP="00015606">
      <w:pPr>
        <w:spacing w:line="276" w:lineRule="auto"/>
      </w:pPr>
      <w:r w:rsidRPr="003E4E7D">
        <w:t>In both the current year and historically, monitoring sites located in the Mackay Whitsunday region have encountered the highest risk of PSII herbicide</w:t>
      </w:r>
      <w:r w:rsidR="000B664E">
        <w:t xml:space="preserve"> exposure</w:t>
      </w:r>
      <w:r w:rsidRPr="003E4E7D">
        <w:t xml:space="preserve">, </w:t>
      </w:r>
      <w:r w:rsidR="000B664E">
        <w:t>reaching</w:t>
      </w:r>
      <w:r w:rsidR="00DE7A8D">
        <w:t xml:space="preserve"> </w:t>
      </w:r>
      <w:r w:rsidRPr="003E4E7D">
        <w:t xml:space="preserve">concentrations </w:t>
      </w:r>
      <w:r w:rsidR="000B664E">
        <w:t>known</w:t>
      </w:r>
      <w:r w:rsidR="000B664E" w:rsidRPr="003E4E7D">
        <w:t xml:space="preserve"> </w:t>
      </w:r>
      <w:r w:rsidRPr="003E4E7D">
        <w:t xml:space="preserve">to </w:t>
      </w:r>
      <w:r w:rsidR="00DE7A8D">
        <w:t xml:space="preserve">cause </w:t>
      </w:r>
      <w:r w:rsidRPr="003E4E7D">
        <w:t>photosynthe</w:t>
      </w:r>
      <w:r w:rsidR="00DE7A8D">
        <w:t>t</w:t>
      </w:r>
      <w:r w:rsidRPr="003E4E7D">
        <w:t>i</w:t>
      </w:r>
      <w:r w:rsidR="00DE7A8D">
        <w:t>c inhibition</w:t>
      </w:r>
      <w:r w:rsidRPr="003E4E7D">
        <w:t xml:space="preserve"> in some coral and seagrass </w:t>
      </w:r>
      <w:r w:rsidR="00DE7A8D" w:rsidRPr="003E4E7D">
        <w:t xml:space="preserve">species </w:t>
      </w:r>
      <w:r w:rsidRPr="003E4E7D">
        <w:t>(Category 2 and 3 on the PSII Herbicide Index)</w:t>
      </w:r>
      <w:r>
        <w:t>.</w:t>
      </w:r>
      <w:r w:rsidRPr="003E4E7D">
        <w:t xml:space="preserve"> At the other end of the scale, the Wet Tropics have consistently been at the low end of exposure risk.</w:t>
      </w:r>
      <w:r>
        <w:t xml:space="preserve"> Grab sampling </w:t>
      </w:r>
      <w:r w:rsidR="00991239">
        <w:t>within</w:t>
      </w:r>
      <w:r>
        <w:t xml:space="preserve"> both these regions</w:t>
      </w:r>
      <w:r w:rsidR="00991239">
        <w:t xml:space="preserve"> indicated</w:t>
      </w:r>
      <w:r w:rsidR="00F546E9">
        <w:t xml:space="preserve"> </w:t>
      </w:r>
      <w:r w:rsidR="00991239">
        <w:t>that</w:t>
      </w:r>
      <w:r w:rsidRPr="003E4E7D">
        <w:t xml:space="preserve"> elevated PSII herbicide concentrations </w:t>
      </w:r>
      <w:r w:rsidR="00DE7A8D">
        <w:t>were locali</w:t>
      </w:r>
      <w:r w:rsidR="00BD5A15">
        <w:t>s</w:t>
      </w:r>
      <w:r w:rsidR="00DE7A8D">
        <w:t xml:space="preserve">ed </w:t>
      </w:r>
      <w:r w:rsidRPr="003E4E7D">
        <w:t>near river mouths</w:t>
      </w:r>
      <w:r w:rsidR="00DE7A8D">
        <w:t xml:space="preserve"> and, through</w:t>
      </w:r>
      <w:r w:rsidRPr="003E4E7D">
        <w:t xml:space="preserve"> </w:t>
      </w:r>
      <w:r w:rsidR="00DE7A8D">
        <w:t>dissipation, decreased towards the</w:t>
      </w:r>
      <w:r w:rsidRPr="003E4E7D">
        <w:t xml:space="preserve"> fixed monitoring sites</w:t>
      </w:r>
      <w:r w:rsidR="001322BE">
        <w:t>. This indicates</w:t>
      </w:r>
      <w:r w:rsidR="00DE7A8D" w:rsidRPr="003E4E7D">
        <w:t xml:space="preserve"> </w:t>
      </w:r>
      <w:r w:rsidR="00DE7A8D">
        <w:t xml:space="preserve">a </w:t>
      </w:r>
      <w:r w:rsidRPr="003E4E7D">
        <w:t>lower risk of exposure</w:t>
      </w:r>
      <w:r w:rsidR="00DE7A8D">
        <w:t xml:space="preserve"> with increasing distance from the river mouth</w:t>
      </w:r>
      <w:r>
        <w:t xml:space="preserve">. </w:t>
      </w:r>
    </w:p>
    <w:p w14:paraId="15720CE6" w14:textId="77777777" w:rsidR="00F546E9" w:rsidRDefault="00F546E9" w:rsidP="00015606">
      <w:pPr>
        <w:spacing w:line="276" w:lineRule="auto"/>
      </w:pPr>
    </w:p>
    <w:p w14:paraId="4AA2CCA1" w14:textId="7CCAD70F" w:rsidR="008F2CDD" w:rsidRDefault="003E4E7D" w:rsidP="00CC78E2">
      <w:pPr>
        <w:spacing w:line="276" w:lineRule="auto"/>
      </w:pPr>
      <w:r w:rsidRPr="003E4E7D">
        <w:t xml:space="preserve">At present, only the PSII herbicides are included in risk assessments </w:t>
      </w:r>
      <w:r w:rsidR="00BF4855">
        <w:t xml:space="preserve">for the MMP </w:t>
      </w:r>
      <w:r w:rsidRPr="003E4E7D">
        <w:t xml:space="preserve">using </w:t>
      </w:r>
      <w:r w:rsidR="005755FC">
        <w:t xml:space="preserve">the </w:t>
      </w:r>
      <w:r w:rsidRPr="003E4E7D">
        <w:t xml:space="preserve">PSII-HEq </w:t>
      </w:r>
      <w:r w:rsidR="005755FC">
        <w:t>index</w:t>
      </w:r>
      <w:r w:rsidRPr="003E4E7D">
        <w:t xml:space="preserve">. </w:t>
      </w:r>
      <w:r w:rsidR="005755FC">
        <w:t>The PSII-HEq index</w:t>
      </w:r>
      <w:r w:rsidR="008F2CDD">
        <w:t>, which is based on a</w:t>
      </w:r>
      <w:r w:rsidR="005755FC">
        <w:t xml:space="preserve"> </w:t>
      </w:r>
      <w:r w:rsidR="008F2CDD">
        <w:t xml:space="preserve">limited number of species, </w:t>
      </w:r>
      <w:r w:rsidR="005755FC">
        <w:t>estimat</w:t>
      </w:r>
      <w:r w:rsidR="008F2CDD">
        <w:t>es</w:t>
      </w:r>
      <w:r w:rsidR="005755FC">
        <w:t xml:space="preserve"> the cumulative toxicity of contaminan</w:t>
      </w:r>
      <w:r w:rsidR="00DA607E">
        <w:t xml:space="preserve">ts with the same mode of action, and has </w:t>
      </w:r>
      <w:r w:rsidR="008F2CDD">
        <w:t xml:space="preserve">historically </w:t>
      </w:r>
      <w:r w:rsidR="00DA607E">
        <w:t xml:space="preserve">been used </w:t>
      </w:r>
      <w:r w:rsidR="00734941">
        <w:t>in the MMP</w:t>
      </w:r>
      <w:r w:rsidR="00DA607E">
        <w:t xml:space="preserve"> for estimating the toxicity of PSII herbicide mixtures.</w:t>
      </w:r>
      <w:r w:rsidR="005755FC">
        <w:t xml:space="preserve"> </w:t>
      </w:r>
      <w:r w:rsidRPr="003E4E7D">
        <w:t xml:space="preserve">Given the uncertainty </w:t>
      </w:r>
      <w:r w:rsidR="00BF4855">
        <w:t>of</w:t>
      </w:r>
      <w:r w:rsidR="00BF4855" w:rsidRPr="003E4E7D">
        <w:t xml:space="preserve"> </w:t>
      </w:r>
      <w:r w:rsidRPr="003E4E7D">
        <w:t>the risk</w:t>
      </w:r>
      <w:r w:rsidR="00BF4855">
        <w:t>s</w:t>
      </w:r>
      <w:r w:rsidRPr="003E4E7D">
        <w:t xml:space="preserve"> </w:t>
      </w:r>
      <w:r w:rsidR="00BF4855">
        <w:t>posed</w:t>
      </w:r>
      <w:r w:rsidR="00BF4855" w:rsidRPr="003E4E7D">
        <w:t xml:space="preserve"> </w:t>
      </w:r>
      <w:r w:rsidR="00BF4855">
        <w:t>by</w:t>
      </w:r>
      <w:r w:rsidR="00BF4855" w:rsidRPr="003E4E7D">
        <w:t xml:space="preserve"> </w:t>
      </w:r>
      <w:r w:rsidR="00BF4855">
        <w:t xml:space="preserve">the </w:t>
      </w:r>
      <w:r w:rsidR="0033416A">
        <w:t>other (non-PSII)</w:t>
      </w:r>
      <w:r w:rsidRPr="003E4E7D">
        <w:t xml:space="preserve"> pesticides, </w:t>
      </w:r>
      <w:r w:rsidR="00BF4855">
        <w:t xml:space="preserve">their </w:t>
      </w:r>
      <w:r w:rsidRPr="003E4E7D">
        <w:t>inclu</w:t>
      </w:r>
      <w:r w:rsidR="00BF4855">
        <w:t>sion</w:t>
      </w:r>
      <w:r w:rsidRPr="003E4E7D">
        <w:t xml:space="preserve"> in the </w:t>
      </w:r>
      <w:r w:rsidR="00BF4855">
        <w:t>MMP pesticide</w:t>
      </w:r>
      <w:r w:rsidR="00BF4855" w:rsidRPr="003E4E7D">
        <w:t xml:space="preserve"> </w:t>
      </w:r>
      <w:r w:rsidRPr="003E4E7D">
        <w:t xml:space="preserve">risk assessment is becoming increasingly important. The multisubstance </w:t>
      </w:r>
      <w:r w:rsidR="0010546F">
        <w:t>-</w:t>
      </w:r>
      <w:r w:rsidR="0010546F" w:rsidRPr="003E4E7D">
        <w:t xml:space="preserve"> </w:t>
      </w:r>
      <w:r w:rsidRPr="003E4E7D">
        <w:t xml:space="preserve">potentially affected fraction (ms-PAF) approach </w:t>
      </w:r>
      <w:r w:rsidR="008F2CDD">
        <w:t xml:space="preserve">has the capacity to </w:t>
      </w:r>
      <w:r w:rsidR="0010546F">
        <w:t>assess</w:t>
      </w:r>
      <w:r w:rsidRPr="003E4E7D">
        <w:t xml:space="preserve"> mixture toxicity of </w:t>
      </w:r>
      <w:r w:rsidR="0010546F">
        <w:t>contaminants with both similar and</w:t>
      </w:r>
      <w:r w:rsidR="0010546F" w:rsidRPr="003E4E7D">
        <w:t xml:space="preserve"> different modes of action</w:t>
      </w:r>
      <w:r w:rsidR="0010546F">
        <w:t xml:space="preserve">. </w:t>
      </w:r>
      <w:r w:rsidRPr="003E4E7D">
        <w:t xml:space="preserve">The </w:t>
      </w:r>
      <w:r w:rsidR="008F2CDD">
        <w:t xml:space="preserve">currently available </w:t>
      </w:r>
      <w:r w:rsidR="0010546F">
        <w:t xml:space="preserve">ms-PAF </w:t>
      </w:r>
      <w:r w:rsidR="008F2CDD">
        <w:t xml:space="preserve">model is a </w:t>
      </w:r>
      <w:r w:rsidR="0010546F">
        <w:t xml:space="preserve">concentration </w:t>
      </w:r>
      <w:r w:rsidRPr="003E4E7D">
        <w:t>additi</w:t>
      </w:r>
      <w:r w:rsidR="0010546F">
        <w:t>on</w:t>
      </w:r>
      <w:r w:rsidRPr="003E4E7D">
        <w:t xml:space="preserve"> </w:t>
      </w:r>
      <w:r w:rsidR="0010546F">
        <w:t xml:space="preserve">(CA) </w:t>
      </w:r>
      <w:r w:rsidRPr="003E4E7D">
        <w:t>mode</w:t>
      </w:r>
      <w:r w:rsidR="0010546F">
        <w:t xml:space="preserve">l </w:t>
      </w:r>
      <w:r w:rsidR="008F2CDD">
        <w:t xml:space="preserve">which </w:t>
      </w:r>
      <w:r w:rsidR="0010546F">
        <w:t xml:space="preserve">estimates the cumulative toxicity </w:t>
      </w:r>
      <w:r w:rsidRPr="003E4E7D">
        <w:t xml:space="preserve">for </w:t>
      </w:r>
      <w:r w:rsidR="0010546F">
        <w:t>contaminants</w:t>
      </w:r>
      <w:r w:rsidRPr="003E4E7D">
        <w:t xml:space="preserve"> with the same mode of action</w:t>
      </w:r>
      <w:r w:rsidR="001322BE">
        <w:t>;</w:t>
      </w:r>
      <w:r w:rsidRPr="003E4E7D">
        <w:t xml:space="preserve"> </w:t>
      </w:r>
      <w:r w:rsidR="001322BE">
        <w:t>therefore,</w:t>
      </w:r>
      <w:r w:rsidR="0010546F">
        <w:t xml:space="preserve"> </w:t>
      </w:r>
      <w:r w:rsidR="005755FC" w:rsidRPr="003E4E7D">
        <w:t>a case study</w:t>
      </w:r>
      <w:r w:rsidR="005755FC">
        <w:t xml:space="preserve"> </w:t>
      </w:r>
      <w:r w:rsidR="0010546F">
        <w:t>compar</w:t>
      </w:r>
      <w:r w:rsidR="00734941">
        <w:t>ing</w:t>
      </w:r>
      <w:r w:rsidR="0010546F">
        <w:t xml:space="preserve"> results of the </w:t>
      </w:r>
      <w:r w:rsidR="0010546F" w:rsidRPr="003E4E7D">
        <w:t>PSII-HEq index</w:t>
      </w:r>
      <w:r w:rsidR="0010546F">
        <w:t xml:space="preserve"> </w:t>
      </w:r>
      <w:r w:rsidR="00734941">
        <w:t xml:space="preserve">and </w:t>
      </w:r>
      <w:r w:rsidR="001322BE">
        <w:t xml:space="preserve">the </w:t>
      </w:r>
      <w:r w:rsidR="00734941">
        <w:t>ms-PAF</w:t>
      </w:r>
      <w:r w:rsidR="001322BE">
        <w:t xml:space="preserve"> CA </w:t>
      </w:r>
      <w:r w:rsidR="001322BE">
        <w:lastRenderedPageBreak/>
        <w:t xml:space="preserve">model using </w:t>
      </w:r>
      <w:r w:rsidRPr="003E4E7D">
        <w:t>the current year’s monitoring data</w:t>
      </w:r>
      <w:r w:rsidR="00734941">
        <w:t xml:space="preserve"> was undertaken</w:t>
      </w:r>
      <w:r w:rsidRPr="003E4E7D">
        <w:t xml:space="preserve">. </w:t>
      </w:r>
      <w:r w:rsidR="001322BE">
        <w:t>B</w:t>
      </w:r>
      <w:r w:rsidR="00CC78E2" w:rsidRPr="00082843">
        <w:t>oth marine and freshwater species are included in the model’s underlying SSDs</w:t>
      </w:r>
      <w:r w:rsidR="001322BE" w:rsidRPr="001322BE">
        <w:t xml:space="preserve"> </w:t>
      </w:r>
      <w:r w:rsidR="001322BE">
        <w:t>for t</w:t>
      </w:r>
      <w:r w:rsidR="001322BE" w:rsidRPr="00082843">
        <w:t>he current ms-PAF model</w:t>
      </w:r>
      <w:r w:rsidR="00CC78E2" w:rsidRPr="00082843">
        <w:t xml:space="preserve">. </w:t>
      </w:r>
      <w:r w:rsidR="00CC78E2">
        <w:t>This reflects the intended</w:t>
      </w:r>
      <w:r w:rsidR="00CC78E2" w:rsidRPr="00082843">
        <w:t xml:space="preserve"> application </w:t>
      </w:r>
      <w:r w:rsidR="00CC78E2">
        <w:t xml:space="preserve">of the model </w:t>
      </w:r>
      <w:r w:rsidR="00401AD7">
        <w:t>for</w:t>
      </w:r>
      <w:r w:rsidR="00CC78E2" w:rsidRPr="00082843">
        <w:t xml:space="preserve"> estuarine (mixed marine and freshwater) systems</w:t>
      </w:r>
      <w:r w:rsidR="00401AD7">
        <w:t xml:space="preserve">. Given a current paucity of marine ecotoxicity data, combining fresh and marine species data also ensures that sufficient data are included in the SSDs to meet statistical requirements. </w:t>
      </w:r>
    </w:p>
    <w:p w14:paraId="189BDE55" w14:textId="77777777" w:rsidR="008F2CDD" w:rsidRDefault="008F2CDD" w:rsidP="00CC78E2">
      <w:pPr>
        <w:spacing w:line="276" w:lineRule="auto"/>
        <w:rPr>
          <w:color w:val="0070C0"/>
        </w:rPr>
      </w:pPr>
    </w:p>
    <w:p w14:paraId="2DC79230" w14:textId="76B68967" w:rsidR="008F2CDD" w:rsidRDefault="00CC78E2" w:rsidP="00CC78E2">
      <w:pPr>
        <w:spacing w:line="276" w:lineRule="auto"/>
      </w:pPr>
      <w:r w:rsidRPr="008F2CDD">
        <w:t xml:space="preserve">The GVs proposed by DSITI for marine and freshwater ecosystems (which are based on the same species data as for the ms-PAF model) indicate that there are different toxicological responses of aquatic species between fresh and marine ecosystems. </w:t>
      </w:r>
      <w:r w:rsidR="001322BE">
        <w:t>Of</w:t>
      </w:r>
      <w:r w:rsidRPr="008F2CDD">
        <w:t xml:space="preserve"> the most commonly detected PSII herbicides detected at the fixed (marine) monitoring sites, i.e. diuron, atrazine and hexazinone, proposed GVs are available for diuron and hexazinone. For these two herbicides, the marine GV is approximately 5-fold higher than the freshwater GV. This suggests that inclusion of freshwater species in the SSD may be a conservative approach (i.e. more protective of the Reef). At present, no SSD (and hence no proposed GV) is available for atrazine. </w:t>
      </w:r>
    </w:p>
    <w:p w14:paraId="6E8B8C9E" w14:textId="77777777" w:rsidR="008F2CDD" w:rsidRDefault="008F2CDD" w:rsidP="00CC78E2">
      <w:pPr>
        <w:spacing w:line="276" w:lineRule="auto"/>
        <w:rPr>
          <w:color w:val="0070C0"/>
        </w:rPr>
      </w:pPr>
    </w:p>
    <w:p w14:paraId="15720CE7" w14:textId="16156435" w:rsidR="00766BAF" w:rsidRPr="001322BE" w:rsidRDefault="008F2CDD" w:rsidP="00CC78E2">
      <w:pPr>
        <w:spacing w:line="276" w:lineRule="auto"/>
      </w:pPr>
      <w:r w:rsidRPr="001322BE">
        <w:t xml:space="preserve">Based on the investigations in the case study, </w:t>
      </w:r>
      <w:r w:rsidRPr="001322BE">
        <w:rPr>
          <w:lang w:val="en-AU" w:eastAsia="en-AU"/>
        </w:rPr>
        <w:t xml:space="preserve">further consideration of the risk categories is warranted to capture the most ecologically relevant, reasonable and protective tipping points. At present, the ms-PAF </w:t>
      </w:r>
      <w:r w:rsidR="001322BE" w:rsidRPr="001322BE">
        <w:rPr>
          <w:lang w:val="en-AU" w:eastAsia="en-AU"/>
        </w:rPr>
        <w:t xml:space="preserve">CA </w:t>
      </w:r>
      <w:r w:rsidRPr="001322BE">
        <w:rPr>
          <w:lang w:val="en-AU" w:eastAsia="en-AU"/>
        </w:rPr>
        <w:t>model predicts a PC99 concentration for diuron, the most prevalent PSII herbicide measured in the near-shore Reef marine environment, of 46 ng L</w:t>
      </w:r>
      <w:r w:rsidRPr="001322BE">
        <w:rPr>
          <w:vertAlign w:val="superscript"/>
          <w:lang w:val="en-AU" w:eastAsia="en-AU"/>
        </w:rPr>
        <w:t>-1</w:t>
      </w:r>
      <w:r w:rsidRPr="001322BE">
        <w:rPr>
          <w:lang w:val="en-AU" w:eastAsia="en-AU"/>
        </w:rPr>
        <w:t xml:space="preserve"> which is an order of magnitude lower than the proposed marine PC99 guideline value (430 ng L</w:t>
      </w:r>
      <w:r w:rsidRPr="001322BE">
        <w:rPr>
          <w:vertAlign w:val="superscript"/>
          <w:lang w:val="en-AU" w:eastAsia="en-AU"/>
        </w:rPr>
        <w:t>-1</w:t>
      </w:r>
      <w:r w:rsidRPr="001322BE">
        <w:rPr>
          <w:lang w:val="en-AU" w:eastAsia="en-AU"/>
        </w:rPr>
        <w:t xml:space="preserve">). Adoption of an ms-PAF model based on SSDs for marine-only species for the MMP would bring greater consistency between the mixture model and the individual SSDs from which proposed marine GVs are determined. An on-going </w:t>
      </w:r>
      <w:r w:rsidR="00B8543D" w:rsidRPr="001322BE">
        <w:rPr>
          <w:lang w:val="en-AU" w:eastAsia="en-AU"/>
        </w:rPr>
        <w:t xml:space="preserve">(2016-2019) </w:t>
      </w:r>
      <w:r w:rsidRPr="001322BE">
        <w:rPr>
          <w:lang w:val="en-AU" w:eastAsia="en-AU"/>
        </w:rPr>
        <w:t>National Environmental Science Programme (NESP) project aims to generate</w:t>
      </w:r>
      <w:r w:rsidR="001322BE" w:rsidRPr="001322BE">
        <w:rPr>
          <w:lang w:val="en-AU" w:eastAsia="en-AU"/>
        </w:rPr>
        <w:t xml:space="preserve"> marine</w:t>
      </w:r>
      <w:r w:rsidRPr="001322BE">
        <w:rPr>
          <w:lang w:val="en-AU" w:eastAsia="en-AU"/>
        </w:rPr>
        <w:t xml:space="preserve"> </w:t>
      </w:r>
      <w:r w:rsidR="001322BE" w:rsidRPr="001322BE">
        <w:rPr>
          <w:lang w:val="en-AU" w:eastAsia="en-AU"/>
        </w:rPr>
        <w:t xml:space="preserve">species </w:t>
      </w:r>
      <w:r w:rsidRPr="001322BE">
        <w:rPr>
          <w:lang w:val="en-AU" w:eastAsia="en-AU"/>
        </w:rPr>
        <w:t xml:space="preserve">ecotoxicity data </w:t>
      </w:r>
      <w:r w:rsidR="001322BE" w:rsidRPr="001322BE">
        <w:rPr>
          <w:lang w:val="en-AU" w:eastAsia="en-AU"/>
        </w:rPr>
        <w:t xml:space="preserve">for </w:t>
      </w:r>
      <w:r w:rsidR="00B8543D">
        <w:rPr>
          <w:lang w:val="en-AU" w:eastAsia="en-AU"/>
        </w:rPr>
        <w:t xml:space="preserve">this and other </w:t>
      </w:r>
      <w:r w:rsidR="001322BE" w:rsidRPr="001322BE">
        <w:rPr>
          <w:lang w:val="en-AU" w:eastAsia="en-AU"/>
        </w:rPr>
        <w:t>risk assessment</w:t>
      </w:r>
      <w:r w:rsidRPr="001322BE">
        <w:rPr>
          <w:lang w:val="en-AU" w:eastAsia="en-AU"/>
        </w:rPr>
        <w:t xml:space="preserve"> purpose</w:t>
      </w:r>
      <w:r w:rsidR="001322BE" w:rsidRPr="001322BE">
        <w:rPr>
          <w:lang w:val="en-AU" w:eastAsia="en-AU"/>
        </w:rPr>
        <w:t>s</w:t>
      </w:r>
      <w:r w:rsidRPr="001322BE">
        <w:rPr>
          <w:lang w:val="en-AU" w:eastAsia="en-AU"/>
        </w:rPr>
        <w:t>. Before adopting ms-PAF to assess overall ecological risk as part of the MMP’s annual reporting, the value of waiting until a marine ms-PAF model can be established should be considered or a decision should be taken to adopt a lower, but therefore more conservative, PC99 value for MMP reporting. Furthermore, it would be pertinent to wait until proposed GVs have been approved</w:t>
      </w:r>
      <w:r w:rsidR="00B8543D">
        <w:rPr>
          <w:lang w:val="en-AU" w:eastAsia="en-AU"/>
        </w:rPr>
        <w:t>,</w:t>
      </w:r>
      <w:r w:rsidRPr="001322BE">
        <w:rPr>
          <w:lang w:val="en-AU" w:eastAsia="en-AU"/>
        </w:rPr>
        <w:t xml:space="preserve"> SSDs for all chemicals earmarked for inclusion have been constructed </w:t>
      </w:r>
      <w:r w:rsidR="00B8543D">
        <w:rPr>
          <w:lang w:val="en-AU" w:eastAsia="en-AU"/>
        </w:rPr>
        <w:t xml:space="preserve">and the </w:t>
      </w:r>
      <w:r w:rsidR="00B8543D" w:rsidRPr="001322BE">
        <w:t xml:space="preserve">response addition (RA) model </w:t>
      </w:r>
      <w:r w:rsidR="00B8543D">
        <w:t xml:space="preserve">to assess pesticides with different modes of action is available, </w:t>
      </w:r>
      <w:r w:rsidRPr="001322BE">
        <w:rPr>
          <w:lang w:val="en-AU" w:eastAsia="en-AU"/>
        </w:rPr>
        <w:t xml:space="preserve">to prevent any retrospective adjustments and a more accurate assessment of risk of the environmental mixtures present. </w:t>
      </w:r>
      <w:r w:rsidR="00127365" w:rsidRPr="001322BE">
        <w:t>While the ms-PAF RA model has not been examined here (currently being tested</w:t>
      </w:r>
      <w:r w:rsidR="0033416A" w:rsidRPr="001322BE">
        <w:t xml:space="preserve"> </w:t>
      </w:r>
      <w:r w:rsidR="003E4E7D" w:rsidRPr="001322BE">
        <w:t xml:space="preserve">by DSITI), </w:t>
      </w:r>
      <w:r w:rsidR="00127365" w:rsidRPr="001322BE">
        <w:t xml:space="preserve">the application of the RA and CA models together </w:t>
      </w:r>
      <w:r w:rsidR="003E4E7D" w:rsidRPr="001322BE">
        <w:t xml:space="preserve">will be highly valuable </w:t>
      </w:r>
      <w:r w:rsidR="00127365" w:rsidRPr="001322BE">
        <w:t>for</w:t>
      </w:r>
      <w:r w:rsidR="003E4E7D" w:rsidRPr="001322BE">
        <w:t xml:space="preserve"> assess</w:t>
      </w:r>
      <w:r w:rsidR="00127365" w:rsidRPr="001322BE">
        <w:t>ing</w:t>
      </w:r>
      <w:r w:rsidR="003E4E7D" w:rsidRPr="001322BE">
        <w:t xml:space="preserve"> the combined toxicity of both PSII </w:t>
      </w:r>
      <w:r w:rsidR="00ED6AC5" w:rsidRPr="001322BE">
        <w:t xml:space="preserve">herbicides </w:t>
      </w:r>
      <w:r w:rsidR="003E4E7D" w:rsidRPr="001322BE">
        <w:t xml:space="preserve">and </w:t>
      </w:r>
      <w:r w:rsidR="00ED6AC5" w:rsidRPr="001322BE">
        <w:t>other</w:t>
      </w:r>
      <w:r w:rsidR="003E4E7D" w:rsidRPr="001322BE">
        <w:t xml:space="preserve"> pesticides</w:t>
      </w:r>
      <w:r w:rsidR="001322BE" w:rsidRPr="001322BE">
        <w:t xml:space="preserve"> in the future</w:t>
      </w:r>
      <w:r w:rsidR="003E4E7D" w:rsidRPr="001322BE">
        <w:t>.</w:t>
      </w:r>
    </w:p>
    <w:p w14:paraId="15720CE8" w14:textId="77777777" w:rsidR="00991239" w:rsidRDefault="00991239" w:rsidP="00015606">
      <w:pPr>
        <w:spacing w:line="276" w:lineRule="auto"/>
      </w:pPr>
    </w:p>
    <w:p w14:paraId="5D6B97C6" w14:textId="3A92B461" w:rsidR="005847EC" w:rsidRDefault="005847EC" w:rsidP="005847EC">
      <w:pPr>
        <w:tabs>
          <w:tab w:val="left" w:pos="10065"/>
        </w:tabs>
        <w:spacing w:line="276" w:lineRule="auto"/>
        <w:rPr>
          <w:lang w:val="en-AU" w:eastAsia="en-AU"/>
        </w:rPr>
      </w:pPr>
      <w:r w:rsidRPr="005847EC">
        <w:rPr>
          <w:b/>
          <w:lang w:val="en-AU" w:eastAsia="en-AU"/>
        </w:rPr>
        <w:t>Conclusions and directions for future monitoring</w:t>
      </w:r>
      <w:r w:rsidR="00185EFD">
        <w:rPr>
          <w:b/>
          <w:lang w:val="en-AU" w:eastAsia="en-AU"/>
        </w:rPr>
        <w:t xml:space="preserve">. </w:t>
      </w:r>
      <w:r>
        <w:rPr>
          <w:lang w:val="en-AU" w:eastAsia="en-AU"/>
        </w:rPr>
        <w:t xml:space="preserve">In conclusion, overall, the DPSIR framework is an effective approach to understand the complexity of pressures that may result in pesticides reaching sensitive Reef ecosystems. In 2015-16, trends in the pesticide monitoring data could be broadly interpreted in terms of high level pressure data, mainly related to hydrological conditions; i.e. the relatively low pesticide concentrations observed at most fixed monitoring sites were consistent with the relatively low pressures affecting </w:t>
      </w:r>
      <w:r w:rsidR="008C1B5F">
        <w:rPr>
          <w:lang w:val="en-AU" w:eastAsia="en-AU"/>
        </w:rPr>
        <w:t xml:space="preserve">pesticide discharge to </w:t>
      </w:r>
      <w:r>
        <w:rPr>
          <w:lang w:val="en-AU" w:eastAsia="en-AU"/>
        </w:rPr>
        <w:t xml:space="preserve">the Reef </w:t>
      </w:r>
      <w:r w:rsidR="008C1B5F">
        <w:rPr>
          <w:lang w:val="en-AU" w:eastAsia="en-AU"/>
        </w:rPr>
        <w:t>lagoon</w:t>
      </w:r>
      <w:r>
        <w:rPr>
          <w:lang w:val="en-AU" w:eastAsia="en-AU"/>
        </w:rPr>
        <w:t xml:space="preserve"> throughout the year. Spatially, consistent with previous years and land-usage</w:t>
      </w:r>
      <w:r w:rsidRPr="00992648">
        <w:rPr>
          <w:lang w:val="en-AU" w:eastAsia="en-AU"/>
        </w:rPr>
        <w:t xml:space="preserve"> </w:t>
      </w:r>
      <w:r>
        <w:rPr>
          <w:lang w:val="en-AU" w:eastAsia="en-AU"/>
        </w:rPr>
        <w:t xml:space="preserve">in the adjacent catchments, highest pesticide concentrations were detected at the Mackay Whitsunday </w:t>
      </w:r>
      <w:r w:rsidR="003E3EF9">
        <w:rPr>
          <w:lang w:val="en-AU" w:eastAsia="en-AU"/>
        </w:rPr>
        <w:t xml:space="preserve">region </w:t>
      </w:r>
      <w:r>
        <w:rPr>
          <w:lang w:val="en-AU" w:eastAsia="en-AU"/>
        </w:rPr>
        <w:t xml:space="preserve">sites. The longer-term change in nearshore marine pesticide levels attributable to changed catchment land management practices, which </w:t>
      </w:r>
      <w:r w:rsidR="00252035">
        <w:rPr>
          <w:lang w:val="en-AU" w:eastAsia="en-AU"/>
        </w:rPr>
        <w:t>is</w:t>
      </w:r>
      <w:r>
        <w:rPr>
          <w:lang w:val="en-AU" w:eastAsia="en-AU"/>
        </w:rPr>
        <w:t xml:space="preserve"> the focus of the Reef Plan, is</w:t>
      </w:r>
      <w:r w:rsidR="00252035">
        <w:rPr>
          <w:lang w:val="en-AU" w:eastAsia="en-AU"/>
        </w:rPr>
        <w:t>,</w:t>
      </w:r>
      <w:r>
        <w:rPr>
          <w:lang w:val="en-AU" w:eastAsia="en-AU"/>
        </w:rPr>
        <w:t xml:space="preserve"> </w:t>
      </w:r>
      <w:r w:rsidR="00252035">
        <w:rPr>
          <w:lang w:val="en-AU" w:eastAsia="en-AU"/>
        </w:rPr>
        <w:t xml:space="preserve">however, </w:t>
      </w:r>
      <w:r>
        <w:t xml:space="preserve">statistically challenging </w:t>
      </w:r>
      <w:r>
        <w:rPr>
          <w:lang w:val="en-AU" w:eastAsia="en-AU"/>
        </w:rPr>
        <w:t>to elucidate.</w:t>
      </w:r>
      <w:r w:rsidRPr="002C0A66">
        <w:t xml:space="preserve"> </w:t>
      </w:r>
      <w:r>
        <w:t xml:space="preserve">Whether the predicted </w:t>
      </w:r>
      <w:r w:rsidRPr="00ED01E3">
        <w:t xml:space="preserve">34 per cent </w:t>
      </w:r>
      <w:r w:rsidRPr="002C0A66">
        <w:rPr>
          <w:lang w:val="en-AU" w:eastAsia="en-AU"/>
        </w:rPr>
        <w:t xml:space="preserve">reduction in total pesticide loads across the </w:t>
      </w:r>
      <w:r>
        <w:rPr>
          <w:lang w:val="en-AU" w:eastAsia="en-AU"/>
        </w:rPr>
        <w:t>Reef catchments is reflected in the nearshore monitoring data is unknown.</w:t>
      </w:r>
    </w:p>
    <w:p w14:paraId="03AA60D9" w14:textId="77777777" w:rsidR="005847EC" w:rsidRDefault="005847EC" w:rsidP="005847EC">
      <w:pPr>
        <w:tabs>
          <w:tab w:val="left" w:pos="10065"/>
        </w:tabs>
        <w:spacing w:line="276" w:lineRule="auto"/>
      </w:pPr>
    </w:p>
    <w:p w14:paraId="3A52171C" w14:textId="4D0E27B8" w:rsidR="005847EC" w:rsidRDefault="005847EC" w:rsidP="005847EC">
      <w:pPr>
        <w:tabs>
          <w:tab w:val="left" w:pos="10065"/>
        </w:tabs>
        <w:spacing w:line="276" w:lineRule="auto"/>
        <w:rPr>
          <w:lang w:val="en-AU" w:eastAsia="en-AU"/>
        </w:rPr>
      </w:pPr>
      <w:r>
        <w:t xml:space="preserve">Given the high inter- and intra-annual climatic and other pressure variability, </w:t>
      </w:r>
      <w:r>
        <w:rPr>
          <w:lang w:val="en-AU" w:eastAsia="en-AU"/>
        </w:rPr>
        <w:t xml:space="preserve">meaningful trend comparisons require long term and complete monitoring data. A particular focus for future years will be on finding new ways to minimise passive sampler losses and/or damage to achieve successful, </w:t>
      </w:r>
      <w:r>
        <w:rPr>
          <w:lang w:val="en-AU" w:eastAsia="en-AU"/>
        </w:rPr>
        <w:lastRenderedPageBreak/>
        <w:t xml:space="preserve">consecutive deployments. Changes to the fixed sampling sites were introduced in 2014-15 following a review of the MMP programs. This means that over half of the current sites have only one or two years of continuous data. Pressures over the last two monitoring years have been relatively stable and longer-term data are required for these sites to understand how changes in pressures affect the observed pesticide concentrations. Temporal concentration data for catchment pesticide discharge to the Reef lagoon should also be considered, where possible, in future reports. This will allow a more direct, temporal comparison between end-of-catchment pesticide data for major flow events and the levels </w:t>
      </w:r>
      <w:r w:rsidR="008C1B5F">
        <w:rPr>
          <w:lang w:val="en-AU" w:eastAsia="en-AU"/>
        </w:rPr>
        <w:t xml:space="preserve">of pesticides </w:t>
      </w:r>
      <w:r>
        <w:rPr>
          <w:lang w:val="en-AU" w:eastAsia="en-AU"/>
        </w:rPr>
        <w:t>reaching fixed monitoring sites.</w:t>
      </w:r>
    </w:p>
    <w:p w14:paraId="7A4D6270" w14:textId="77777777" w:rsidR="005847EC" w:rsidRDefault="005847EC" w:rsidP="005847EC">
      <w:pPr>
        <w:tabs>
          <w:tab w:val="left" w:pos="10065"/>
        </w:tabs>
        <w:spacing w:line="276" w:lineRule="auto"/>
        <w:rPr>
          <w:lang w:val="en-AU" w:eastAsia="en-AU"/>
        </w:rPr>
      </w:pPr>
    </w:p>
    <w:p w14:paraId="05C657A8" w14:textId="72B8F662" w:rsidR="005847EC" w:rsidRDefault="005847EC" w:rsidP="005847EC">
      <w:pPr>
        <w:tabs>
          <w:tab w:val="left" w:pos="10065"/>
        </w:tabs>
        <w:spacing w:line="276" w:lineRule="auto"/>
        <w:rPr>
          <w:lang w:val="en-AU" w:eastAsia="en-AU"/>
        </w:rPr>
      </w:pPr>
      <w:r>
        <w:rPr>
          <w:rFonts w:cs="Arial"/>
          <w:lang w:val="en-AU"/>
        </w:rPr>
        <w:t xml:space="preserve">The current pesticide metric, the PSII-HEq </w:t>
      </w:r>
      <w:r w:rsidR="008C1B5F">
        <w:rPr>
          <w:rFonts w:cs="Arial"/>
          <w:lang w:val="en-AU"/>
        </w:rPr>
        <w:t>I</w:t>
      </w:r>
      <w:r>
        <w:rPr>
          <w:rFonts w:cs="Arial"/>
          <w:lang w:val="en-AU"/>
        </w:rPr>
        <w:t xml:space="preserve">ndex, was identified as a suitable interim risk indicator in the 2013/4 </w:t>
      </w:r>
      <w:r w:rsidR="008C1B5F">
        <w:rPr>
          <w:rFonts w:cs="Arial"/>
          <w:lang w:val="en-AU"/>
        </w:rPr>
        <w:t xml:space="preserve">pesticide MMP </w:t>
      </w:r>
      <w:r>
        <w:rPr>
          <w:rFonts w:cs="Arial"/>
          <w:lang w:val="en-AU"/>
        </w:rPr>
        <w:t xml:space="preserve">review. However, the limitations with this metric are well recognised and ultimately, a pesticide metric that can assess ecological risk to marine Reef organisms from mixtures of pesticides with different modes of action is paramount. The current </w:t>
      </w:r>
      <w:r w:rsidRPr="00DA1014">
        <w:rPr>
          <w:lang w:val="en-AU" w:eastAsia="en-AU"/>
        </w:rPr>
        <w:t>ms-PAF</w:t>
      </w:r>
      <w:r>
        <w:rPr>
          <w:rFonts w:cs="Arial"/>
          <w:lang w:val="en-AU"/>
        </w:rPr>
        <w:t xml:space="preserve"> </w:t>
      </w:r>
      <w:r w:rsidR="00305667">
        <w:rPr>
          <w:rFonts w:cs="Arial"/>
          <w:lang w:val="en-AU"/>
        </w:rPr>
        <w:t xml:space="preserve">CA </w:t>
      </w:r>
      <w:r>
        <w:rPr>
          <w:rFonts w:cs="Arial"/>
          <w:lang w:val="en-AU"/>
        </w:rPr>
        <w:t xml:space="preserve">model is a step towards this goal and </w:t>
      </w:r>
      <w:r>
        <w:rPr>
          <w:lang w:val="en-AU" w:eastAsia="en-AU"/>
        </w:rPr>
        <w:t>w</w:t>
      </w:r>
      <w:r w:rsidRPr="00DA1014">
        <w:rPr>
          <w:lang w:val="en-AU" w:eastAsia="en-AU"/>
        </w:rPr>
        <w:t>hen develop</w:t>
      </w:r>
      <w:r>
        <w:rPr>
          <w:lang w:val="en-AU" w:eastAsia="en-AU"/>
        </w:rPr>
        <w:t>ment of</w:t>
      </w:r>
      <w:r w:rsidRPr="00DA1014">
        <w:rPr>
          <w:lang w:val="en-AU" w:eastAsia="en-AU"/>
        </w:rPr>
        <w:t xml:space="preserve"> the </w:t>
      </w:r>
      <w:r w:rsidR="00305667">
        <w:rPr>
          <w:lang w:val="en-AU" w:eastAsia="en-AU"/>
        </w:rPr>
        <w:t>response addition</w:t>
      </w:r>
      <w:r w:rsidRPr="00DA1014">
        <w:rPr>
          <w:lang w:val="en-AU" w:eastAsia="en-AU"/>
        </w:rPr>
        <w:t xml:space="preserve"> model has been </w:t>
      </w:r>
      <w:r>
        <w:rPr>
          <w:lang w:val="en-AU" w:eastAsia="en-AU"/>
        </w:rPr>
        <w:t xml:space="preserve">completed </w:t>
      </w:r>
      <w:r w:rsidRPr="00DA1014">
        <w:rPr>
          <w:lang w:val="en-AU" w:eastAsia="en-AU"/>
        </w:rPr>
        <w:t xml:space="preserve">by DSITI, this will be a highly valuable and the recommended </w:t>
      </w:r>
      <w:r>
        <w:rPr>
          <w:lang w:val="en-AU" w:eastAsia="en-AU"/>
        </w:rPr>
        <w:t xml:space="preserve">risk assessment </w:t>
      </w:r>
      <w:r w:rsidRPr="00DA1014">
        <w:rPr>
          <w:lang w:val="en-AU" w:eastAsia="en-AU"/>
        </w:rPr>
        <w:t>tool</w:t>
      </w:r>
      <w:r>
        <w:rPr>
          <w:lang w:val="en-AU" w:eastAsia="en-AU"/>
        </w:rPr>
        <w:t xml:space="preserve">. In the meantime, to avoid </w:t>
      </w:r>
      <w:r w:rsidRPr="00DA1014">
        <w:rPr>
          <w:lang w:val="en-AU" w:eastAsia="en-AU"/>
        </w:rPr>
        <w:t xml:space="preserve">retrospective adjustments and </w:t>
      </w:r>
      <w:r w:rsidR="008C1B5F">
        <w:rPr>
          <w:lang w:val="en-AU" w:eastAsia="en-AU"/>
        </w:rPr>
        <w:t xml:space="preserve">maintain </w:t>
      </w:r>
      <w:r>
        <w:rPr>
          <w:lang w:val="en-AU" w:eastAsia="en-AU"/>
        </w:rPr>
        <w:t>consisten</w:t>
      </w:r>
      <w:r w:rsidR="008C1B5F">
        <w:rPr>
          <w:lang w:val="en-AU" w:eastAsia="en-AU"/>
        </w:rPr>
        <w:t>cy in</w:t>
      </w:r>
      <w:r w:rsidRPr="00DA1014">
        <w:rPr>
          <w:lang w:val="en-AU" w:eastAsia="en-AU"/>
        </w:rPr>
        <w:t xml:space="preserve"> </w:t>
      </w:r>
      <w:r w:rsidR="008C1B5F">
        <w:rPr>
          <w:lang w:val="en-AU" w:eastAsia="en-AU"/>
        </w:rPr>
        <w:t xml:space="preserve">MMP pesticide </w:t>
      </w:r>
      <w:r w:rsidRPr="00DA1014">
        <w:rPr>
          <w:lang w:val="en-AU" w:eastAsia="en-AU"/>
        </w:rPr>
        <w:t>risk assessment</w:t>
      </w:r>
      <w:r>
        <w:rPr>
          <w:lang w:val="en-AU" w:eastAsia="en-AU"/>
        </w:rPr>
        <w:t xml:space="preserve">, </w:t>
      </w:r>
      <w:r w:rsidR="008C1B5F">
        <w:rPr>
          <w:lang w:val="en-AU" w:eastAsia="en-AU"/>
        </w:rPr>
        <w:t xml:space="preserve">it is proposed that </w:t>
      </w:r>
      <w:r>
        <w:rPr>
          <w:lang w:val="en-AU" w:eastAsia="en-AU"/>
        </w:rPr>
        <w:t>the PSII-HEq Index continue to be used.</w:t>
      </w:r>
    </w:p>
    <w:p w14:paraId="6028C8AB" w14:textId="77777777" w:rsidR="005847EC" w:rsidRDefault="005847EC" w:rsidP="00991239">
      <w:pPr>
        <w:spacing w:line="276" w:lineRule="auto"/>
      </w:pPr>
    </w:p>
    <w:p w14:paraId="78EB81C9" w14:textId="457584B6" w:rsidR="008F2CDD" w:rsidRDefault="00991239" w:rsidP="00991239">
      <w:pPr>
        <w:spacing w:line="276" w:lineRule="auto"/>
      </w:pPr>
      <w:r>
        <w:t xml:space="preserve">Future directions for monitoring activities under </w:t>
      </w:r>
      <w:r w:rsidR="0089682A">
        <w:t xml:space="preserve">the </w:t>
      </w:r>
      <w:r>
        <w:t>MMP program include</w:t>
      </w:r>
      <w:r w:rsidR="0089682A">
        <w:t>:</w:t>
      </w:r>
      <w:r>
        <w:t xml:space="preserve"> </w:t>
      </w:r>
      <w:r w:rsidR="0089682A">
        <w:t xml:space="preserve">continued </w:t>
      </w:r>
      <w:r>
        <w:t>advances in pesticide monitor</w:t>
      </w:r>
      <w:r w:rsidR="0089682A">
        <w:t>ing</w:t>
      </w:r>
      <w:r>
        <w:t xml:space="preserve"> through new analytical methods and calibration of passive samplers to detect new and emerging pesticides</w:t>
      </w:r>
      <w:r w:rsidR="0089682A">
        <w:t>; th</w:t>
      </w:r>
      <w:r>
        <w:t>e use of s</w:t>
      </w:r>
      <w:r w:rsidRPr="00991239">
        <w:t>tatistical models to elucidate underlying trends</w:t>
      </w:r>
      <w:r>
        <w:t xml:space="preserve"> in pesticide usage, independent of variability in river flow that can also cause spatial and temporal changes in pesticide levels</w:t>
      </w:r>
      <w:r w:rsidR="0033416A">
        <w:t>; and</w:t>
      </w:r>
      <w:r w:rsidR="0089682A">
        <w:t xml:space="preserve"> p</w:t>
      </w:r>
      <w:r>
        <w:t xml:space="preserve">reliminary investigations into a ‘whole-of-system’ approach to predict pesticide exposure using </w:t>
      </w:r>
      <w:r w:rsidR="00F546E9">
        <w:t xml:space="preserve">the </w:t>
      </w:r>
      <w:r>
        <w:t xml:space="preserve">eReefs </w:t>
      </w:r>
      <w:r w:rsidR="00F546E9">
        <w:t>framework</w:t>
      </w:r>
      <w:r>
        <w:t>.</w:t>
      </w:r>
    </w:p>
    <w:p w14:paraId="15720CEA" w14:textId="77777777" w:rsidR="007F45C0" w:rsidRDefault="007F45C0" w:rsidP="00015606">
      <w:pPr>
        <w:spacing w:line="276" w:lineRule="auto"/>
        <w:rPr>
          <w:lang w:val="en-AU" w:eastAsia="en-AU" w:bidi="ar-SA"/>
        </w:rPr>
      </w:pPr>
    </w:p>
    <w:bookmarkEnd w:id="22"/>
    <w:p w14:paraId="15720CEB" w14:textId="77777777" w:rsidR="00F546E9" w:rsidRDefault="00F546E9">
      <w:pPr>
        <w:ind w:firstLine="357"/>
        <w:jc w:val="left"/>
        <w:rPr>
          <w:rFonts w:eastAsia="Times New Roman" w:cs="Arial"/>
          <w:b/>
          <w:kern w:val="28"/>
          <w:sz w:val="36"/>
          <w:szCs w:val="28"/>
          <w:lang w:val="en-AU" w:bidi="ar-SA"/>
        </w:rPr>
      </w:pPr>
      <w:r>
        <w:rPr>
          <w:rFonts w:eastAsia="Times New Roman" w:cs="Arial"/>
          <w:bCs/>
          <w:caps/>
          <w:kern w:val="28"/>
          <w:sz w:val="36"/>
          <w:szCs w:val="28"/>
          <w:lang w:bidi="ar-SA"/>
        </w:rPr>
        <w:br w:type="page"/>
      </w:r>
    </w:p>
    <w:p w14:paraId="15720CEC" w14:textId="77777777" w:rsidR="0059608E" w:rsidRPr="00747824" w:rsidRDefault="00747824" w:rsidP="00991239">
      <w:pPr>
        <w:pStyle w:val="Heading1"/>
        <w:keepNext/>
        <w:numPr>
          <w:ilvl w:val="0"/>
          <w:numId w:val="1"/>
        </w:numPr>
        <w:spacing w:before="120" w:after="480" w:line="240" w:lineRule="auto"/>
        <w:ind w:left="574" w:hanging="574"/>
        <w:jc w:val="both"/>
        <w:rPr>
          <w:rFonts w:eastAsia="Times New Roman" w:cs="Arial"/>
          <w:bCs w:val="0"/>
          <w:caps w:val="0"/>
          <w:kern w:val="28"/>
          <w:sz w:val="36"/>
          <w:szCs w:val="28"/>
          <w:lang w:eastAsia="en-US" w:bidi="ar-SA"/>
        </w:rPr>
      </w:pPr>
      <w:bookmarkStart w:id="23" w:name="_Toc502499984"/>
      <w:r>
        <w:rPr>
          <w:rFonts w:eastAsia="Times New Roman" w:cs="Arial"/>
          <w:bCs w:val="0"/>
          <w:caps w:val="0"/>
          <w:kern w:val="28"/>
          <w:sz w:val="36"/>
          <w:szCs w:val="28"/>
          <w:lang w:eastAsia="en-US" w:bidi="ar-SA"/>
        </w:rPr>
        <w:lastRenderedPageBreak/>
        <w:t>Introduction</w:t>
      </w:r>
      <w:bookmarkEnd w:id="23"/>
    </w:p>
    <w:p w14:paraId="15720CED" w14:textId="3C328942" w:rsidR="002C6000" w:rsidRDefault="0059608E" w:rsidP="00930572">
      <w:pPr>
        <w:spacing w:line="276" w:lineRule="auto"/>
        <w:rPr>
          <w:lang w:val="en-AU"/>
        </w:rPr>
      </w:pPr>
      <w:r>
        <w:rPr>
          <w:lang w:val="en-AU"/>
        </w:rPr>
        <w:t>The World Heritage Great Barrier Reef covers an area of 34</w:t>
      </w:r>
      <w:r w:rsidR="00032228">
        <w:rPr>
          <w:lang w:val="en-AU"/>
        </w:rPr>
        <w:t>8</w:t>
      </w:r>
      <w:r>
        <w:rPr>
          <w:lang w:val="en-AU"/>
        </w:rPr>
        <w:t>,</w:t>
      </w:r>
      <w:r w:rsidR="00032228">
        <w:rPr>
          <w:lang w:val="en-AU"/>
        </w:rPr>
        <w:t>0</w:t>
      </w:r>
      <w:r>
        <w:rPr>
          <w:lang w:val="en-AU"/>
        </w:rPr>
        <w:t>00 km</w:t>
      </w:r>
      <w:r>
        <w:rPr>
          <w:vertAlign w:val="superscript"/>
          <w:lang w:val="en-AU"/>
        </w:rPr>
        <w:t>2</w:t>
      </w:r>
      <w:r w:rsidR="00D11B4B">
        <w:rPr>
          <w:lang w:val="en-AU"/>
        </w:rPr>
        <w:t>,</w:t>
      </w:r>
      <w:r>
        <w:rPr>
          <w:lang w:val="en-AU"/>
        </w:rPr>
        <w:t xml:space="preserve"> </w:t>
      </w:r>
      <w:r w:rsidR="000E58AD" w:rsidRPr="000E58AD">
        <w:rPr>
          <w:lang w:val="en-AU"/>
        </w:rPr>
        <w:t>extending 2,000 kilometres along Queensland's coast</w:t>
      </w:r>
      <w:r w:rsidR="000E58AD">
        <w:rPr>
          <w:lang w:val="en-AU"/>
        </w:rPr>
        <w:t xml:space="preserve"> and </w:t>
      </w:r>
      <w:r w:rsidR="00D11B4B" w:rsidRPr="00D11B4B">
        <w:rPr>
          <w:lang w:val="en-AU"/>
        </w:rPr>
        <w:t>from the low water mark along the mainland coast up to 250 kilometres offshore</w:t>
      </w:r>
      <w:r w:rsidR="00D11B4B">
        <w:rPr>
          <w:lang w:val="en-AU"/>
        </w:rPr>
        <w:t xml:space="preserve"> </w:t>
      </w:r>
      <w:r w:rsidR="00D11B4B">
        <w:rPr>
          <w:lang w:val="en-AU"/>
        </w:rPr>
        <w:fldChar w:fldCharType="begin"/>
      </w:r>
      <w:r w:rsidR="009D4492">
        <w:rPr>
          <w:lang w:val="en-AU"/>
        </w:rPr>
        <w:instrText xml:space="preserve"> ADDIN EN.CITE &lt;EndNote&gt;&lt;Cite&gt;&lt;Author&gt;UNESCO&lt;/Author&gt;&lt;Year&gt;1981&lt;/Year&gt;&lt;RecNum&gt;95&lt;/RecNum&gt;&lt;DisplayText&gt;(UNESCO, 1981)&lt;/DisplayText&gt;&lt;record&gt;&lt;rec-number&gt;95&lt;/rec-number&gt;&lt;foreign-keys&gt;&lt;key app="EN" db-id="vvtrt2pt4xpx5teta99vvtwg50vzve2aexae" timestamp="1513753075"&gt;95&lt;/key&gt;&lt;/foreign-keys&gt;&lt;ref-type name="Web Page"&gt;12&lt;/ref-type&gt;&lt;contributors&gt;&lt;authors&gt;&lt;author&gt;UNESCO&lt;/author&gt;&lt;/authors&gt;&lt;/contributors&gt;&lt;titles&gt;&lt;title&gt;Great Barrier Reef&lt;/title&gt;&lt;/titles&gt;&lt;dates&gt;&lt;year&gt;1981&lt;/year&gt;&lt;/dates&gt;&lt;urls&gt;&lt;related-urls&gt;&lt;url&gt;http://whc.unesco.org/en/list/154&lt;/url&gt;&lt;/related-urls&gt;&lt;/urls&gt;&lt;/record&gt;&lt;/Cite&gt;&lt;/EndNote&gt;</w:instrText>
      </w:r>
      <w:r w:rsidR="00D11B4B">
        <w:rPr>
          <w:lang w:val="en-AU"/>
        </w:rPr>
        <w:fldChar w:fldCharType="separate"/>
      </w:r>
      <w:r w:rsidR="009D4492">
        <w:rPr>
          <w:noProof/>
          <w:lang w:val="en-AU"/>
        </w:rPr>
        <w:t>(UNESCO, 1981)</w:t>
      </w:r>
      <w:r w:rsidR="00D11B4B">
        <w:rPr>
          <w:lang w:val="en-AU"/>
        </w:rPr>
        <w:fldChar w:fldCharType="end"/>
      </w:r>
      <w:r>
        <w:rPr>
          <w:lang w:val="en-AU"/>
        </w:rPr>
        <w:t xml:space="preserve">. </w:t>
      </w:r>
      <w:r w:rsidR="00620D27">
        <w:rPr>
          <w:lang w:val="en-AU"/>
        </w:rPr>
        <w:t>Thirty-five</w:t>
      </w:r>
      <w:r w:rsidR="008F5BBD">
        <w:rPr>
          <w:lang w:val="en-AU"/>
        </w:rPr>
        <w:t xml:space="preserve"> </w:t>
      </w:r>
      <w:r w:rsidR="008F5BBD" w:rsidRPr="008F5BBD">
        <w:rPr>
          <w:lang w:val="en-AU"/>
        </w:rPr>
        <w:t>major rivers</w:t>
      </w:r>
      <w:r w:rsidR="008F5BBD">
        <w:rPr>
          <w:lang w:val="en-AU"/>
        </w:rPr>
        <w:t xml:space="preserve"> within a combined coastal catchment area of</w:t>
      </w:r>
      <w:r w:rsidR="004C0824">
        <w:rPr>
          <w:lang w:val="en-AU"/>
        </w:rPr>
        <w:t xml:space="preserve"> </w:t>
      </w:r>
      <w:r w:rsidR="00B914A5">
        <w:rPr>
          <w:lang w:val="en-AU"/>
        </w:rPr>
        <w:t xml:space="preserve">over </w:t>
      </w:r>
      <w:r w:rsidR="004C0824">
        <w:rPr>
          <w:lang w:val="en-AU"/>
        </w:rPr>
        <w:t>4</w:t>
      </w:r>
      <w:r w:rsidR="00B914A5">
        <w:rPr>
          <w:lang w:val="en-AU"/>
        </w:rPr>
        <w:t>00</w:t>
      </w:r>
      <w:r w:rsidR="004C0824">
        <w:rPr>
          <w:lang w:val="en-AU"/>
        </w:rPr>
        <w:t>,000 km</w:t>
      </w:r>
      <w:r w:rsidR="004C0824" w:rsidRPr="004C0824">
        <w:rPr>
          <w:vertAlign w:val="superscript"/>
          <w:lang w:val="en-AU"/>
        </w:rPr>
        <w:t>2</w:t>
      </w:r>
      <w:r w:rsidR="004C0824">
        <w:rPr>
          <w:lang w:val="en-AU"/>
        </w:rPr>
        <w:t xml:space="preserve"> discharge into the Great Barrier Reef lagoon</w:t>
      </w:r>
      <w:r w:rsidR="00997513">
        <w:rPr>
          <w:lang w:val="en-AU"/>
        </w:rPr>
        <w:t xml:space="preserve"> </w:t>
      </w:r>
      <w:r w:rsidR="00997513">
        <w:rPr>
          <w:lang w:val="en-AU"/>
        </w:rPr>
        <w:fldChar w:fldCharType="begin"/>
      </w:r>
      <w:r w:rsidR="009D4492">
        <w:rPr>
          <w:lang w:val="en-AU"/>
        </w:rPr>
        <w:instrText xml:space="preserve"> ADDIN EN.CITE &lt;EndNote&gt;&lt;Cite&gt;&lt;Author&gt;Brodie&lt;/Author&gt;&lt;Year&gt;2003&lt;/Year&gt;&lt;RecNum&gt;102&lt;/RecNum&gt;&lt;DisplayText&gt;(Brodie et al., 2003)&lt;/DisplayText&gt;&lt;record&gt;&lt;rec-number&gt;102&lt;/rec-number&gt;&lt;foreign-keys&gt;&lt;key app="EN" db-id="vvtrt2pt4xpx5teta99vvtwg50vzve2aexae" timestamp="1513756775"&gt;102&lt;/key&gt;&lt;/foreign-keys&gt;&lt;ref-type name="Report"&gt;27&lt;/ref-type&gt;&lt;contributors&gt;&lt;authors&gt;&lt;author&gt;Brodie, Jon E&lt;/author&gt;&lt;author&gt;McKergow, Lucy A&lt;/author&gt;&lt;author&gt;Prosser, Ian P&lt;/author&gt;&lt;author&gt;Furnas, Miles&lt;/author&gt;&lt;author&gt;Hughes, Andrew O&lt;/author&gt;&lt;author&gt;Hunter, Heather&lt;/author&gt;&lt;/authors&gt;&lt;/contributors&gt;&lt;titles&gt;&lt;title&gt;Sources of sediment and nutrient exports to the Great Barrier Reef World Heritage Area&lt;/title&gt;&lt;secondary-title&gt;Report. Australian Centre for Tropical Freshwater Research, Townsville, Australia.&lt;/secondary-title&gt;&lt;/titles&gt;&lt;dates&gt;&lt;year&gt;2003&lt;/year&gt;&lt;/dates&gt;&lt;urls&gt;&lt;/urls&gt;&lt;/record&gt;&lt;/Cite&gt;&lt;/EndNote&gt;</w:instrText>
      </w:r>
      <w:r w:rsidR="00997513">
        <w:rPr>
          <w:lang w:val="en-AU"/>
        </w:rPr>
        <w:fldChar w:fldCharType="separate"/>
      </w:r>
      <w:r w:rsidR="009D4492">
        <w:rPr>
          <w:noProof/>
          <w:lang w:val="en-AU"/>
        </w:rPr>
        <w:t>(Brodie et al., 2003)</w:t>
      </w:r>
      <w:r w:rsidR="00997513">
        <w:rPr>
          <w:lang w:val="en-AU"/>
        </w:rPr>
        <w:fldChar w:fldCharType="end"/>
      </w:r>
      <w:r w:rsidR="00997513">
        <w:rPr>
          <w:lang w:val="en-AU"/>
        </w:rPr>
        <w:t>.</w:t>
      </w:r>
      <w:r w:rsidR="004C0824">
        <w:rPr>
          <w:lang w:val="en-AU"/>
        </w:rPr>
        <w:t xml:space="preserve"> As</w:t>
      </w:r>
      <w:r>
        <w:rPr>
          <w:lang w:val="en-AU"/>
        </w:rPr>
        <w:t xml:space="preserve"> the largest living structure on Earth, </w:t>
      </w:r>
      <w:r w:rsidR="004C0824">
        <w:rPr>
          <w:lang w:val="en-AU"/>
        </w:rPr>
        <w:t>the Reef</w:t>
      </w:r>
      <w:r>
        <w:rPr>
          <w:lang w:val="en-AU"/>
        </w:rPr>
        <w:t xml:space="preserve"> supports a rich and divers</w:t>
      </w:r>
      <w:r w:rsidR="00272C48">
        <w:rPr>
          <w:lang w:val="en-AU"/>
        </w:rPr>
        <w:t>e ecosystem of marine organisms</w:t>
      </w:r>
      <w:r>
        <w:rPr>
          <w:lang w:val="en-AU"/>
        </w:rPr>
        <w:t xml:space="preserve"> including many endangered species and is recognised as having outstanding universal value</w:t>
      </w:r>
      <w:r w:rsidR="006130D4">
        <w:rPr>
          <w:lang w:val="en-AU"/>
        </w:rPr>
        <w:t xml:space="preserve"> </w:t>
      </w:r>
      <w:r w:rsidR="00C91BF5">
        <w:rPr>
          <w:lang w:val="en-AU"/>
        </w:rPr>
        <w:fldChar w:fldCharType="begin"/>
      </w:r>
      <w:r w:rsidR="009D4492">
        <w:rPr>
          <w:lang w:val="en-AU"/>
        </w:rPr>
        <w:instrText xml:space="preserve"> ADDIN EN.CITE &lt;EndNote&gt;&lt;Cite&gt;&lt;Author&gt;GBRMPA&lt;/Author&gt;&lt;Year&gt;2014&lt;/Year&gt;&lt;RecNum&gt;1&lt;/RecNum&gt;&lt;DisplayText&gt;(UNESCO, 1981, GBRMPA, 2014)&lt;/DisplayText&gt;&lt;record&gt;&lt;rec-number&gt;1&lt;/rec-number&gt;&lt;foreign-keys&gt;&lt;key app="EN" db-id="vvtrt2pt4xpx5teta99vvtwg50vzve2aexae" timestamp="1493157327"&gt;1&lt;/key&gt;&lt;/foreign-keys&gt;&lt;ref-type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Townsville&lt;/pub-location&gt;&lt;urls&gt;&lt;/urls&gt;&lt;/record&gt;&lt;/Cite&gt;&lt;Cite&gt;&lt;Author&gt;UNESCO&lt;/Author&gt;&lt;Year&gt;1981&lt;/Year&gt;&lt;RecNum&gt;95&lt;/RecNum&gt;&lt;record&gt;&lt;rec-number&gt;95&lt;/rec-number&gt;&lt;foreign-keys&gt;&lt;key app="EN" db-id="vvtrt2pt4xpx5teta99vvtwg50vzve2aexae" timestamp="1513753075"&gt;95&lt;/key&gt;&lt;/foreign-keys&gt;&lt;ref-type name="Web Page"&gt;12&lt;/ref-type&gt;&lt;contributors&gt;&lt;authors&gt;&lt;author&gt;UNESCO&lt;/author&gt;&lt;/authors&gt;&lt;/contributors&gt;&lt;titles&gt;&lt;title&gt;Great Barrier Reef&lt;/title&gt;&lt;/titles&gt;&lt;dates&gt;&lt;year&gt;1981&lt;/year&gt;&lt;/dates&gt;&lt;urls&gt;&lt;related-urls&gt;&lt;url&gt;http://whc.unesco.org/en/list/154&lt;/url&gt;&lt;/related-urls&gt;&lt;/urls&gt;&lt;/record&gt;&lt;/Cite&gt;&lt;/EndNote&gt;</w:instrText>
      </w:r>
      <w:r w:rsidR="00C91BF5">
        <w:rPr>
          <w:lang w:val="en-AU"/>
        </w:rPr>
        <w:fldChar w:fldCharType="separate"/>
      </w:r>
      <w:r w:rsidR="009D4492">
        <w:rPr>
          <w:noProof/>
          <w:lang w:val="en-AU"/>
        </w:rPr>
        <w:t>(UNESCO, 1981, GBRMPA, 2014)</w:t>
      </w:r>
      <w:r w:rsidR="00C91BF5">
        <w:rPr>
          <w:lang w:val="en-AU"/>
        </w:rPr>
        <w:fldChar w:fldCharType="end"/>
      </w:r>
      <w:r w:rsidR="002C6000">
        <w:rPr>
          <w:lang w:val="en-AU"/>
        </w:rPr>
        <w:t>.</w:t>
      </w:r>
      <w:r w:rsidR="00EC33B2">
        <w:rPr>
          <w:lang w:val="en-AU"/>
        </w:rPr>
        <w:t xml:space="preserve"> </w:t>
      </w:r>
      <w:r w:rsidR="00620D27">
        <w:rPr>
          <w:lang w:val="en-AU"/>
        </w:rPr>
        <w:t>T</w:t>
      </w:r>
      <w:r w:rsidR="00EC33B2" w:rsidRPr="00EC33B2">
        <w:rPr>
          <w:lang w:val="en-AU"/>
        </w:rPr>
        <w:t>he declining quality of water entering the Reef lagoon as run-off from activities on adjacent catchments has</w:t>
      </w:r>
      <w:r w:rsidR="00620D27">
        <w:rPr>
          <w:lang w:val="en-AU"/>
        </w:rPr>
        <w:t xml:space="preserve">, however, </w:t>
      </w:r>
      <w:r w:rsidR="00EC33B2" w:rsidRPr="00EC33B2">
        <w:rPr>
          <w:lang w:val="en-AU"/>
        </w:rPr>
        <w:t xml:space="preserve">been identified as a key </w:t>
      </w:r>
      <w:r w:rsidR="00EC33B2">
        <w:rPr>
          <w:lang w:val="en-AU"/>
        </w:rPr>
        <w:t>pressure</w:t>
      </w:r>
      <w:r w:rsidR="00EC33B2" w:rsidRPr="00EC33B2">
        <w:rPr>
          <w:lang w:val="en-AU"/>
        </w:rPr>
        <w:t xml:space="preserve"> on </w:t>
      </w:r>
      <w:r w:rsidR="00110FB7">
        <w:rPr>
          <w:lang w:val="en-AU"/>
        </w:rPr>
        <w:t>the Reef’s</w:t>
      </w:r>
      <w:r w:rsidR="00110FB7" w:rsidRPr="00EC33B2">
        <w:rPr>
          <w:lang w:val="en-AU"/>
        </w:rPr>
        <w:t xml:space="preserve"> </w:t>
      </w:r>
      <w:r w:rsidR="00EC33B2" w:rsidRPr="00EC33B2">
        <w:rPr>
          <w:lang w:val="en-AU"/>
        </w:rPr>
        <w:t>long-term health and resilience</w:t>
      </w:r>
      <w:r w:rsidR="00C034BE">
        <w:rPr>
          <w:lang w:val="en-AU"/>
        </w:rPr>
        <w:t xml:space="preserve"> </w:t>
      </w:r>
      <w:r w:rsidR="00C034BE">
        <w:rPr>
          <w:lang w:val="en-AU"/>
        </w:rPr>
        <w:fldChar w:fldCharType="begin"/>
      </w:r>
      <w:r w:rsidR="009D4492">
        <w:rPr>
          <w:lang w:val="en-AU"/>
        </w:rPr>
        <w:instrText xml:space="preserve"> ADDIN EN.CITE &lt;EndNote&gt;&lt;Cite&gt;&lt;Author&gt;Reef Plan&lt;/Author&gt;&lt;Year&gt;2013&lt;/Year&gt;&lt;RecNum&gt;13&lt;/RecNum&gt;&lt;DisplayText&gt;(Reef Plan, 2013)&lt;/DisplayText&gt;&lt;record&gt;&lt;rec-number&gt;13&lt;/rec-number&gt;&lt;foreign-keys&gt;&lt;key app="EN" db-id="vvtrt2pt4xpx5teta99vvtwg50vzve2aexae" timestamp="1493157341"&gt;13&lt;/key&gt;&lt;/foreign-keys&gt;&lt;ref-type name="Report"&gt;27&lt;/ref-type&gt;&lt;contributors&gt;&lt;authors&gt;&lt;author&gt;Reef Plan,&lt;/author&gt;&lt;/authors&gt;&lt;/contributors&gt;&lt;titles&gt;&lt;title&gt;Reef Water Quality Protection Plan 2013: Securing the health and resilience of the Great Barrier Reef World Heritage Area and adjacent catchments&lt;/title&gt;&lt;/titles&gt;&lt;dates&gt;&lt;year&gt;2013&lt;/year&gt;&lt;/dates&gt;&lt;pub-location&gt;Reef Water Quality Protection Plan Secretariat, July 2013. Great Barrier Reef Marine Park Authority, Townsville.&lt;/pub-location&gt;&lt;urls&gt;&lt;/urls&gt;&lt;/record&gt;&lt;/Cite&gt;&lt;/EndNote&gt;</w:instrText>
      </w:r>
      <w:r w:rsidR="00C034BE">
        <w:rPr>
          <w:lang w:val="en-AU"/>
        </w:rPr>
        <w:fldChar w:fldCharType="separate"/>
      </w:r>
      <w:r w:rsidR="009D4492">
        <w:rPr>
          <w:noProof/>
          <w:lang w:val="en-AU"/>
        </w:rPr>
        <w:t>(Reef Plan, 2013)</w:t>
      </w:r>
      <w:r w:rsidR="00C034BE">
        <w:rPr>
          <w:lang w:val="en-AU"/>
        </w:rPr>
        <w:fldChar w:fldCharType="end"/>
      </w:r>
      <w:r w:rsidR="00C034BE">
        <w:rPr>
          <w:lang w:val="en-AU"/>
        </w:rPr>
        <w:t>.</w:t>
      </w:r>
      <w:r w:rsidR="00EC33B2">
        <w:rPr>
          <w:lang w:val="en-AU"/>
        </w:rPr>
        <w:t xml:space="preserve"> </w:t>
      </w:r>
      <w:r w:rsidR="00110FB7">
        <w:rPr>
          <w:rFonts w:cs="Arial"/>
          <w:lang w:val="en-AU"/>
        </w:rPr>
        <w:t>Poor water quality</w:t>
      </w:r>
      <w:r w:rsidR="00110FB7">
        <w:rPr>
          <w:lang w:val="en-AU"/>
        </w:rPr>
        <w:t xml:space="preserve"> </w:t>
      </w:r>
      <w:r w:rsidR="00EC33B2">
        <w:rPr>
          <w:lang w:val="en-AU"/>
        </w:rPr>
        <w:t xml:space="preserve">is one of several </w:t>
      </w:r>
      <w:r w:rsidR="00110FB7">
        <w:rPr>
          <w:lang w:val="en-AU"/>
        </w:rPr>
        <w:t xml:space="preserve">key </w:t>
      </w:r>
      <w:r w:rsidR="004011C4">
        <w:rPr>
          <w:lang w:val="en-AU"/>
        </w:rPr>
        <w:t xml:space="preserve">pressures </w:t>
      </w:r>
      <w:r w:rsidR="00EC33B2">
        <w:rPr>
          <w:lang w:val="en-AU"/>
        </w:rPr>
        <w:t xml:space="preserve">to the </w:t>
      </w:r>
      <w:r w:rsidR="00EC33B2" w:rsidRPr="00EC33B2">
        <w:rPr>
          <w:rFonts w:cs="Arial"/>
          <w:lang w:val="en-AU"/>
        </w:rPr>
        <w:t xml:space="preserve">future </w:t>
      </w:r>
      <w:r w:rsidR="004011C4">
        <w:rPr>
          <w:rFonts w:cs="Arial"/>
          <w:lang w:val="en-AU"/>
        </w:rPr>
        <w:t>resilience</w:t>
      </w:r>
      <w:r w:rsidR="004011C4" w:rsidRPr="00EC33B2">
        <w:rPr>
          <w:rFonts w:cs="Arial"/>
          <w:lang w:val="en-AU"/>
        </w:rPr>
        <w:t xml:space="preserve"> </w:t>
      </w:r>
      <w:r w:rsidR="00EC33B2">
        <w:rPr>
          <w:rFonts w:cs="Arial"/>
          <w:lang w:val="en-AU"/>
        </w:rPr>
        <w:t xml:space="preserve">of the </w:t>
      </w:r>
      <w:r w:rsidR="00EC33B2">
        <w:rPr>
          <w:lang w:val="en-AU"/>
        </w:rPr>
        <w:t>Reef that have been identified, which include c</w:t>
      </w:r>
      <w:r w:rsidR="00EC33B2" w:rsidRPr="00EC33B2">
        <w:rPr>
          <w:rFonts w:cs="Arial"/>
          <w:lang w:val="en-AU"/>
        </w:rPr>
        <w:t xml:space="preserve">limate change, </w:t>
      </w:r>
      <w:r w:rsidR="00110FB7">
        <w:rPr>
          <w:rFonts w:cs="Arial"/>
          <w:lang w:val="en-AU"/>
        </w:rPr>
        <w:t xml:space="preserve">crown of thorns starfish (COTS), </w:t>
      </w:r>
      <w:r w:rsidR="00EC33B2" w:rsidRPr="00EC33B2">
        <w:rPr>
          <w:rFonts w:cs="Arial"/>
          <w:lang w:val="en-AU"/>
        </w:rPr>
        <w:t xml:space="preserve">coastal development, </w:t>
      </w:r>
      <w:r w:rsidR="00D11B4B">
        <w:rPr>
          <w:rFonts w:cs="Arial"/>
          <w:lang w:val="en-AU"/>
        </w:rPr>
        <w:t>shipping</w:t>
      </w:r>
      <w:r w:rsidR="004011C4">
        <w:rPr>
          <w:rFonts w:cs="Arial"/>
          <w:lang w:val="en-AU"/>
        </w:rPr>
        <w:t xml:space="preserve"> </w:t>
      </w:r>
      <w:r w:rsidR="00EC33B2" w:rsidRPr="00EC33B2">
        <w:rPr>
          <w:rFonts w:cs="Arial"/>
          <w:lang w:val="en-AU"/>
        </w:rPr>
        <w:t xml:space="preserve">and </w:t>
      </w:r>
      <w:r w:rsidR="00EC33B2">
        <w:rPr>
          <w:rFonts w:cs="Arial"/>
          <w:lang w:val="en-AU"/>
        </w:rPr>
        <w:t xml:space="preserve">fishing </w:t>
      </w:r>
      <w:r w:rsidR="00C91BF5">
        <w:rPr>
          <w:lang w:val="en-AU"/>
        </w:rPr>
        <w:fldChar w:fldCharType="begin"/>
      </w:r>
      <w:r w:rsidR="009D4492">
        <w:rPr>
          <w:lang w:val="en-AU"/>
        </w:rPr>
        <w:instrText xml:space="preserve"> ADDIN EN.CITE &lt;EndNote&gt;&lt;Cite&gt;&lt;Author&gt;GBRMPA&lt;/Author&gt;&lt;Year&gt;2014&lt;/Year&gt;&lt;RecNum&gt;1&lt;/RecNum&gt;&lt;DisplayText&gt;(GBRMPA, 2014)&lt;/DisplayText&gt;&lt;record&gt;&lt;rec-number&gt;1&lt;/rec-number&gt;&lt;foreign-keys&gt;&lt;key app="EN" db-id="vvtrt2pt4xpx5teta99vvtwg50vzve2aexae" timestamp="1493157327"&gt;1&lt;/key&gt;&lt;/foreign-keys&gt;&lt;ref-type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Townsville&lt;/pub-location&gt;&lt;urls&gt;&lt;/urls&gt;&lt;/record&gt;&lt;/Cite&gt;&lt;/EndNote&gt;</w:instrText>
      </w:r>
      <w:r w:rsidR="00C91BF5">
        <w:rPr>
          <w:lang w:val="en-AU"/>
        </w:rPr>
        <w:fldChar w:fldCharType="separate"/>
      </w:r>
      <w:r w:rsidR="009D4492">
        <w:rPr>
          <w:noProof/>
          <w:lang w:val="en-AU"/>
        </w:rPr>
        <w:t>(GBRMPA, 2014)</w:t>
      </w:r>
      <w:r w:rsidR="00C91BF5">
        <w:rPr>
          <w:lang w:val="en-AU"/>
        </w:rPr>
        <w:fldChar w:fldCharType="end"/>
      </w:r>
      <w:r w:rsidR="00EC33B2">
        <w:rPr>
          <w:lang w:val="en-AU"/>
        </w:rPr>
        <w:t xml:space="preserve">. The </w:t>
      </w:r>
      <w:r w:rsidR="00110FB7">
        <w:rPr>
          <w:lang w:val="en-AU"/>
        </w:rPr>
        <w:t>cumulative</w:t>
      </w:r>
      <w:r w:rsidR="00EC33B2">
        <w:rPr>
          <w:lang w:val="en-AU"/>
        </w:rPr>
        <w:t xml:space="preserve"> impacts </w:t>
      </w:r>
      <w:r w:rsidR="007D29B9">
        <w:rPr>
          <w:lang w:val="en-AU"/>
        </w:rPr>
        <w:t xml:space="preserve">from multiple pressures </w:t>
      </w:r>
      <w:r w:rsidR="00EC33B2">
        <w:rPr>
          <w:lang w:val="en-AU"/>
        </w:rPr>
        <w:t xml:space="preserve">has the potential to </w:t>
      </w:r>
      <w:r w:rsidR="00C53FE6">
        <w:rPr>
          <w:lang w:val="en-AU"/>
        </w:rPr>
        <w:t xml:space="preserve">further </w:t>
      </w:r>
      <w:r w:rsidR="00EC33B2">
        <w:rPr>
          <w:lang w:val="en-AU"/>
        </w:rPr>
        <w:t xml:space="preserve">weaken the Reef’s resilience which </w:t>
      </w:r>
      <w:r w:rsidR="00620D27">
        <w:rPr>
          <w:lang w:val="en-AU"/>
        </w:rPr>
        <w:t xml:space="preserve">may </w:t>
      </w:r>
      <w:r w:rsidR="00EC33B2">
        <w:rPr>
          <w:lang w:val="en-AU"/>
        </w:rPr>
        <w:t xml:space="preserve">affect its ability to recover from major disturbances, such as </w:t>
      </w:r>
      <w:r w:rsidR="00110FB7">
        <w:rPr>
          <w:lang w:val="en-AU"/>
        </w:rPr>
        <w:t xml:space="preserve">cyclones, COTS outbreaks, </w:t>
      </w:r>
      <w:r w:rsidR="004011C4">
        <w:rPr>
          <w:lang w:val="en-AU"/>
        </w:rPr>
        <w:t xml:space="preserve">and </w:t>
      </w:r>
      <w:r w:rsidR="00EC33B2">
        <w:rPr>
          <w:lang w:val="en-AU"/>
        </w:rPr>
        <w:t xml:space="preserve">the increasing number of </w:t>
      </w:r>
      <w:r w:rsidR="007D29B9">
        <w:rPr>
          <w:lang w:val="en-AU"/>
        </w:rPr>
        <w:t xml:space="preserve">significant </w:t>
      </w:r>
      <w:r w:rsidR="00930572">
        <w:rPr>
          <w:lang w:val="en-AU"/>
        </w:rPr>
        <w:t>coral bleaching events</w:t>
      </w:r>
      <w:r w:rsidR="002E1846">
        <w:rPr>
          <w:lang w:val="en-AU"/>
        </w:rPr>
        <w:t xml:space="preserve"> </w:t>
      </w:r>
      <w:r w:rsidR="00C91BF5">
        <w:rPr>
          <w:lang w:val="en-AU"/>
        </w:rPr>
        <w:fldChar w:fldCharType="begin">
          <w:fldData xml:space="preserve">PEVuZE5vdGU+PENpdGU+PEF1dGhvcj5UaG9tcHNvbjwvQXV0aG9yPjxZZWFyPjIwMTA8L1llYXI+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</w:fldData>
        </w:fldChar>
      </w:r>
      <w:r w:rsidR="009D4492">
        <w:rPr>
          <w:lang w:val="en-AU"/>
        </w:rPr>
        <w:instrText xml:space="preserve"> ADDIN EN.CITE </w:instrText>
      </w:r>
      <w:r w:rsidR="009D4492">
        <w:rPr>
          <w:lang w:val="en-AU"/>
        </w:rPr>
        <w:fldChar w:fldCharType="begin">
          <w:fldData xml:space="preserve">PEVuZE5vdGU+PENpdGU+PEF1dGhvcj5UaG9tcHNvbjwvQXV0aG9yPjxZZWFyPjIwMTA8L1llYXI+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</w:fldData>
        </w:fldChar>
      </w:r>
      <w:r w:rsidR="009D4492">
        <w:rPr>
          <w:lang w:val="en-AU"/>
        </w:rPr>
        <w:instrText xml:space="preserve"> ADDIN EN.CITE.DATA </w:instrText>
      </w:r>
      <w:r w:rsidR="009D4492">
        <w:rPr>
          <w:lang w:val="en-AU"/>
        </w:rPr>
      </w:r>
      <w:r w:rsidR="009D4492">
        <w:rPr>
          <w:lang w:val="en-AU"/>
        </w:rPr>
        <w:fldChar w:fldCharType="end"/>
      </w:r>
      <w:r w:rsidR="00C91BF5">
        <w:rPr>
          <w:lang w:val="en-AU"/>
        </w:rPr>
      </w:r>
      <w:r w:rsidR="00C91BF5">
        <w:rPr>
          <w:lang w:val="en-AU"/>
        </w:rPr>
        <w:fldChar w:fldCharType="separate"/>
      </w:r>
      <w:r w:rsidR="009D4492">
        <w:rPr>
          <w:noProof/>
          <w:lang w:val="en-AU"/>
        </w:rPr>
        <w:t>(Thompson and Dolman, 2010, De’ath et al., 2012)</w:t>
      </w:r>
      <w:r w:rsidR="00C91BF5">
        <w:rPr>
          <w:lang w:val="en-AU"/>
        </w:rPr>
        <w:fldChar w:fldCharType="end"/>
      </w:r>
      <w:r w:rsidR="00EC33B2">
        <w:rPr>
          <w:lang w:val="en-AU"/>
        </w:rPr>
        <w:t>.</w:t>
      </w:r>
    </w:p>
    <w:p w14:paraId="15720CEE" w14:textId="77777777" w:rsidR="00930572" w:rsidRDefault="00930572" w:rsidP="00C53FE6">
      <w:pPr>
        <w:spacing w:line="276" w:lineRule="auto"/>
        <w:rPr>
          <w:lang w:val="en-AU"/>
        </w:rPr>
      </w:pPr>
    </w:p>
    <w:p w14:paraId="15720CEF" w14:textId="66DB703C" w:rsidR="00A11EFB" w:rsidRDefault="00A11EFB" w:rsidP="00A11EFB">
      <w:pPr>
        <w:autoSpaceDE w:val="0"/>
        <w:autoSpaceDN w:val="0"/>
        <w:adjustRightInd w:val="0"/>
        <w:spacing w:line="276" w:lineRule="auto"/>
        <w:rPr>
          <w:lang w:val="en-AU"/>
        </w:rPr>
      </w:pPr>
      <w:r>
        <w:rPr>
          <w:rFonts w:cs="Arial"/>
          <w:lang w:val="en-AU"/>
        </w:rPr>
        <w:t>Land</w:t>
      </w:r>
      <w:r w:rsidR="004011C4">
        <w:rPr>
          <w:rFonts w:cs="Arial"/>
          <w:lang w:val="en-AU"/>
        </w:rPr>
        <w:t xml:space="preserve"> </w:t>
      </w:r>
      <w:r>
        <w:rPr>
          <w:rFonts w:cs="Arial"/>
          <w:lang w:val="en-AU"/>
        </w:rPr>
        <w:t>use in the Reef’s discharging catchments varies, being largely undeveloped in the far north</w:t>
      </w:r>
      <w:r w:rsidR="00AB0795">
        <w:rPr>
          <w:rFonts w:cs="Arial"/>
          <w:lang w:val="en-AU"/>
        </w:rPr>
        <w:t>,</w:t>
      </w:r>
      <w:r>
        <w:rPr>
          <w:rFonts w:cs="Arial"/>
          <w:lang w:val="en-AU"/>
        </w:rPr>
        <w:t xml:space="preserve"> with agriculture, mining, shipping and urban development predominant in the central and southern regions. </w:t>
      </w:r>
      <w:r>
        <w:rPr>
          <w:lang w:val="en-AU"/>
        </w:rPr>
        <w:t xml:space="preserve">Approximately 76 per cent of the land is used for agriculture (including </w:t>
      </w:r>
      <w:r>
        <w:rPr>
          <w:rFonts w:cs="Arial"/>
          <w:lang w:val="en-AU"/>
        </w:rPr>
        <w:t xml:space="preserve">sugar cane, beef grazing, horticulture, cropping, pastures and cotton) </w:t>
      </w:r>
      <w:r w:rsidR="00C91BF5">
        <w:rPr>
          <w:rFonts w:cs="Arial"/>
          <w:lang w:val="en-AU"/>
        </w:rPr>
        <w:fldChar w:fldCharType="begin"/>
      </w:r>
      <w:r w:rsidR="009D4492">
        <w:rPr>
          <w:rFonts w:cs="Arial"/>
          <w:lang w:val="en-AU"/>
        </w:rPr>
        <w:instrText xml:space="preserve"> ADDIN EN.CITE &lt;EndNote&gt;&lt;Cite&gt;&lt;Author&gt;Smith&lt;/Author&gt;&lt;Year&gt;2012&lt;/Year&gt;&lt;RecNum&gt;4&lt;/RecNum&gt;&lt;DisplayText&gt;(Smith et al., 2012)&lt;/DisplayText&gt;&lt;record&gt;&lt;rec-number&gt;4&lt;/rec-number&gt;&lt;foreign-keys&gt;&lt;key app="EN" db-id="vvtrt2pt4xpx5teta99vvtwg50vzve2aexae" timestamp="1493157330"&gt;4&lt;/key&gt;&lt;/foreign-keys&gt;&lt;ref-type name="Journal Article"&gt;17&lt;/ref-type&gt;&lt;contributors&gt;&lt;authors&gt;&lt;author&gt;Smith, Rachael&lt;/author&gt;&lt;author&gt;Middlebrook, Rachael&lt;/author&gt;&lt;author&gt;Turner, Ryan&lt;/author&gt;&lt;author&gt;Huggins, Rae&lt;/author&gt;&lt;author&gt;Vardy, Suzanne&lt;/author&gt;&lt;author&gt;Warne, Michael&lt;/author&gt;&lt;/authors&gt;&lt;/contributors&gt;&lt;titles&gt;&lt;title&gt;Large-scale pesticide monitoring across Great Barrier Reef catchments–paddock to reef integrated monitoring, modelling and reporting program&lt;/title&gt;&lt;secondary-title&gt;Marine pollution bulletin&lt;/secondary-title&gt;&lt;/titles&gt;&lt;periodical&gt;&lt;full-title&gt;Marine pollution bulletin&lt;/full-title&gt;&lt;/periodical&gt;&lt;pages&gt;117-127&lt;/pages&gt;&lt;volume&gt;65&lt;/volume&gt;&lt;number&gt;4&lt;/number&gt;&lt;dates&gt;&lt;year&gt;2012&lt;/year&gt;&lt;/dates&gt;&lt;isbn&gt;0025-326X&lt;/isbn&gt;&lt;urls&gt;&lt;/urls&gt;&lt;/record&gt;&lt;/Cite&gt;&lt;/EndNote&gt;</w:instrText>
      </w:r>
      <w:r w:rsidR="00C91BF5">
        <w:rPr>
          <w:rFonts w:cs="Arial"/>
          <w:lang w:val="en-AU"/>
        </w:rPr>
        <w:fldChar w:fldCharType="separate"/>
      </w:r>
      <w:r w:rsidR="009D4492">
        <w:rPr>
          <w:rFonts w:cs="Arial"/>
          <w:noProof/>
          <w:lang w:val="en-AU"/>
        </w:rPr>
        <w:t>(Smith et al., 2012)</w:t>
      </w:r>
      <w:r w:rsidR="00C91BF5">
        <w:rPr>
          <w:rFonts w:cs="Arial"/>
          <w:lang w:val="en-AU"/>
        </w:rPr>
        <w:fldChar w:fldCharType="end"/>
      </w:r>
      <w:r>
        <w:rPr>
          <w:rFonts w:cs="Arial"/>
          <w:lang w:val="en-AU"/>
        </w:rPr>
        <w:t>. The range of land</w:t>
      </w:r>
      <w:r w:rsidR="004011C4">
        <w:rPr>
          <w:rFonts w:cs="Arial"/>
          <w:lang w:val="en-AU"/>
        </w:rPr>
        <w:t xml:space="preserve"> </w:t>
      </w:r>
      <w:r>
        <w:rPr>
          <w:rFonts w:cs="Arial"/>
          <w:lang w:val="en-AU"/>
        </w:rPr>
        <w:t xml:space="preserve">uses in this region results in point and diffuse sources of </w:t>
      </w:r>
      <w:r w:rsidRPr="0052270D">
        <w:rPr>
          <w:rFonts w:cs="Arial"/>
          <w:lang w:val="en-AU"/>
        </w:rPr>
        <w:t xml:space="preserve">nutrients and pesticides </w:t>
      </w:r>
      <w:r>
        <w:rPr>
          <w:rFonts w:cs="Arial"/>
          <w:lang w:val="en-AU"/>
        </w:rPr>
        <w:t xml:space="preserve">from activities such </w:t>
      </w:r>
      <w:r>
        <w:rPr>
          <w:lang w:val="en-AU"/>
        </w:rPr>
        <w:t>as</w:t>
      </w:r>
      <w:r w:rsidRPr="002912CE">
        <w:rPr>
          <w:lang w:val="en-AU"/>
        </w:rPr>
        <w:t xml:space="preserve"> </w:t>
      </w:r>
      <w:r>
        <w:rPr>
          <w:lang w:val="en-AU"/>
        </w:rPr>
        <w:t xml:space="preserve">pest control (i.e. application of pesticides, including </w:t>
      </w:r>
      <w:r w:rsidRPr="00AF7548">
        <w:rPr>
          <w:lang w:val="en-AU"/>
        </w:rPr>
        <w:t>herbicides, insecticides and fungicides</w:t>
      </w:r>
      <w:r>
        <w:rPr>
          <w:lang w:val="en-AU"/>
        </w:rPr>
        <w:t xml:space="preserve">), sewage management, aquaculture, earthworks and fertiliser application. Run-off from these lands </w:t>
      </w:r>
      <w:r>
        <w:rPr>
          <w:rFonts w:cs="Arial"/>
          <w:lang w:val="en-AU"/>
        </w:rPr>
        <w:t xml:space="preserve">contribute to suspended sediments, nutrients and pesticides in rivers and other waterways which </w:t>
      </w:r>
      <w:r w:rsidR="004011C4">
        <w:rPr>
          <w:rFonts w:cs="Arial"/>
          <w:lang w:val="en-AU"/>
        </w:rPr>
        <w:t>are</w:t>
      </w:r>
      <w:r>
        <w:rPr>
          <w:rFonts w:cs="Arial"/>
          <w:lang w:val="en-AU"/>
        </w:rPr>
        <w:t xml:space="preserve"> released to the Reef lagoon during the wet season </w:t>
      </w:r>
      <w:r w:rsidR="00C91BF5">
        <w:rPr>
          <w:rFonts w:cs="Arial"/>
          <w:lang w:val="en-AU"/>
        </w:rPr>
        <w:fldChar w:fldCharType="begin"/>
      </w:r>
      <w:r w:rsidR="009D4492">
        <w:rPr>
          <w:rFonts w:cs="Arial"/>
          <w:lang w:val="en-AU"/>
        </w:rPr>
        <w:instrText xml:space="preserve"> ADDIN EN.CITE &lt;EndNote&gt;&lt;Cite&gt;&lt;Author&gt;Brodie&lt;/Author&gt;&lt;Year&gt;2013&lt;/Year&gt;&lt;RecNum&gt;11&lt;/RecNum&gt;&lt;DisplayText&gt;(Brodie et al., 2013, Waterhouse et al., 2013)&lt;/DisplayText&gt;&lt;record&gt;&lt;rec-number&gt;11&lt;/rec-number&gt;&lt;foreign-keys&gt;&lt;key app="EN" db-id="vvtrt2pt4xpx5teta99vvtwg50vzve2aexae" timestamp="1493157339"&gt;11&lt;/key&gt;&lt;/foreign-keys&gt;&lt;ref-type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Secretariat&lt;/pub-location&gt;&lt;urls&gt;&lt;/urls&gt;&lt;/record&gt;&lt;/Cite&gt;&lt;Cite&gt;&lt;Author&gt;Waterhouse&lt;/Author&gt;&lt;Year&gt;2013&lt;/Year&gt;&lt;RecNum&gt;90&lt;/RecNum&gt;&lt;record&gt;&lt;rec-number&gt;90&lt;/rec-number&gt;&lt;foreign-keys&gt;&lt;key app="EN" db-id="vvtrt2pt4xpx5teta99vvtwg50vzve2aexae" timestamp="1493175490"&gt;90&lt;/key&gt;&lt;/foreign-keys&gt;&lt;ref-type name="Report"&gt;27&lt;/ref-type&gt;&lt;contributors&gt;&lt;authors&gt;&lt;author&gt;Waterhouse, J.&lt;/author&gt;&lt;author&gt;Brodie, J.&lt;/author&gt;&lt;author&gt;Wolanski, E.&lt;/author&gt;&lt;author&gt;Petus, C.&lt;/author&gt;&lt;author&gt;Higham, W.&lt;/author&gt;&lt;author&gt;Armstrong, T.&lt;/author&gt;&lt;/authors&gt;&lt;/contributors&gt;&lt;titles&gt;&lt;title&gt;Hazard assessment of water quality threats to Torres Strait marine waters and ecosystems. Report to the National Environmental Research Program&lt;/title&gt;&lt;/titles&gt;&lt;pages&gt;75 pp&lt;/pages&gt;&lt;dates&gt;&lt;year&gt;2013&lt;/year&gt;&lt;/dates&gt;&lt;publisher&gt;Reef and rainforest Research Centre Limited, Cairns&lt;/publisher&gt;&lt;urls&gt;&lt;/urls&gt;&lt;/record&gt;&lt;/Cite&gt;&lt;/EndNote&gt;</w:instrText>
      </w:r>
      <w:r w:rsidR="00C91BF5">
        <w:rPr>
          <w:rFonts w:cs="Arial"/>
          <w:lang w:val="en-AU"/>
        </w:rPr>
        <w:fldChar w:fldCharType="separate"/>
      </w:r>
      <w:r w:rsidR="009D4492">
        <w:rPr>
          <w:rFonts w:cs="Arial"/>
          <w:noProof/>
          <w:lang w:val="en-AU"/>
        </w:rPr>
        <w:t>(Brodie et al., 2013, Waterhouse et al., 2013)</w:t>
      </w:r>
      <w:r w:rsidR="00C91BF5">
        <w:rPr>
          <w:rFonts w:cs="Arial"/>
          <w:lang w:val="en-AU"/>
        </w:rPr>
        <w:fldChar w:fldCharType="end"/>
      </w:r>
      <w:r>
        <w:rPr>
          <w:lang w:val="en-AU"/>
        </w:rPr>
        <w:t xml:space="preserve">. The magnitude of releases is highly influenced by </w:t>
      </w:r>
      <w:r w:rsidRPr="00161636">
        <w:rPr>
          <w:lang w:val="en-AU"/>
        </w:rPr>
        <w:t>weather conditions</w:t>
      </w:r>
      <w:r w:rsidRPr="004C262D">
        <w:t xml:space="preserve"> </w:t>
      </w:r>
      <w:r>
        <w:rPr>
          <w:lang w:val="en-AU"/>
        </w:rPr>
        <w:t>and m</w:t>
      </w:r>
      <w:r w:rsidRPr="004C262D">
        <w:rPr>
          <w:lang w:val="en-AU"/>
        </w:rPr>
        <w:t>ost run-off is delivered in short-lived flood events during the wet season,</w:t>
      </w:r>
      <w:r>
        <w:rPr>
          <w:lang w:val="en-AU"/>
        </w:rPr>
        <w:t xml:space="preserve"> </w:t>
      </w:r>
      <w:r w:rsidRPr="004C262D">
        <w:rPr>
          <w:lang w:val="en-AU"/>
        </w:rPr>
        <w:t xml:space="preserve">forming </w:t>
      </w:r>
      <w:r>
        <w:rPr>
          <w:lang w:val="en-AU"/>
        </w:rPr>
        <w:t xml:space="preserve">distinct </w:t>
      </w:r>
      <w:r w:rsidRPr="004C262D">
        <w:rPr>
          <w:lang w:val="en-AU"/>
        </w:rPr>
        <w:t>flood plumes that sometimes</w:t>
      </w:r>
      <w:r>
        <w:rPr>
          <w:lang w:val="en-AU"/>
        </w:rPr>
        <w:t xml:space="preserve"> </w:t>
      </w:r>
      <w:r w:rsidR="00620D27">
        <w:rPr>
          <w:lang w:val="en-AU"/>
        </w:rPr>
        <w:t>disperse</w:t>
      </w:r>
      <w:r w:rsidR="00620D27" w:rsidRPr="004C262D">
        <w:rPr>
          <w:lang w:val="en-AU"/>
        </w:rPr>
        <w:t xml:space="preserve"> </w:t>
      </w:r>
      <w:r w:rsidRPr="004C262D">
        <w:rPr>
          <w:lang w:val="en-AU"/>
        </w:rPr>
        <w:t>far into the lagoon</w:t>
      </w:r>
      <w:r>
        <w:rPr>
          <w:lang w:val="en-AU"/>
        </w:rPr>
        <w:t xml:space="preserve"> </w:t>
      </w:r>
      <w:r w:rsidR="00C91BF5">
        <w:rPr>
          <w:lang w:val="en-AU"/>
        </w:rPr>
        <w:fldChar w:fldCharType="begin"/>
      </w:r>
      <w:r w:rsidR="009D4492">
        <w:rPr>
          <w:lang w:val="en-AU"/>
        </w:rPr>
        <w:instrText xml:space="preserve"> ADDIN EN.CITE &lt;EndNote&gt;&lt;Cite&gt;&lt;Author&gt;Devlin&lt;/Author&gt;&lt;Year&gt;2009&lt;/Year&gt;&lt;RecNum&gt;5&lt;/RecNum&gt;&lt;DisplayText&gt;(Devlin and Schaffelke, 2009)&lt;/DisplayText&gt;&lt;record&gt;&lt;rec-number&gt;5&lt;/rec-number&gt;&lt;foreign-keys&gt;&lt;key app="EN" db-id="vvtrt2pt4xpx5teta99vvtwg50vzve2aexae" timestamp="1493157332"&gt;5&lt;/key&gt;&lt;/foreign-keys&gt;&lt;ref-type name="Journal Article"&gt;17&lt;/ref-type&gt;&lt;contributors&gt;&lt;authors&gt;&lt;author&gt;Devlin, M&lt;/author&gt;&lt;author&gt;Schaffelke, B.&lt;/author&gt;&lt;/authors&gt;&lt;/contributors&gt;&lt;titles&gt;&lt;title&gt;Spatial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Research&lt;/full-title&gt;&lt;/periodical&gt;&lt;pages&gt;1109-1122&lt;/pages&gt;&lt;volume&gt;60&lt;/volume&gt;&lt;dates&gt;&lt;year&gt;2009&lt;/year&gt;&lt;/dates&gt;&lt;urls&gt;&lt;/urls&gt;&lt;/record&gt;&lt;/Cite&gt;&lt;/EndNote&gt;</w:instrText>
      </w:r>
      <w:r w:rsidR="00C91BF5">
        <w:rPr>
          <w:lang w:val="en-AU"/>
        </w:rPr>
        <w:fldChar w:fldCharType="separate"/>
      </w:r>
      <w:r w:rsidR="009D4492">
        <w:rPr>
          <w:noProof/>
          <w:lang w:val="en-AU"/>
        </w:rPr>
        <w:t>(Devlin and Schaffelke, 2009)</w:t>
      </w:r>
      <w:r w:rsidR="00C91BF5">
        <w:rPr>
          <w:lang w:val="en-AU"/>
        </w:rPr>
        <w:fldChar w:fldCharType="end"/>
      </w:r>
      <w:r>
        <w:rPr>
          <w:lang w:val="en-AU"/>
        </w:rPr>
        <w:t>.</w:t>
      </w:r>
      <w:r w:rsidRPr="000C78ED">
        <w:rPr>
          <w:lang w:val="en-AU"/>
        </w:rPr>
        <w:t xml:space="preserve"> </w:t>
      </w:r>
    </w:p>
    <w:p w14:paraId="15720CF0" w14:textId="77777777" w:rsidR="00A11EFB" w:rsidRDefault="00A11EFB" w:rsidP="00A11EFB">
      <w:pPr>
        <w:autoSpaceDE w:val="0"/>
        <w:autoSpaceDN w:val="0"/>
        <w:adjustRightInd w:val="0"/>
        <w:spacing w:line="276" w:lineRule="auto"/>
        <w:rPr>
          <w:lang w:val="en-AU"/>
        </w:rPr>
      </w:pPr>
    </w:p>
    <w:p w14:paraId="15720CF1" w14:textId="6BB0EBA3" w:rsidR="00A11EFB" w:rsidRDefault="00A11EFB" w:rsidP="00A11EFB">
      <w:pPr>
        <w:spacing w:line="276" w:lineRule="auto"/>
        <w:rPr>
          <w:lang w:val="en-AU"/>
        </w:rPr>
      </w:pPr>
      <w:r w:rsidRPr="0049156F">
        <w:rPr>
          <w:lang w:val="en-AU"/>
        </w:rPr>
        <w:t>Systematic monitoring</w:t>
      </w:r>
      <w:r>
        <w:rPr>
          <w:lang w:val="en-AU"/>
        </w:rPr>
        <w:t xml:space="preserve"> has identified that pesticide contamination in the rivers, streams and estuaries that drain into the Reef marine environment has been widespread </w:t>
      </w:r>
      <w:r w:rsidR="00C91BF5" w:rsidRPr="0049156F">
        <w:rPr>
          <w:lang w:val="en-AU"/>
        </w:rPr>
        <w:fldChar w:fldCharType="begin"/>
      </w:r>
      <w:r w:rsidR="009D4492">
        <w:rPr>
          <w:lang w:val="en-AU"/>
        </w:rPr>
        <w:instrText xml:space="preserve"> ADDIN EN.CITE &lt;EndNote&gt;&lt;Cite&gt;&lt;Author&gt;Brodie&lt;/Author&gt;&lt;Year&gt;2012&lt;/Year&gt;&lt;RecNum&gt;6&lt;/RecNum&gt;&lt;DisplayText&gt;(Brodie et al., 2012)&lt;/DisplayText&gt;&lt;record&gt;&lt;rec-number&gt;6&lt;/rec-number&gt;&lt;foreign-keys&gt;&lt;key app="EN" db-id="vvtrt2pt4xpx5teta99vvtwg50vzve2aexae" timestamp="1493157333"&gt;6&lt;/key&gt;&lt;/foreign-keys&gt;&lt;ref-type name="Journal Article"&gt;17&lt;/ref-type&gt;&lt;contributors&gt;&lt;authors&gt;&lt;author&gt;Brodie, J. E.&lt;/author&gt;&lt;author&gt;Kroon, F. J.&lt;/author&gt;&lt;author&gt;Schaffelke, B.&lt;/author&gt;&lt;author&gt;Wolanski, E. C.&lt;/author&gt;&lt;author&gt;Lewis, S. E.&lt;/author&gt;&lt;author&gt;Devlin, M. J.&lt;/author&gt;&lt;author&gt;Bohnet, I. C.&lt;/author&gt;&lt;author&gt;Bainbridge, Z. T.&lt;/author&gt;&lt;author&gt;Waterhouse, J.&lt;/author&gt;&lt;author&gt;Davis, A. M.&lt;/author&gt;&lt;/authors&gt;&lt;/contributors&gt;&lt;titles&gt;&lt;title&gt;Terrestrial pollutant runoff to the Great Barrier Reef: An update of issues, priorities and management responses&lt;/title&gt;&lt;secondary-title&gt;Marine Pollution Bulletin&lt;/secondary-title&gt;&lt;/titles&gt;&lt;periodical&gt;&lt;full-title&gt;Marine pollution bulletin&lt;/full-title&gt;&lt;/periodical&gt;&lt;pages&gt;81-100&lt;/pages&gt;&lt;volume&gt;65&lt;/volume&gt;&lt;number&gt;4–9&lt;/number&gt;&lt;keywords&gt;&lt;keyword&gt;Catchment management&lt;/keyword&gt;&lt;keyword&gt;Water quality&lt;/keyword&gt;&lt;keyword&gt;Land-derived pollution&lt;/keyword&gt;&lt;keyword&gt;Sediments&lt;/keyword&gt;&lt;keyword&gt;Nutrients&lt;/keyword&gt;&lt;keyword&gt;Pesticides&lt;/keyword&gt;&lt;/keywords&gt;&lt;dates&gt;&lt;year&gt;2012&lt;/year&gt;&lt;pub-dates&gt;&lt;date&gt;//&lt;/date&gt;&lt;/pub-dates&gt;&lt;/dates&gt;&lt;isbn&gt;0025-326X&lt;/isbn&gt;&lt;urls&gt;&lt;related-urls&gt;&lt;url&gt;//www.sciencedirect.com/science/article/pii/S0025326X11006503&lt;/url&gt;&lt;/related-urls&gt;&lt;/urls&gt;&lt;electronic-resource-num&gt;http://dx.doi.org/10.1016/j.marpolbul.2011.12.012&lt;/electronic-resource-num&gt;&lt;/record&gt;&lt;/Cite&gt;&lt;/EndNote&gt;</w:instrText>
      </w:r>
      <w:r w:rsidR="00C91BF5" w:rsidRPr="0049156F">
        <w:rPr>
          <w:lang w:val="en-AU"/>
        </w:rPr>
        <w:fldChar w:fldCharType="separate"/>
      </w:r>
      <w:r w:rsidR="009D4492">
        <w:rPr>
          <w:noProof/>
          <w:lang w:val="en-AU"/>
        </w:rPr>
        <w:t>(Brodie et al., 2012)</w:t>
      </w:r>
      <w:r w:rsidR="00C91BF5" w:rsidRPr="0049156F">
        <w:rPr>
          <w:lang w:val="en-AU"/>
        </w:rPr>
        <w:fldChar w:fldCharType="end"/>
      </w:r>
      <w:r w:rsidRPr="0049156F">
        <w:rPr>
          <w:lang w:val="en-AU"/>
        </w:rPr>
        <w:t xml:space="preserve">, with the highest </w:t>
      </w:r>
      <w:r>
        <w:rPr>
          <w:lang w:val="en-AU"/>
        </w:rPr>
        <w:t>levels</w:t>
      </w:r>
      <w:r w:rsidRPr="0049156F">
        <w:rPr>
          <w:lang w:val="en-AU"/>
        </w:rPr>
        <w:t xml:space="preserve"> around Mackay</w:t>
      </w:r>
      <w:r w:rsidR="004011C4">
        <w:rPr>
          <w:lang w:val="en-AU"/>
        </w:rPr>
        <w:t xml:space="preserve"> </w:t>
      </w:r>
      <w:r w:rsidR="00BB2F58">
        <w:rPr>
          <w:lang w:val="en-AU"/>
        </w:rPr>
        <w:fldChar w:fldCharType="begin"/>
      </w:r>
      <w:r w:rsidR="009D4492">
        <w:rPr>
          <w:lang w:val="en-AU"/>
        </w:rPr>
        <w:instrText xml:space="preserve"> ADDIN EN.CITE &lt;EndNote&gt;&lt;Cite&gt;&lt;Author&gt;Brodie&lt;/Author&gt;&lt;Year&gt;2013&lt;/Year&gt;&lt;RecNum&gt;11&lt;/RecNum&gt;&lt;DisplayText&gt;(Brodie et al., 2013)&lt;/DisplayText&gt;&lt;record&gt;&lt;rec-number&gt;11&lt;/rec-number&gt;&lt;foreign-keys&gt;&lt;key app="EN" db-id="vvtrt2pt4xpx5teta99vvtwg50vzve2aexae" timestamp="1493157339"&gt;11&lt;/key&gt;&lt;/foreign-keys&gt;&lt;ref-type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sidR="00BB2F58">
        <w:rPr>
          <w:lang w:val="en-AU"/>
        </w:rPr>
        <w:fldChar w:fldCharType="separate"/>
      </w:r>
      <w:r w:rsidR="009D4492">
        <w:rPr>
          <w:noProof/>
          <w:lang w:val="en-AU"/>
        </w:rPr>
        <w:t>(Brodie et al., 2013)</w:t>
      </w:r>
      <w:r w:rsidR="00BB2F58">
        <w:rPr>
          <w:lang w:val="en-AU"/>
        </w:rPr>
        <w:fldChar w:fldCharType="end"/>
      </w:r>
      <w:r>
        <w:rPr>
          <w:lang w:val="en-AU"/>
        </w:rPr>
        <w:t xml:space="preserve">. In some </w:t>
      </w:r>
      <w:r w:rsidR="00A1098A">
        <w:rPr>
          <w:lang w:val="en-AU"/>
        </w:rPr>
        <w:t>cases,</w:t>
      </w:r>
      <w:r>
        <w:rPr>
          <w:lang w:val="en-AU"/>
        </w:rPr>
        <w:t xml:space="preserve"> pesticide concentrations have been </w:t>
      </w:r>
      <w:r w:rsidRPr="0049156F">
        <w:rPr>
          <w:lang w:val="en-AU"/>
        </w:rPr>
        <w:t>elevated above Australian and New Zealand</w:t>
      </w:r>
      <w:r>
        <w:rPr>
          <w:lang w:val="en-AU"/>
        </w:rPr>
        <w:t xml:space="preserve"> Water Quality Guideline</w:t>
      </w:r>
      <w:r w:rsidRPr="00AF7548">
        <w:rPr>
          <w:lang w:val="en-AU"/>
        </w:rPr>
        <w:t xml:space="preserve"> </w:t>
      </w:r>
      <w:r w:rsidR="004011C4">
        <w:rPr>
          <w:lang w:val="en-AU"/>
        </w:rPr>
        <w:t xml:space="preserve">(2000) trigger values </w:t>
      </w:r>
      <w:r>
        <w:rPr>
          <w:lang w:val="en-AU"/>
        </w:rPr>
        <w:t xml:space="preserve">in catchments adjacent to intensive agricultural activity </w:t>
      </w:r>
      <w:r w:rsidR="00C91BF5">
        <w:rPr>
          <w:lang w:val="en-AU"/>
        </w:rPr>
        <w:fldChar w:fldCharType="begin">
          <w:fldData xml:space="preserve">PEVuZE5vdGU+PENpdGU+PEF1dGhvcj5P4oCZQnJpZW48L0F1dGhvcj48WWVhcj4yMDE2PC9ZZWFy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</w:fldData>
        </w:fldChar>
      </w:r>
      <w:r w:rsidR="009D4492">
        <w:rPr>
          <w:lang w:val="en-AU"/>
        </w:rPr>
        <w:instrText xml:space="preserve"> ADDIN EN.CITE </w:instrText>
      </w:r>
      <w:r w:rsidR="009D4492">
        <w:rPr>
          <w:lang w:val="en-AU"/>
        </w:rPr>
        <w:fldChar w:fldCharType="begin">
          <w:fldData xml:space="preserve">PEVuZE5vdGU+PENpdGU+PEF1dGhvcj5P4oCZQnJpZW48L0F1dGhvcj48WWVhcj4yMDE2PC9ZZWFy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</w:fldData>
        </w:fldChar>
      </w:r>
      <w:r w:rsidR="009D4492">
        <w:rPr>
          <w:lang w:val="en-AU"/>
        </w:rPr>
        <w:instrText xml:space="preserve"> ADDIN EN.CITE.DATA </w:instrText>
      </w:r>
      <w:r w:rsidR="009D4492">
        <w:rPr>
          <w:lang w:val="en-AU"/>
        </w:rPr>
      </w:r>
      <w:r w:rsidR="009D4492">
        <w:rPr>
          <w:lang w:val="en-AU"/>
        </w:rPr>
        <w:fldChar w:fldCharType="end"/>
      </w:r>
      <w:r w:rsidR="00C91BF5">
        <w:rPr>
          <w:lang w:val="en-AU"/>
        </w:rPr>
      </w:r>
      <w:r w:rsidR="00C91BF5">
        <w:rPr>
          <w:lang w:val="en-AU"/>
        </w:rPr>
        <w:fldChar w:fldCharType="separate"/>
      </w:r>
      <w:r w:rsidR="009D4492">
        <w:rPr>
          <w:noProof/>
          <w:lang w:val="en-AU"/>
        </w:rPr>
        <w:t>(Smith et al., 2012, DSITI, 2015, O’Brien et al., 2016)</w:t>
      </w:r>
      <w:r w:rsidR="00C91BF5">
        <w:rPr>
          <w:lang w:val="en-AU"/>
        </w:rPr>
        <w:fldChar w:fldCharType="end"/>
      </w:r>
      <w:r>
        <w:rPr>
          <w:lang w:val="en-AU"/>
        </w:rPr>
        <w:t xml:space="preserve">. Modelling estimates in 2013 suggested that over 12 tons of pesticides may be introduced into the Reef annually </w:t>
      </w:r>
      <w:r w:rsidR="00C91BF5">
        <w:rPr>
          <w:lang w:val="en-AU"/>
        </w:rPr>
        <w:fldChar w:fldCharType="begin"/>
      </w:r>
      <w:r w:rsidR="009D4492">
        <w:rPr>
          <w:lang w:val="en-AU"/>
        </w:rPr>
        <w:instrText xml:space="preserve"> ADDIN EN.CITE &lt;EndNote&gt;&lt;Cite&gt;&lt;Author&gt;Waters&lt;/Author&gt;&lt;Year&gt;2014&lt;/Year&gt;&lt;RecNum&gt;9&lt;/RecNum&gt;&lt;DisplayText&gt;(Waters et al., 2014)&lt;/DisplayText&gt;&lt;record&gt;&lt;rec-number&gt;9&lt;/rec-number&gt;&lt;foreign-keys&gt;&lt;key app="EN" db-id="vvtrt2pt4xpx5teta99vvtwg50vzve2aexae" timestamp="1493157337"&gt;9&lt;/key&gt;&lt;/foreign-keys&gt;&lt;ref-type name="Report"&gt;27&lt;/ref-type&gt;&lt;contributors&gt;&lt;authors&gt;&lt;author&gt;Waters, D.K.&lt;/author&gt;&lt;author&gt;Carroll, C.&lt;/author&gt;&lt;author&gt;Ellis, R.&lt;/author&gt;&lt;author&gt;Hateley, L.&lt;/author&gt;&lt;author&gt;McCloskey, J.&lt;/author&gt;&lt;author&gt;Packett, R.&lt;/author&gt;&lt;author&gt;Dougall, C.&lt;/author&gt;&lt;author&gt;Fentie, B.&lt;/author&gt;&lt;/authors&gt;&lt;/contributors&gt;&lt;titles&gt;&lt;title&gt;Modelling reductions of pollutant loads due to improved management practices in the Great Barrier Reef catchments: Whole GBR, Volume 1&lt;/title&gt;&lt;/titles&gt;&lt;dates&gt;&lt;year&gt;2014&lt;/year&gt;&lt;/dates&gt;&lt;pub-location&gt;Department of Natural Resources and Mines, Brisbane&lt;/pub-location&gt;&lt;urls&gt;&lt;/urls&gt;&lt;/record&gt;&lt;/Cite&gt;&lt;/EndNote&gt;</w:instrText>
      </w:r>
      <w:r w:rsidR="00C91BF5">
        <w:rPr>
          <w:lang w:val="en-AU"/>
        </w:rPr>
        <w:fldChar w:fldCharType="separate"/>
      </w:r>
      <w:r w:rsidR="009D4492">
        <w:rPr>
          <w:noProof/>
          <w:lang w:val="en-AU"/>
        </w:rPr>
        <w:t>(Waters et al., 2014)</w:t>
      </w:r>
      <w:r w:rsidR="00C91BF5">
        <w:rPr>
          <w:lang w:val="en-AU"/>
        </w:rPr>
        <w:fldChar w:fldCharType="end"/>
      </w:r>
      <w:r>
        <w:rPr>
          <w:lang w:val="en-AU"/>
        </w:rPr>
        <w:t xml:space="preserve"> which can be distributed through the marine environment in </w:t>
      </w:r>
      <w:r w:rsidR="00A04B2C">
        <w:rPr>
          <w:lang w:val="en-AU"/>
        </w:rPr>
        <w:t xml:space="preserve">the </w:t>
      </w:r>
      <w:r>
        <w:rPr>
          <w:lang w:val="en-AU"/>
        </w:rPr>
        <w:t xml:space="preserve">flood plumes </w:t>
      </w:r>
      <w:r w:rsidR="00C91BF5">
        <w:rPr>
          <w:lang w:val="en-AU"/>
        </w:rPr>
        <w:fldChar w:fldCharType="begin"/>
      </w:r>
      <w:r w:rsidR="009D4492">
        <w:rPr>
          <w:lang w:val="en-AU"/>
        </w:rPr>
        <w:instrText xml:space="preserve"> ADDIN EN.CITE &lt;EndNote&gt;&lt;Cite&gt;&lt;Author&gt;Devlin&lt;/Author&gt;&lt;Year&gt;2009&lt;/Year&gt;&lt;RecNum&gt;5&lt;/RecNum&gt;&lt;DisplayText&gt;(Devlin and Schaffelke, 2009)&lt;/DisplayText&gt;&lt;record&gt;&lt;rec-number&gt;5&lt;/rec-number&gt;&lt;foreign-keys&gt;&lt;key app="EN" db-id="vvtrt2pt4xpx5teta99vvtwg50vzve2aexae" timestamp="1493157332"&gt;5&lt;/key&gt;&lt;/foreign-keys&gt;&lt;ref-type name="Journal Article"&gt;17&lt;/ref-type&gt;&lt;contributors&gt;&lt;authors&gt;&lt;author&gt;Devlin, M&lt;/author&gt;&lt;author&gt;Schaffelke, B.&lt;/author&gt;&lt;/authors&gt;&lt;/contributors&gt;&lt;titles&gt;&lt;title&gt;Spatial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Research&lt;/full-title&gt;&lt;/periodical&gt;&lt;pages&gt;1109-1122&lt;/pages&gt;&lt;volume&gt;60&lt;/volume&gt;&lt;dates&gt;&lt;year&gt;2009&lt;/year&gt;&lt;/dates&gt;&lt;urls&gt;&lt;/urls&gt;&lt;/record&gt;&lt;/Cite&gt;&lt;/EndNote&gt;</w:instrText>
      </w:r>
      <w:r w:rsidR="00C91BF5">
        <w:rPr>
          <w:lang w:val="en-AU"/>
        </w:rPr>
        <w:fldChar w:fldCharType="separate"/>
      </w:r>
      <w:r w:rsidR="009D4492">
        <w:rPr>
          <w:noProof/>
          <w:lang w:val="en-AU"/>
        </w:rPr>
        <w:t>(Devlin and Schaffelke, 2009)</w:t>
      </w:r>
      <w:r w:rsidR="00C91BF5">
        <w:rPr>
          <w:lang w:val="en-AU"/>
        </w:rPr>
        <w:fldChar w:fldCharType="end"/>
      </w:r>
      <w:r>
        <w:rPr>
          <w:lang w:val="en-AU"/>
        </w:rPr>
        <w:t>. Overall</w:t>
      </w:r>
      <w:r w:rsidR="004011C4">
        <w:rPr>
          <w:lang w:val="en-AU"/>
        </w:rPr>
        <w:t>,</w:t>
      </w:r>
      <w:r>
        <w:rPr>
          <w:lang w:val="en-AU"/>
        </w:rPr>
        <w:t xml:space="preserve"> concentrations of pesticides in the marine environment compared to rivers are generally low </w:t>
      </w:r>
      <w:r w:rsidR="00C91BF5">
        <w:rPr>
          <w:lang w:val="en-AU"/>
        </w:rPr>
        <w:fldChar w:fldCharType="begin"/>
      </w:r>
      <w:r w:rsidR="009D4492">
        <w:rPr>
          <w:lang w:val="en-AU"/>
        </w:rPr>
        <w:instrText xml:space="preserve"> ADDIN EN.CITE &lt;EndNote&gt;&lt;Cite&gt;&lt;Author&gt;Devlin&lt;/Author&gt;&lt;Year&gt;2015&lt;/Year&gt;&lt;RecNum&gt;10&lt;/RecNum&gt;&lt;DisplayText&gt;(Devlin et al., 2015)&lt;/DisplayText&gt;&lt;record&gt;&lt;rec-number&gt;10&lt;/rec-number&gt;&lt;foreign-keys&gt;&lt;key app="EN" db-id="vvtrt2pt4xpx5teta99vvtwg50vzve2aexae" timestamp="1493157338"&gt;10&lt;/key&gt;&lt;/foreign-keys&gt;&lt;ref-type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00C91BF5">
        <w:rPr>
          <w:lang w:val="en-AU"/>
        </w:rPr>
        <w:fldChar w:fldCharType="separate"/>
      </w:r>
      <w:r w:rsidR="009D4492">
        <w:rPr>
          <w:noProof/>
          <w:lang w:val="en-AU"/>
        </w:rPr>
        <w:t>(Devlin et al., 2015)</w:t>
      </w:r>
      <w:r w:rsidR="00C91BF5">
        <w:rPr>
          <w:lang w:val="en-AU"/>
        </w:rPr>
        <w:fldChar w:fldCharType="end"/>
      </w:r>
      <w:r>
        <w:rPr>
          <w:lang w:val="en-AU"/>
        </w:rPr>
        <w:t>, due to processes such as dilution and degradation</w:t>
      </w:r>
      <w:r w:rsidR="00D11B4B">
        <w:rPr>
          <w:lang w:val="en-AU"/>
        </w:rPr>
        <w:t xml:space="preserve"> </w:t>
      </w:r>
      <w:r w:rsidR="00C034BE">
        <w:rPr>
          <w:lang w:val="en-AU"/>
        </w:rPr>
        <w:fldChar w:fldCharType="begin"/>
      </w:r>
      <w:r w:rsidR="009D4492">
        <w:rPr>
          <w:lang w:val="en-AU"/>
        </w:rPr>
        <w:instrText xml:space="preserve"> ADDIN EN.CITE &lt;EndNote&gt;&lt;Cite&gt;&lt;Author&gt;Lewis&lt;/Author&gt;&lt;Year&gt;2009&lt;/Year&gt;&lt;RecNum&gt;96&lt;/RecNum&gt;&lt;DisplayText&gt;(Lewis et al., 2009)&lt;/DisplayText&gt;&lt;record&gt;&lt;rec-number&gt;96&lt;/rec-number&gt;&lt;foreign-keys&gt;&lt;key app="EN" db-id="vvtrt2pt4xpx5teta99vvtwg50vzve2aexae" timestamp="1513753518"&gt;96&lt;/key&gt;&lt;/foreign-keys&gt;&lt;ref-type name="Journal Article"&gt;17&lt;/ref-type&gt;&lt;contributors&gt;&lt;authors&gt;&lt;author&gt;Lewis, Stephen E&lt;/author&gt;&lt;author&gt;Brodie, Jon E&lt;/author&gt;&lt;author&gt;Bainbridge, Zoë T&lt;/author&gt;&lt;author&gt;Rohde, Ken W&lt;/author&gt;&lt;author&gt;Davis, Aaron M&lt;/author&gt;&lt;author&gt;Masters, Bronwyn L&lt;/author&gt;&lt;author&gt;Maughan, Mirjam&lt;/author&gt;&lt;author&gt;Devlin, Michelle J&lt;/author&gt;&lt;author&gt;Mueller, Jochen F&lt;/author&gt;&lt;author&gt;Schaffelke, Britta&lt;/author&gt;&lt;/authors&gt;&lt;/contributors&gt;&lt;titles&gt;&lt;title&gt;Herbicides: a new threat to the Great Barrier Reef&lt;/title&gt;&lt;secondary-title&gt;Environmental Pollution&lt;/secondary-title&gt;&lt;/titles&gt;&lt;periodical&gt;&lt;full-title&gt;Environmental Pollution&lt;/full-title&gt;&lt;/periodical&gt;&lt;pages&gt;2470-2484&lt;/pages&gt;&lt;volume&gt;157&lt;/volume&gt;&lt;number&gt;8&lt;/number&gt;&lt;dates&gt;&lt;year&gt;2009&lt;/year&gt;&lt;/dates&gt;&lt;isbn&gt;0269-7491&lt;/isbn&gt;&lt;urls&gt;&lt;/urls&gt;&lt;/record&gt;&lt;/Cite&gt;&lt;/EndNote&gt;</w:instrText>
      </w:r>
      <w:r w:rsidR="00C034BE">
        <w:rPr>
          <w:lang w:val="en-AU"/>
        </w:rPr>
        <w:fldChar w:fldCharType="separate"/>
      </w:r>
      <w:r w:rsidR="009D4492">
        <w:rPr>
          <w:noProof/>
          <w:lang w:val="en-AU"/>
        </w:rPr>
        <w:t>(Lewis et al., 2009)</w:t>
      </w:r>
      <w:r w:rsidR="00C034BE">
        <w:rPr>
          <w:lang w:val="en-AU"/>
        </w:rPr>
        <w:fldChar w:fldCharType="end"/>
      </w:r>
      <w:r w:rsidR="00D11B4B">
        <w:rPr>
          <w:lang w:val="en-AU"/>
        </w:rPr>
        <w:t>.</w:t>
      </w:r>
      <w:r>
        <w:rPr>
          <w:lang w:val="en-AU"/>
        </w:rPr>
        <w:t xml:space="preserve"> However, the chronic effects of low level pesticide exposure to corals and seagrass, especially in combination with other local and global pressures, remain poorly understood on the Reef </w:t>
      </w:r>
      <w:r w:rsidR="00C91BF5">
        <w:rPr>
          <w:lang w:val="en-AU"/>
        </w:rPr>
        <w:fldChar w:fldCharType="begin"/>
      </w:r>
      <w:r w:rsidR="009D4492">
        <w:rPr>
          <w:lang w:val="en-AU"/>
        </w:rPr>
        <w:instrText xml:space="preserve"> ADDIN EN.CITE &lt;EndNote&gt;&lt;Cite&gt;&lt;Author&gt;Brodie&lt;/Author&gt;&lt;Year&gt;2013&lt;/Year&gt;&lt;RecNum&gt;11&lt;/RecNum&gt;&lt;DisplayText&gt;(Brodie et al., 2013)&lt;/DisplayText&gt;&lt;record&gt;&lt;rec-number&gt;11&lt;/rec-number&gt;&lt;foreign-keys&gt;&lt;key app="EN" db-id="vvtrt2pt4xpx5teta99vvtwg50vzve2aexae" timestamp="1493157339"&gt;11&lt;/key&gt;&lt;/foreign-keys&gt;&lt;ref-type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sidR="00C91BF5">
        <w:rPr>
          <w:lang w:val="en-AU"/>
        </w:rPr>
        <w:fldChar w:fldCharType="separate"/>
      </w:r>
      <w:r w:rsidR="009D4492">
        <w:rPr>
          <w:noProof/>
          <w:lang w:val="en-AU"/>
        </w:rPr>
        <w:t>(Brodie et al., 2013)</w:t>
      </w:r>
      <w:r w:rsidR="00C91BF5">
        <w:rPr>
          <w:lang w:val="en-AU"/>
        </w:rPr>
        <w:fldChar w:fldCharType="end"/>
      </w:r>
      <w:r>
        <w:rPr>
          <w:lang w:val="en-AU"/>
        </w:rPr>
        <w:t>.</w:t>
      </w:r>
    </w:p>
    <w:p w14:paraId="15720CF2" w14:textId="77777777" w:rsidR="00A11EFB" w:rsidRDefault="00A11EFB" w:rsidP="00A11EFB">
      <w:pPr>
        <w:spacing w:line="276" w:lineRule="auto"/>
        <w:rPr>
          <w:lang w:val="en-AU"/>
        </w:rPr>
      </w:pPr>
    </w:p>
    <w:p w14:paraId="15720CF3" w14:textId="352EA4BC" w:rsidR="000F6FCD" w:rsidRDefault="000F6FCD" w:rsidP="000F6FCD">
      <w:pPr>
        <w:spacing w:line="276" w:lineRule="auto"/>
        <w:rPr>
          <w:lang w:val="en-AU"/>
        </w:rPr>
      </w:pPr>
      <w:r>
        <w:rPr>
          <w:lang w:val="en-AU"/>
        </w:rPr>
        <w:t xml:space="preserve">In response to concerns about the impact of land-based run-off on water quality, </w:t>
      </w:r>
      <w:r w:rsidRPr="00E707D8">
        <w:rPr>
          <w:lang w:val="en-AU"/>
        </w:rPr>
        <w:t>the 2003</w:t>
      </w:r>
      <w:r>
        <w:rPr>
          <w:lang w:val="en-AU"/>
        </w:rPr>
        <w:t xml:space="preserve"> </w:t>
      </w:r>
      <w:r w:rsidRPr="00E707D8">
        <w:rPr>
          <w:lang w:val="en-AU"/>
        </w:rPr>
        <w:t>Reef Water Quality Protection Plan (</w:t>
      </w:r>
      <w:r w:rsidR="001C2EBB">
        <w:rPr>
          <w:lang w:val="en-AU"/>
        </w:rPr>
        <w:t>Reef Plan)</w:t>
      </w:r>
      <w:r w:rsidRPr="00814B46">
        <w:rPr>
          <w:lang w:val="en-AU"/>
        </w:rPr>
        <w:t xml:space="preserve"> </w:t>
      </w:r>
      <w:r w:rsidRPr="00E707D8">
        <w:rPr>
          <w:lang w:val="en-AU"/>
        </w:rPr>
        <w:t>was implemented</w:t>
      </w:r>
      <w:r>
        <w:rPr>
          <w:lang w:val="en-AU"/>
        </w:rPr>
        <w:t xml:space="preserve"> by the Australian and Queensland </w:t>
      </w:r>
      <w:r w:rsidR="001C2EBB">
        <w:rPr>
          <w:lang w:val="en-AU"/>
        </w:rPr>
        <w:t xml:space="preserve">governments </w:t>
      </w:r>
      <w:r w:rsidR="00C034BE">
        <w:rPr>
          <w:lang w:val="en-AU"/>
        </w:rPr>
        <w:fldChar w:fldCharType="begin"/>
      </w:r>
      <w:r w:rsidR="009D4492">
        <w:rPr>
          <w:lang w:val="en-AU"/>
        </w:rPr>
        <w:instrText xml:space="preserve"> ADDIN EN.CITE &lt;EndNote&gt;&lt;Cite&gt;&lt;Author&gt;Reef Plan&lt;/Author&gt;&lt;Year&gt;2003&lt;/Year&gt;&lt;RecNum&gt;97&lt;/RecNum&gt;&lt;DisplayText&gt;(Reef Plan, 2003)&lt;/DisplayText&gt;&lt;record&gt;&lt;rec-number&gt;97&lt;/rec-number&gt;&lt;foreign-keys&gt;&lt;key app="EN" db-id="vvtrt2pt4xpx5teta99vvtwg50vzve2aexae" timestamp="1513754377"&gt;97&lt;/key&gt;&lt;/foreign-keys&gt;&lt;ref-type name="Report"&gt;27&lt;/ref-type&gt;&lt;contributors&gt;&lt;authors&gt;&lt;author&gt;Reef Plan,&lt;/author&gt;&lt;/authors&gt;&lt;/contributors&gt;&lt;titles&gt;&lt;title&gt;Reef Water Quality Protection Plan: For catchments adjacent to the Great Barrier Reef World Heritage Area&lt;/title&gt;&lt;/titles&gt;&lt;dates&gt;&lt;year&gt;2003&lt;/year&gt;&lt;/dates&gt;&lt;pub-location&gt;Reef Water Quality Protection Plan Secretariat, October 2003. Great Barrier Reef Marine Park Authority, Townsville.&lt;/pub-location&gt;&lt;urls&gt;&lt;/urls&gt;&lt;/record&gt;&lt;/Cite&gt;&lt;/EndNote&gt;</w:instrText>
      </w:r>
      <w:r w:rsidR="00C034BE">
        <w:rPr>
          <w:lang w:val="en-AU"/>
        </w:rPr>
        <w:fldChar w:fldCharType="separate"/>
      </w:r>
      <w:r w:rsidR="009D4492">
        <w:rPr>
          <w:noProof/>
          <w:lang w:val="en-AU"/>
        </w:rPr>
        <w:t>(Reef Plan, 2003)</w:t>
      </w:r>
      <w:r w:rsidR="00C034BE">
        <w:rPr>
          <w:lang w:val="en-AU"/>
        </w:rPr>
        <w:fldChar w:fldCharType="end"/>
      </w:r>
      <w:r w:rsidR="00C034BE">
        <w:rPr>
          <w:lang w:val="en-AU"/>
        </w:rPr>
        <w:t xml:space="preserve"> </w:t>
      </w:r>
      <w:r w:rsidR="001C2EBB">
        <w:rPr>
          <w:lang w:val="en-AU"/>
        </w:rPr>
        <w:t>and</w:t>
      </w:r>
      <w:r w:rsidR="001C2EBB" w:rsidRPr="001C2EBB">
        <w:rPr>
          <w:lang w:val="en-AU"/>
        </w:rPr>
        <w:t xml:space="preserve"> </w:t>
      </w:r>
      <w:r w:rsidR="001C2EBB">
        <w:rPr>
          <w:lang w:val="en-AU"/>
        </w:rPr>
        <w:t xml:space="preserve">further </w:t>
      </w:r>
      <w:r w:rsidR="001C2EBB" w:rsidRPr="00E707D8">
        <w:rPr>
          <w:lang w:val="en-AU"/>
        </w:rPr>
        <w:t>updated in 2009 and 2013</w:t>
      </w:r>
      <w:r w:rsidR="00C034BE">
        <w:rPr>
          <w:lang w:val="en-AU"/>
        </w:rPr>
        <w:t xml:space="preserve"> </w:t>
      </w:r>
      <w:r w:rsidR="00C034BE">
        <w:rPr>
          <w:lang w:val="en-AU"/>
        </w:rPr>
        <w:fldChar w:fldCharType="begin"/>
      </w:r>
      <w:r w:rsidR="00734C2D">
        <w:rPr>
          <w:lang w:val="en-AU"/>
        </w:rPr>
        <w:instrText xml:space="preserve"> ADDIN EN.CITE &lt;EndNote&gt;&lt;Cite&gt;&lt;Author&gt;Reef Plan&lt;/Author&gt;&lt;Year&gt;2009&lt;/Year&gt;&lt;RecNum&gt;98&lt;/RecNum&gt;&lt;DisplayText&gt;(Reef Plan, 2009, 2013)&lt;/DisplayText&gt;&lt;record&gt;&lt;rec-number&gt;98&lt;/rec-number&gt;&lt;foreign-keys&gt;&lt;key app="EN" db-id="vvtrt2pt4xpx5teta99vvtwg50vzve2aexae" timestamp="1513754618"&gt;98&lt;/key&gt;&lt;/foreign-keys&gt;&lt;ref-type name="Report"&gt;27&lt;/ref-type&gt;&lt;contributors&gt;&lt;authors&gt;&lt;author&gt;Reef Plan,&lt;/author&gt;&lt;/authors&gt;&lt;/contributors&gt;&lt;titles&gt;&lt;title&gt;Reef Water Quality Protection Plan 2009: For catchments adjacent to the Great Barrier Reef World Heritage Area&lt;/title&gt;&lt;/titles&gt;&lt;dates&gt;&lt;year&gt;2009&lt;/year&gt;&lt;/dates&gt;&lt;pub-location&gt;Reef Water Quality Protection Plan Secretariat, September 2009. Great Barrier Reef Marine Park Authority, Townsville.&lt;/pub-location&gt;&lt;urls&gt;&lt;/urls&gt;&lt;/record&gt;&lt;/Cite&gt;&lt;Cite&gt;&lt;Author&gt;Reef Plan&lt;/Author&gt;&lt;Year&gt;2013&lt;/Year&gt;&lt;RecNum&gt;13&lt;/RecNum&gt;&lt;record&gt;&lt;rec-number&gt;13&lt;/rec-number&gt;&lt;foreign-keys&gt;&lt;key app="EN" db-id="vvtrt2pt4xpx5teta99vvtwg50vzve2aexae" timestamp="1493157341"&gt;13&lt;/key&gt;&lt;/foreign-keys&gt;&lt;ref-type name="Report"&gt;27&lt;/ref-type&gt;&lt;contributors&gt;&lt;authors&gt;&lt;author&gt;Reef Plan,&lt;/author&gt;&lt;/authors&gt;&lt;/contributors&gt;&lt;titles&gt;&lt;title&gt;Reef Water Quality Protection Plan 2013: Securing the health and resilience of the Great Barrier Reef World Heritage Area and adjacent catchments&lt;/title&gt;&lt;/titles&gt;&lt;dates&gt;&lt;year&gt;2013&lt;/year&gt;&lt;/dates&gt;&lt;pub-location&gt;Reef Water Quality Protection Plan Secretariat, July 2013. Great Barrier Reef Marine Park Authority, Townsville.&lt;/pub-location&gt;&lt;urls&gt;&lt;/urls&gt;&lt;/record&gt;&lt;/Cite&gt;&lt;/EndNote&gt;</w:instrText>
      </w:r>
      <w:r w:rsidR="00C034BE">
        <w:rPr>
          <w:lang w:val="en-AU"/>
        </w:rPr>
        <w:fldChar w:fldCharType="separate"/>
      </w:r>
      <w:r w:rsidR="00734C2D">
        <w:rPr>
          <w:noProof/>
          <w:lang w:val="en-AU"/>
        </w:rPr>
        <w:t>(Reef Plan, 2009, 2013)</w:t>
      </w:r>
      <w:r w:rsidR="00C034BE">
        <w:rPr>
          <w:lang w:val="en-AU"/>
        </w:rPr>
        <w:fldChar w:fldCharType="end"/>
      </w:r>
      <w:r>
        <w:rPr>
          <w:lang w:val="en-AU"/>
        </w:rPr>
        <w:t xml:space="preserve">. </w:t>
      </w:r>
      <w:r w:rsidR="00642A99">
        <w:rPr>
          <w:lang w:val="en-AU"/>
        </w:rPr>
        <w:t>Reef Plan</w:t>
      </w:r>
      <w:r w:rsidR="007B5B86" w:rsidRPr="007B5B86">
        <w:rPr>
          <w:lang w:val="en-AU"/>
        </w:rPr>
        <w:t>’s single long-term goal for the marine environment</w:t>
      </w:r>
      <w:r w:rsidR="007B5B86">
        <w:rPr>
          <w:lang w:val="en-AU"/>
        </w:rPr>
        <w:t xml:space="preserve"> is “</w:t>
      </w:r>
      <w:r w:rsidR="007B5B86" w:rsidRPr="007B5B86">
        <w:rPr>
          <w:i/>
          <w:lang w:val="en-AU"/>
        </w:rPr>
        <w:t>to ensure that by 2020 the quality of water entering the reef from broadscale land use has no detrimental impact on the health and resilience of the Great Barrier Reef</w:t>
      </w:r>
      <w:r w:rsidR="007B5B86" w:rsidRPr="007B5B86">
        <w:rPr>
          <w:lang w:val="en-AU"/>
        </w:rPr>
        <w:t>”</w:t>
      </w:r>
      <w:r w:rsidR="00C034BE">
        <w:rPr>
          <w:lang w:val="en-AU"/>
        </w:rPr>
        <w:t xml:space="preserve"> </w:t>
      </w:r>
      <w:r w:rsidR="00C034BE">
        <w:rPr>
          <w:lang w:val="en-AU"/>
        </w:rPr>
        <w:fldChar w:fldCharType="begin"/>
      </w:r>
      <w:r w:rsidR="009D4492">
        <w:rPr>
          <w:lang w:val="en-AU"/>
        </w:rPr>
        <w:instrText xml:space="preserve"> ADDIN EN.CITE &lt;EndNote&gt;&lt;Cite&gt;&lt;Author&gt;Reef Plan&lt;/Author&gt;&lt;Year&gt;2013&lt;/Year&gt;&lt;RecNum&gt;13&lt;/RecNum&gt;&lt;DisplayText&gt;(Reef Plan, 2013)&lt;/DisplayText&gt;&lt;record&gt;&lt;rec-number&gt;13&lt;/rec-number&gt;&lt;foreign-keys&gt;&lt;key app="EN" db-id="vvtrt2pt4xpx5teta99vvtwg50vzve2aexae" timestamp="1493157341"&gt;13&lt;/key&gt;&lt;/foreign-keys&gt;&lt;ref-type name="Report"&gt;27&lt;/ref-type&gt;&lt;contributors&gt;&lt;authors&gt;&lt;author&gt;Reef Plan,&lt;/author&gt;&lt;/authors&gt;&lt;/contributors&gt;&lt;titles&gt;&lt;title&gt;Reef Water Quality Protection Plan 2013: Securing the health and resilience of the Great Barrier Reef World Heritage Area and adjacent catchments&lt;/title&gt;&lt;/titles&gt;&lt;dates&gt;&lt;year&gt;2013&lt;/year&gt;&lt;/dates&gt;&lt;pub-location&gt;Reef Water Quality Protection Plan Secretariat, July 2013. Great Barrier Reef Marine Park Authority, Townsville.&lt;/pub-location&gt;&lt;urls&gt;&lt;/urls&gt;&lt;/record&gt;&lt;/Cite&gt;&lt;/EndNote&gt;</w:instrText>
      </w:r>
      <w:r w:rsidR="00C034BE">
        <w:rPr>
          <w:lang w:val="en-AU"/>
        </w:rPr>
        <w:fldChar w:fldCharType="separate"/>
      </w:r>
      <w:r w:rsidR="009D4492">
        <w:rPr>
          <w:noProof/>
          <w:lang w:val="en-AU"/>
        </w:rPr>
        <w:t>(Reef Plan, 2013)</w:t>
      </w:r>
      <w:r w:rsidR="00C034BE">
        <w:rPr>
          <w:lang w:val="en-AU"/>
        </w:rPr>
        <w:fldChar w:fldCharType="end"/>
      </w:r>
      <w:r w:rsidR="00C034BE">
        <w:rPr>
          <w:lang w:val="en-AU"/>
        </w:rPr>
        <w:t xml:space="preserve">. </w:t>
      </w:r>
      <w:r>
        <w:rPr>
          <w:lang w:val="en-AU"/>
        </w:rPr>
        <w:t xml:space="preserve">In 2015, a </w:t>
      </w:r>
      <w:r w:rsidR="00A04B2C">
        <w:rPr>
          <w:lang w:val="en-AU"/>
        </w:rPr>
        <w:t>long-term</w:t>
      </w:r>
      <w:r>
        <w:rPr>
          <w:lang w:val="en-AU"/>
        </w:rPr>
        <w:t xml:space="preserve"> sustainability plan </w:t>
      </w:r>
      <w:r w:rsidRPr="009030E7">
        <w:rPr>
          <w:lang w:val="en-AU"/>
        </w:rPr>
        <w:t xml:space="preserve">for protecting </w:t>
      </w:r>
      <w:r w:rsidRPr="009030E7">
        <w:rPr>
          <w:lang w:val="en-AU"/>
        </w:rPr>
        <w:lastRenderedPageBreak/>
        <w:t>and managing the Reef until 2050</w:t>
      </w:r>
      <w:r w:rsidRPr="00374251">
        <w:rPr>
          <w:lang w:val="en-AU"/>
        </w:rPr>
        <w:t xml:space="preserve"> </w:t>
      </w:r>
      <w:r>
        <w:rPr>
          <w:lang w:val="en-AU"/>
        </w:rPr>
        <w:t>was introduced</w:t>
      </w:r>
      <w:r w:rsidR="003317F5">
        <w:rPr>
          <w:lang w:val="en-AU"/>
        </w:rPr>
        <w:t xml:space="preserve"> </w:t>
      </w:r>
      <w:r w:rsidR="00C034BE">
        <w:rPr>
          <w:lang w:val="en-AU"/>
        </w:rPr>
        <w:fldChar w:fldCharType="begin"/>
      </w:r>
      <w:r w:rsidR="009D4492">
        <w:rPr>
          <w:lang w:val="en-AU"/>
        </w:rPr>
        <w:instrText xml:space="preserve"> ADDIN EN.CITE &lt;EndNote&gt;&lt;Cite&gt;&lt;Author&gt;Commonwealth of Australia&lt;/Author&gt;&lt;Year&gt;2015&lt;/Year&gt;&lt;RecNum&gt;12&lt;/RecNum&gt;&lt;DisplayText&gt;(Commonwealth of Australia, 2015)&lt;/DisplayText&gt;&lt;record&gt;&lt;rec-number&gt;12&lt;/rec-number&gt;&lt;foreign-keys&gt;&lt;key app="EN" db-id="vvtrt2pt4xpx5teta99vvtwg50vzve2aexae" timestamp="1493157340"&gt;12&lt;/key&gt;&lt;/foreign-keys&gt;&lt;ref-type name="Report"&gt;27&lt;/ref-type&gt;&lt;contributors&gt;&lt;authors&gt;&lt;author&gt;Commonwealth of Australia,&lt;/author&gt;&lt;/authors&gt;&lt;/contributors&gt;&lt;titles&gt;&lt;title&gt;Reef 2050 Long-Term Sustainability Plan. http://www.environment.gov.au/marine/gbr/publications/highlights-long-term-sustainability-plan&lt;/title&gt;&lt;/titles&gt;&lt;dates&gt;&lt;year&gt;2015&lt;/year&gt;&lt;/dates&gt;&lt;urls&gt;&lt;related-urls&gt;&lt;url&gt;http://www.environment.gov.au/marine/gbr/publications/highlights-long-term-sustainability-plan&lt;/url&gt;&lt;/related-urls&gt;&lt;/urls&gt;&lt;/record&gt;&lt;/Cite&gt;&lt;/EndNote&gt;</w:instrText>
      </w:r>
      <w:r w:rsidR="00C034BE">
        <w:rPr>
          <w:lang w:val="en-AU"/>
        </w:rPr>
        <w:fldChar w:fldCharType="separate"/>
      </w:r>
      <w:r w:rsidR="009D4492">
        <w:rPr>
          <w:noProof/>
          <w:lang w:val="en-AU"/>
        </w:rPr>
        <w:t>(Commonwealth of Australia, 2015)</w:t>
      </w:r>
      <w:r w:rsidR="00C034BE">
        <w:rPr>
          <w:lang w:val="en-AU"/>
        </w:rPr>
        <w:fldChar w:fldCharType="end"/>
      </w:r>
      <w:r w:rsidR="003317F5">
        <w:rPr>
          <w:lang w:val="en-AU"/>
        </w:rPr>
        <w:t xml:space="preserve">, </w:t>
      </w:r>
      <w:r>
        <w:rPr>
          <w:lang w:val="en-AU"/>
        </w:rPr>
        <w:t xml:space="preserve">of which </w:t>
      </w:r>
      <w:r w:rsidR="00642A99">
        <w:rPr>
          <w:lang w:val="en-AU"/>
        </w:rPr>
        <w:t>Reef Plan</w:t>
      </w:r>
      <w:r>
        <w:rPr>
          <w:lang w:val="en-AU"/>
        </w:rPr>
        <w:t xml:space="preserve"> is a key component. The Reef 2050 </w:t>
      </w:r>
      <w:r w:rsidRPr="000F6FCD">
        <w:rPr>
          <w:lang w:val="en-AU"/>
        </w:rPr>
        <w:t xml:space="preserve">Long Term Sustainability </w:t>
      </w:r>
      <w:r>
        <w:rPr>
          <w:lang w:val="en-AU"/>
        </w:rPr>
        <w:t xml:space="preserve">Plan </w:t>
      </w:r>
      <w:r w:rsidR="001C2EBB">
        <w:rPr>
          <w:lang w:val="en-AU"/>
        </w:rPr>
        <w:t xml:space="preserve">(LTSP; </w:t>
      </w:r>
      <w:r w:rsidR="00C91BF5">
        <w:rPr>
          <w:lang w:val="en-AU"/>
        </w:rPr>
        <w:fldChar w:fldCharType="begin"/>
      </w:r>
      <w:r w:rsidR="009D4492">
        <w:rPr>
          <w:lang w:val="en-AU"/>
        </w:rPr>
        <w:instrText xml:space="preserve"> ADDIN EN.CITE &lt;EndNote&gt;&lt;Cite&gt;&lt;Author&gt;Commonwealth of Australia&lt;/Author&gt;&lt;Year&gt;2015&lt;/Year&gt;&lt;RecNum&gt;12&lt;/RecNum&gt;&lt;DisplayText&gt;(Commonwealth of Australia, 2015)&lt;/DisplayText&gt;&lt;record&gt;&lt;rec-number&gt;12&lt;/rec-number&gt;&lt;foreign-keys&gt;&lt;key app="EN" db-id="vvtrt2pt4xpx5teta99vvtwg50vzve2aexae" timestamp="1493157340"&gt;12&lt;/key&gt;&lt;/foreign-keys&gt;&lt;ref-type name="Report"&gt;27&lt;/ref-type&gt;&lt;contributors&gt;&lt;authors&gt;&lt;author&gt;Commonwealth of Australia,&lt;/author&gt;&lt;/authors&gt;&lt;/contributors&gt;&lt;titles&gt;&lt;title&gt;Reef 2050 Long-Term Sustainability Plan. http://www.environment.gov.au/marine/gbr/publications/highlights-long-term-sustainability-plan&lt;/title&gt;&lt;/titles&gt;&lt;dates&gt;&lt;year&gt;2015&lt;/year&gt;&lt;/dates&gt;&lt;urls&gt;&lt;related-urls&gt;&lt;url&gt;http://www.environment.gov.au/marine/gbr/publications/highlights-long-term-sustainability-plan&lt;/url&gt;&lt;/related-urls&gt;&lt;/urls&gt;&lt;/record&gt;&lt;/Cite&gt;&lt;/EndNote&gt;</w:instrText>
      </w:r>
      <w:r w:rsidR="00C91BF5">
        <w:rPr>
          <w:lang w:val="en-AU"/>
        </w:rPr>
        <w:fldChar w:fldCharType="separate"/>
      </w:r>
      <w:r w:rsidR="009D4492">
        <w:rPr>
          <w:noProof/>
          <w:lang w:val="en-AU"/>
        </w:rPr>
        <w:t>(Commonwealth of Australia, 2015)</w:t>
      </w:r>
      <w:r w:rsidR="00C91BF5">
        <w:rPr>
          <w:lang w:val="en-AU"/>
        </w:rPr>
        <w:fldChar w:fldCharType="end"/>
      </w:r>
      <w:r w:rsidR="004C3935">
        <w:rPr>
          <w:lang w:val="en-AU"/>
        </w:rPr>
        <w:t>)</w:t>
      </w:r>
      <w:r w:rsidRPr="007B5B86">
        <w:rPr>
          <w:lang w:val="en-AU"/>
        </w:rPr>
        <w:t xml:space="preserve"> is the overarching framework for integrated management of the Reef </w:t>
      </w:r>
      <w:r>
        <w:rPr>
          <w:lang w:val="en-AU"/>
        </w:rPr>
        <w:t>which</w:t>
      </w:r>
      <w:r w:rsidRPr="00374251">
        <w:rPr>
          <w:lang w:val="en-AU"/>
        </w:rPr>
        <w:t xml:space="preserve"> </w:t>
      </w:r>
      <w:r>
        <w:rPr>
          <w:lang w:val="en-AU"/>
        </w:rPr>
        <w:t>“</w:t>
      </w:r>
      <w:r w:rsidRPr="00374251">
        <w:rPr>
          <w:i/>
          <w:lang w:val="en-AU"/>
        </w:rPr>
        <w:t>firmly responds to the pressures facing the Reef and will address cumulative impacts and increase the Reef’s resilience to longer term threats such as climate change</w:t>
      </w:r>
      <w:r>
        <w:rPr>
          <w:lang w:val="en-AU"/>
        </w:rPr>
        <w:t>”</w:t>
      </w:r>
      <w:r w:rsidRPr="00374251">
        <w:rPr>
          <w:lang w:val="en-AU"/>
        </w:rPr>
        <w:t>.</w:t>
      </w:r>
      <w:r>
        <w:rPr>
          <w:lang w:val="en-AU"/>
        </w:rPr>
        <w:t xml:space="preserve"> </w:t>
      </w:r>
    </w:p>
    <w:p w14:paraId="15720CF4" w14:textId="77777777" w:rsidR="0059608E" w:rsidRDefault="0059608E" w:rsidP="00015606">
      <w:pPr>
        <w:spacing w:line="276" w:lineRule="auto"/>
        <w:rPr>
          <w:lang w:val="en-AU"/>
        </w:rPr>
      </w:pPr>
    </w:p>
    <w:p w14:paraId="15720CF5" w14:textId="26D5CEA3" w:rsidR="000C78ED" w:rsidRDefault="004C262D" w:rsidP="000C78ED">
      <w:pPr>
        <w:autoSpaceDE w:val="0"/>
        <w:autoSpaceDN w:val="0"/>
        <w:adjustRightInd w:val="0"/>
        <w:spacing w:line="276" w:lineRule="auto"/>
        <w:rPr>
          <w:lang w:val="en-AU"/>
        </w:rPr>
      </w:pPr>
      <w:r w:rsidRPr="003579BB">
        <w:rPr>
          <w:lang w:val="en-AU"/>
        </w:rPr>
        <w:t xml:space="preserve">Under </w:t>
      </w:r>
      <w:r w:rsidR="00642A99">
        <w:rPr>
          <w:lang w:val="en-AU"/>
        </w:rPr>
        <w:t>Reef Plan</w:t>
      </w:r>
      <w:r w:rsidR="001C2EBB">
        <w:rPr>
          <w:lang w:val="en-AU"/>
        </w:rPr>
        <w:t xml:space="preserve"> (2013)</w:t>
      </w:r>
      <w:r w:rsidRPr="003579BB">
        <w:rPr>
          <w:lang w:val="en-AU"/>
        </w:rPr>
        <w:t xml:space="preserve">, governments are working with farmers and graziers to halt and reverse the decline in the quality of water </w:t>
      </w:r>
      <w:r>
        <w:rPr>
          <w:lang w:val="en-AU"/>
        </w:rPr>
        <w:t xml:space="preserve">entering </w:t>
      </w:r>
      <w:r w:rsidRPr="003579BB">
        <w:rPr>
          <w:lang w:val="en-AU"/>
        </w:rPr>
        <w:t xml:space="preserve">the </w:t>
      </w:r>
      <w:r w:rsidR="009054BA">
        <w:rPr>
          <w:lang w:val="en-AU"/>
        </w:rPr>
        <w:t>Reef</w:t>
      </w:r>
      <w:r>
        <w:rPr>
          <w:lang w:val="en-AU"/>
        </w:rPr>
        <w:t xml:space="preserve"> </w:t>
      </w:r>
      <w:r w:rsidRPr="003579BB">
        <w:rPr>
          <w:lang w:val="en-AU"/>
        </w:rPr>
        <w:t xml:space="preserve">by </w:t>
      </w:r>
      <w:r>
        <w:rPr>
          <w:lang w:val="en-AU"/>
        </w:rPr>
        <w:t xml:space="preserve">setting specific </w:t>
      </w:r>
      <w:r w:rsidRPr="003579BB">
        <w:rPr>
          <w:lang w:val="en-AU"/>
        </w:rPr>
        <w:t xml:space="preserve">land </w:t>
      </w:r>
      <w:r>
        <w:rPr>
          <w:lang w:val="en-AU"/>
        </w:rPr>
        <w:t xml:space="preserve">and catchment </w:t>
      </w:r>
      <w:r w:rsidRPr="003579BB">
        <w:rPr>
          <w:lang w:val="en-AU"/>
        </w:rPr>
        <w:t xml:space="preserve">management </w:t>
      </w:r>
      <w:r>
        <w:rPr>
          <w:lang w:val="en-AU"/>
        </w:rPr>
        <w:t>targets as well as</w:t>
      </w:r>
      <w:r w:rsidRPr="00E707D8">
        <w:rPr>
          <w:lang w:val="en-AU"/>
        </w:rPr>
        <w:t xml:space="preserve"> water quality targets </w:t>
      </w:r>
      <w:r w:rsidR="00A04B2C">
        <w:rPr>
          <w:lang w:val="en-AU"/>
        </w:rPr>
        <w:t>by 2018. These targets</w:t>
      </w:r>
      <w:r>
        <w:rPr>
          <w:lang w:val="en-AU"/>
        </w:rPr>
        <w:t xml:space="preserve"> includ</w:t>
      </w:r>
      <w:r w:rsidR="00A04B2C">
        <w:rPr>
          <w:lang w:val="en-AU"/>
        </w:rPr>
        <w:t>e</w:t>
      </w:r>
      <w:r w:rsidRPr="00E707D8">
        <w:rPr>
          <w:lang w:val="en-AU"/>
        </w:rPr>
        <w:t xml:space="preserve"> a minimum reduction in end-of-catchment pesticide</w:t>
      </w:r>
      <w:r>
        <w:rPr>
          <w:lang w:val="en-AU"/>
        </w:rPr>
        <w:t xml:space="preserve"> </w:t>
      </w:r>
      <w:r w:rsidRPr="00E707D8">
        <w:rPr>
          <w:lang w:val="en-AU"/>
        </w:rPr>
        <w:t xml:space="preserve">loads of 60 </w:t>
      </w:r>
      <w:r>
        <w:rPr>
          <w:lang w:val="en-AU"/>
        </w:rPr>
        <w:t>per cent</w:t>
      </w:r>
      <w:r w:rsidRPr="00E707D8">
        <w:rPr>
          <w:lang w:val="en-AU"/>
        </w:rPr>
        <w:t xml:space="preserve"> </w:t>
      </w:r>
      <w:r w:rsidR="00C91BF5">
        <w:rPr>
          <w:lang w:val="en-AU"/>
        </w:rPr>
        <w:fldChar w:fldCharType="begin"/>
      </w:r>
      <w:r w:rsidR="009D4492">
        <w:rPr>
          <w:lang w:val="en-AU"/>
        </w:rPr>
        <w:instrText xml:space="preserve"> ADDIN EN.CITE &lt;EndNote&gt;&lt;Cite&gt;&lt;Author&gt;Reef Plan&lt;/Author&gt;&lt;Year&gt;2013&lt;/Year&gt;&lt;RecNum&gt;13&lt;/RecNum&gt;&lt;DisplayText&gt;(Reef Plan, 2013)&lt;/DisplayText&gt;&lt;record&gt;&lt;rec-number&gt;13&lt;/rec-number&gt;&lt;foreign-keys&gt;&lt;key app="EN" db-id="vvtrt2pt4xpx5teta99vvtwg50vzve2aexae" timestamp="1493157341"&gt;13&lt;/key&gt;&lt;/foreign-keys&gt;&lt;ref-type name="Report"&gt;27&lt;/ref-type&gt;&lt;contributors&gt;&lt;authors&gt;&lt;author&gt;Reef Plan,&lt;/author&gt;&lt;/authors&gt;&lt;/contributors&gt;&lt;titles&gt;&lt;title&gt;Reef Water Quality Protection Plan 2013: Securing the health and resilience of the Great Barrier Reef World Heritage Area and adjacent catchments&lt;/title&gt;&lt;/titles&gt;&lt;dates&gt;&lt;year&gt;2013&lt;/year&gt;&lt;/dates&gt;&lt;pub-location&gt;Reef Water Quality Protection Plan Secretariat, July 2013. Great Barrier Reef Marine Park Authority, Townsville.&lt;/pub-location&gt;&lt;urls&gt;&lt;/urls&gt;&lt;/record&gt;&lt;/Cite&gt;&lt;Cite&gt;&lt;Author&gt;Reef Plan&lt;/Author&gt;&lt;Year&gt;2013&lt;/Year&gt;&lt;RecNum&gt;13&lt;/RecNum&gt;&lt;record&gt;&lt;rec-number&gt;13&lt;/rec-number&gt;&lt;foreign-keys&gt;&lt;key app="EN" db-id="vvtrt2pt4xpx5teta99vvtwg50vzve2aexae" timestamp="1493157341"&gt;13&lt;/key&gt;&lt;/foreign-keys&gt;&lt;ref-type name="Report"&gt;27&lt;/ref-type&gt;&lt;contributors&gt;&lt;authors&gt;&lt;author&gt;Reef Plan,&lt;/author&gt;&lt;/authors&gt;&lt;/contributors&gt;&lt;titles&gt;&lt;title&gt;Reef Water Quality Protection Plan 2013: Securing the health and resilience of the Great Barrier Reef World Heritage Area and adjacent catchments&lt;/title&gt;&lt;/titles&gt;&lt;dates&gt;&lt;year&gt;2013&lt;/year&gt;&lt;/dates&gt;&lt;pub-location&gt;Reef Water Quality Protection Plan Secretariat, July 2013. Great Barrier Reef Marine Park Authority, Townsville.&lt;/pub-location&gt;&lt;urls&gt;&lt;/urls&gt;&lt;/record&gt;&lt;/Cite&gt;&lt;/EndNote&gt;</w:instrText>
      </w:r>
      <w:r w:rsidR="00C91BF5">
        <w:rPr>
          <w:lang w:val="en-AU"/>
        </w:rPr>
        <w:fldChar w:fldCharType="separate"/>
      </w:r>
      <w:r w:rsidR="009D4492">
        <w:rPr>
          <w:noProof/>
          <w:lang w:val="en-AU"/>
        </w:rPr>
        <w:t>(Reef Plan, 2013)</w:t>
      </w:r>
      <w:r w:rsidR="00C91BF5">
        <w:rPr>
          <w:lang w:val="en-AU"/>
        </w:rPr>
        <w:fldChar w:fldCharType="end"/>
      </w:r>
      <w:r w:rsidRPr="00E707D8">
        <w:rPr>
          <w:lang w:val="en-AU"/>
        </w:rPr>
        <w:t>.</w:t>
      </w:r>
      <w:r>
        <w:rPr>
          <w:lang w:val="en-AU"/>
        </w:rPr>
        <w:t xml:space="preserve"> </w:t>
      </w:r>
      <w:r w:rsidR="007775D3">
        <w:rPr>
          <w:lang w:val="en-AU"/>
        </w:rPr>
        <w:t>T</w:t>
      </w:r>
      <w:r w:rsidR="007775D3">
        <w:rPr>
          <w:rFonts w:cs="Arial"/>
          <w:lang w:val="en-AU"/>
        </w:rPr>
        <w:t xml:space="preserve">he implementation of agricultural </w:t>
      </w:r>
      <w:r w:rsidR="007775D3">
        <w:rPr>
          <w:lang w:val="en-AU"/>
        </w:rPr>
        <w:t>best management practic</w:t>
      </w:r>
      <w:r w:rsidR="008B182F">
        <w:rPr>
          <w:lang w:val="en-AU"/>
        </w:rPr>
        <w:t>e</w:t>
      </w:r>
      <w:r w:rsidR="007775D3">
        <w:rPr>
          <w:lang w:val="en-AU"/>
        </w:rPr>
        <w:t xml:space="preserve"> (BMPs)</w:t>
      </w:r>
      <w:r w:rsidR="007775D3">
        <w:rPr>
          <w:rFonts w:cs="Arial"/>
          <w:lang w:val="en-AU"/>
        </w:rPr>
        <w:t xml:space="preserve"> aims to reduce </w:t>
      </w:r>
      <w:r w:rsidR="008B182F">
        <w:rPr>
          <w:rFonts w:cs="Arial"/>
          <w:lang w:val="en-AU"/>
        </w:rPr>
        <w:t xml:space="preserve">nutrient, sediment </w:t>
      </w:r>
      <w:r w:rsidR="007775D3">
        <w:rPr>
          <w:rFonts w:cs="Arial"/>
          <w:lang w:val="en-AU"/>
        </w:rPr>
        <w:t>and</w:t>
      </w:r>
      <w:r w:rsidR="007775D3" w:rsidRPr="002912CE">
        <w:rPr>
          <w:rFonts w:cs="Arial"/>
          <w:lang w:val="en-AU"/>
        </w:rPr>
        <w:t xml:space="preserve"> pesticide</w:t>
      </w:r>
      <w:r w:rsidR="007775D3">
        <w:rPr>
          <w:rFonts w:cs="Arial"/>
          <w:lang w:val="en-AU"/>
        </w:rPr>
        <w:t xml:space="preserve"> </w:t>
      </w:r>
      <w:r w:rsidR="008B182F">
        <w:rPr>
          <w:rFonts w:cs="Arial"/>
          <w:lang w:val="en-AU"/>
        </w:rPr>
        <w:t>runoff from agricultural land use</w:t>
      </w:r>
      <w:r w:rsidR="00BB2F58">
        <w:rPr>
          <w:rFonts w:cs="Arial"/>
          <w:lang w:val="en-AU"/>
        </w:rPr>
        <w:t>; f</w:t>
      </w:r>
      <w:r w:rsidR="00543E7B">
        <w:rPr>
          <w:rFonts w:cs="Arial"/>
          <w:lang w:val="en-AU"/>
        </w:rPr>
        <w:t>or example</w:t>
      </w:r>
      <w:r w:rsidR="000C78ED">
        <w:rPr>
          <w:rFonts w:cs="Arial"/>
          <w:lang w:val="en-AU"/>
        </w:rPr>
        <w:t>,</w:t>
      </w:r>
      <w:r w:rsidR="007775D3">
        <w:rPr>
          <w:rFonts w:cs="Arial"/>
          <w:lang w:val="en-AU"/>
        </w:rPr>
        <w:t xml:space="preserve"> based on the current estimates of BMP uptake in the GBR catchment area, the</w:t>
      </w:r>
      <w:r w:rsidR="000C78ED">
        <w:rPr>
          <w:rFonts w:cs="Arial"/>
          <w:lang w:val="en-AU"/>
        </w:rPr>
        <w:t xml:space="preserve"> </w:t>
      </w:r>
      <w:r w:rsidR="007775D3">
        <w:rPr>
          <w:rFonts w:cs="Arial"/>
          <w:lang w:val="en-AU"/>
        </w:rPr>
        <w:t>Source</w:t>
      </w:r>
      <w:r w:rsidR="00C034BE">
        <w:rPr>
          <w:rFonts w:cs="Arial"/>
          <w:lang w:val="en-AU"/>
        </w:rPr>
        <w:t xml:space="preserve"> </w:t>
      </w:r>
      <w:r w:rsidR="007775D3">
        <w:rPr>
          <w:rFonts w:cs="Arial"/>
          <w:lang w:val="en-AU"/>
        </w:rPr>
        <w:t xml:space="preserve">Catchment models indicate that </w:t>
      </w:r>
      <w:r w:rsidR="000C78ED">
        <w:rPr>
          <w:rFonts w:cs="Arial"/>
          <w:lang w:val="en-AU"/>
        </w:rPr>
        <w:t xml:space="preserve">a </w:t>
      </w:r>
      <w:r w:rsidR="00C86C15">
        <w:rPr>
          <w:rFonts w:cs="Arial"/>
          <w:lang w:val="en-AU"/>
        </w:rPr>
        <w:t>34</w:t>
      </w:r>
      <w:r w:rsidR="000C78ED">
        <w:rPr>
          <w:rFonts w:cs="Arial"/>
          <w:lang w:val="en-AU"/>
        </w:rPr>
        <w:t xml:space="preserve"> per cent reduction in </w:t>
      </w:r>
      <w:r w:rsidR="00AB0795">
        <w:rPr>
          <w:rFonts w:cs="Arial"/>
          <w:lang w:val="en-AU"/>
        </w:rPr>
        <w:t xml:space="preserve">total </w:t>
      </w:r>
      <w:r w:rsidR="000C78ED">
        <w:rPr>
          <w:rFonts w:cs="Arial"/>
          <w:lang w:val="en-AU"/>
        </w:rPr>
        <w:t xml:space="preserve">pesticide loads across the Marine Park </w:t>
      </w:r>
      <w:r w:rsidR="00856D07">
        <w:rPr>
          <w:rFonts w:cs="Arial"/>
          <w:lang w:val="en-AU"/>
        </w:rPr>
        <w:t>catchments</w:t>
      </w:r>
      <w:r w:rsidR="000C78ED">
        <w:rPr>
          <w:rFonts w:cs="Arial"/>
          <w:lang w:val="en-AU"/>
        </w:rPr>
        <w:t xml:space="preserve"> </w:t>
      </w:r>
      <w:r w:rsidR="008B182F">
        <w:rPr>
          <w:rFonts w:cs="Arial"/>
          <w:lang w:val="en-AU"/>
        </w:rPr>
        <w:t>should occur</w:t>
      </w:r>
      <w:r w:rsidR="00AB0795">
        <w:rPr>
          <w:rFonts w:cs="Arial"/>
          <w:lang w:val="en-AU"/>
        </w:rPr>
        <w:t>. This includes</w:t>
      </w:r>
      <w:r w:rsidR="00C86C15">
        <w:rPr>
          <w:rFonts w:cs="Arial"/>
          <w:lang w:val="en-AU"/>
        </w:rPr>
        <w:t xml:space="preserve"> </w:t>
      </w:r>
      <w:r w:rsidR="008B182F">
        <w:rPr>
          <w:rFonts w:cs="Arial"/>
          <w:lang w:val="en-AU"/>
        </w:rPr>
        <w:t xml:space="preserve">a </w:t>
      </w:r>
      <w:r w:rsidR="00C86C15">
        <w:rPr>
          <w:rFonts w:cs="Arial"/>
          <w:lang w:val="en-AU"/>
        </w:rPr>
        <w:t xml:space="preserve">44 per cent </w:t>
      </w:r>
      <w:r w:rsidR="008B182F">
        <w:rPr>
          <w:rFonts w:cs="Arial"/>
          <w:lang w:val="en-AU"/>
        </w:rPr>
        <w:t xml:space="preserve">load reduction </w:t>
      </w:r>
      <w:r w:rsidR="00C86C15">
        <w:rPr>
          <w:rFonts w:cs="Arial"/>
          <w:lang w:val="en-AU"/>
        </w:rPr>
        <w:t xml:space="preserve">in the </w:t>
      </w:r>
      <w:r w:rsidR="00996331">
        <w:rPr>
          <w:rFonts w:cs="Arial"/>
          <w:lang w:val="en-AU"/>
        </w:rPr>
        <w:t>M</w:t>
      </w:r>
      <w:r w:rsidR="00C86C15">
        <w:rPr>
          <w:rFonts w:cs="Arial"/>
          <w:lang w:val="en-AU"/>
        </w:rPr>
        <w:t>ackay region</w:t>
      </w:r>
      <w:r w:rsidR="008B182F">
        <w:rPr>
          <w:rFonts w:cs="Arial"/>
          <w:lang w:val="en-AU"/>
        </w:rPr>
        <w:t xml:space="preserve"> </w:t>
      </w:r>
      <w:r w:rsidR="008B182F">
        <w:rPr>
          <w:rFonts w:cs="Arial"/>
          <w:lang w:val="en-AU"/>
        </w:rPr>
        <w:fldChar w:fldCharType="begin"/>
      </w:r>
      <w:r w:rsidR="009D4492">
        <w:rPr>
          <w:rFonts w:cs="Arial"/>
          <w:lang w:val="en-AU"/>
        </w:rPr>
        <w:instrText xml:space="preserve"> ADDIN EN.CITE &lt;EndNote&gt;&lt;Cite&gt;&lt;Author&gt;Reef Water Quality Protection Plan Secretariat&lt;/Author&gt;&lt;Year&gt;2016&lt;/Year&gt;&lt;RecNum&gt;14&lt;/RecNum&gt;&lt;DisplayText&gt;(Reef Water Quality Protection Plan Secretariat, 2016)&lt;/DisplayText&gt;&lt;record&gt;&lt;rec-number&gt;14&lt;/rec-number&gt;&lt;foreign-keys&gt;&lt;key app="EN" db-id="vvtrt2pt4xpx5teta99vvtwg50vzve2aexae" timestamp="1493157342"&gt;14&lt;/key&gt;&lt;/foreign-keys&gt;&lt;ref-type name="Report"&gt;27&lt;/ref-type&gt;&lt;contributors&gt;&lt;authors&gt;&lt;author&gt;Reef Water Quality Protection Plan Secretariat,&lt;/author&gt;&lt;/authors&gt;&lt;/contributors&gt;&lt;titles&gt;&lt;title&gt;Great Barrier Reef Report Card 2015: Catchment pollutant loads results. The State of Queensland and Commonwealth of Australia. Queensland Department of Premier and Cabinet, Brisbane. 19 pp.  http://www.reefplan.qld.gov.au/measuring-success/report-cards/2015/assets/report-card-2015-catchment-pollutant-loads-results.pdf&lt;/title&gt;&lt;/titles&gt;&lt;dates&gt;&lt;year&gt;2016&lt;/year&gt;&lt;/dates&gt;&lt;urls&gt;&lt;/urls&gt;&lt;/record&gt;&lt;/Cite&gt;&lt;/EndNote&gt;</w:instrText>
      </w:r>
      <w:r w:rsidR="008B182F">
        <w:rPr>
          <w:rFonts w:cs="Arial"/>
          <w:lang w:val="en-AU"/>
        </w:rPr>
        <w:fldChar w:fldCharType="separate"/>
      </w:r>
      <w:r w:rsidR="009D4492">
        <w:rPr>
          <w:rFonts w:cs="Arial"/>
          <w:noProof/>
          <w:lang w:val="en-AU"/>
        </w:rPr>
        <w:t>(Reef Water Quality Protection Plan Secretariat, 2016)</w:t>
      </w:r>
      <w:r w:rsidR="008B182F">
        <w:rPr>
          <w:rFonts w:cs="Arial"/>
          <w:lang w:val="en-AU"/>
        </w:rPr>
        <w:fldChar w:fldCharType="end"/>
      </w:r>
      <w:r w:rsidR="00C86C15">
        <w:rPr>
          <w:rFonts w:cs="Arial"/>
          <w:lang w:val="en-AU"/>
        </w:rPr>
        <w:t xml:space="preserve"> where </w:t>
      </w:r>
      <w:r w:rsidR="008B182F">
        <w:rPr>
          <w:rFonts w:cs="Arial"/>
          <w:lang w:val="en-AU"/>
        </w:rPr>
        <w:t xml:space="preserve">the </w:t>
      </w:r>
      <w:r w:rsidR="00C86C15">
        <w:rPr>
          <w:rFonts w:cs="Arial"/>
          <w:lang w:val="en-AU"/>
        </w:rPr>
        <w:t>highest pesticide exposure has been reported</w:t>
      </w:r>
      <w:r w:rsidR="00C034BE">
        <w:rPr>
          <w:rFonts w:cs="Arial"/>
          <w:lang w:val="en-AU"/>
        </w:rPr>
        <w:t xml:space="preserve"> </w:t>
      </w:r>
      <w:r w:rsidR="00C034BE">
        <w:rPr>
          <w:rFonts w:cs="Arial"/>
          <w:lang w:val="en-AU"/>
        </w:rPr>
        <w:fldChar w:fldCharType="begin"/>
      </w:r>
      <w:r w:rsidR="009D4492">
        <w:rPr>
          <w:rFonts w:cs="Arial"/>
          <w:lang w:val="en-AU"/>
        </w:rPr>
        <w:instrText xml:space="preserve"> ADDIN EN.CITE &lt;EndNote&gt;&lt;Cite&gt;&lt;Author&gt;Brodie&lt;/Author&gt;&lt;Year&gt;2013&lt;/Year&gt;&lt;RecNum&gt;11&lt;/RecNum&gt;&lt;DisplayText&gt;(Brodie et al., 2013, Reef Water Quality Protection Plan Secretariat, 2016)&lt;/DisplayText&gt;&lt;record&gt;&lt;rec-number&gt;11&lt;/rec-number&gt;&lt;foreign-keys&gt;&lt;key app="EN" db-id="vvtrt2pt4xpx5teta99vvtwg50vzve2aexae" timestamp="1493157339"&gt;11&lt;/key&gt;&lt;/foreign-keys&gt;&lt;ref-type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Secretariat&lt;/pub-location&gt;&lt;urls&gt;&lt;/urls&gt;&lt;/record&gt;&lt;/Cite&gt;&lt;Cite&gt;&lt;Author&gt;Reef Water Quality Protection Plan Secretariat&lt;/Author&gt;&lt;Year&gt;2016&lt;/Year&gt;&lt;RecNum&gt;14&lt;/RecNum&gt;&lt;record&gt;&lt;rec-number&gt;14&lt;/rec-number&gt;&lt;foreign-keys&gt;&lt;key app="EN" db-id="vvtrt2pt4xpx5teta99vvtwg50vzve2aexae" timestamp="1493157342"&gt;14&lt;/key&gt;&lt;/foreign-keys&gt;&lt;ref-type name="Report"&gt;27&lt;/ref-type&gt;&lt;contributors&gt;&lt;authors&gt;&lt;author&gt;Reef Water Quality Protection Plan Secretariat,&lt;/author&gt;&lt;/authors&gt;&lt;/contributors&gt;&lt;titles&gt;&lt;title&gt;Great Barrier Reef Report Card 2015: Catchment pollutant loads results. The State of Queensland and Commonwealth of Australia. Queensland Department of Premier and Cabinet, Brisbane. 19 pp.  http://www.reefplan.qld.gov.au/measuring-success/report-cards/2015/assets/report-card-2015-catchment-pollutant-loads-results.pdf&lt;/title&gt;&lt;/titles&gt;&lt;dates&gt;&lt;year&gt;2016&lt;/year&gt;&lt;/dates&gt;&lt;urls&gt;&lt;/urls&gt;&lt;/record&gt;&lt;/Cite&gt;&lt;/EndNote&gt;</w:instrText>
      </w:r>
      <w:r w:rsidR="00C034BE">
        <w:rPr>
          <w:rFonts w:cs="Arial"/>
          <w:lang w:val="en-AU"/>
        </w:rPr>
        <w:fldChar w:fldCharType="separate"/>
      </w:r>
      <w:r w:rsidR="009D4492">
        <w:rPr>
          <w:rFonts w:cs="Arial"/>
          <w:noProof/>
          <w:lang w:val="en-AU"/>
        </w:rPr>
        <w:t>(Brodie et al., 2013, Reef Water Quality Protection Plan Secretariat, 2016)</w:t>
      </w:r>
      <w:r w:rsidR="00C034BE">
        <w:rPr>
          <w:rFonts w:cs="Arial"/>
          <w:lang w:val="en-AU"/>
        </w:rPr>
        <w:fldChar w:fldCharType="end"/>
      </w:r>
      <w:r w:rsidR="000C78ED">
        <w:rPr>
          <w:rFonts w:cs="Arial"/>
          <w:lang w:val="en-AU"/>
        </w:rPr>
        <w:t xml:space="preserve">. </w:t>
      </w:r>
    </w:p>
    <w:p w14:paraId="15720CF6" w14:textId="77777777" w:rsidR="000C78ED" w:rsidRDefault="000C78ED" w:rsidP="00015606">
      <w:pPr>
        <w:spacing w:line="276" w:lineRule="auto"/>
        <w:rPr>
          <w:lang w:val="en-AU"/>
        </w:rPr>
      </w:pPr>
    </w:p>
    <w:p w14:paraId="15720CF7" w14:textId="56279699" w:rsidR="00897F99" w:rsidRDefault="009054BA" w:rsidP="00015606">
      <w:pPr>
        <w:spacing w:line="276" w:lineRule="auto"/>
        <w:rPr>
          <w:lang w:val="en-AU"/>
        </w:rPr>
      </w:pPr>
      <w:r>
        <w:rPr>
          <w:lang w:val="en-AU"/>
        </w:rPr>
        <w:t xml:space="preserve">To monitor the </w:t>
      </w:r>
      <w:r w:rsidR="00A11EFB">
        <w:rPr>
          <w:lang w:val="en-AU"/>
        </w:rPr>
        <w:t>progress towards</w:t>
      </w:r>
      <w:r>
        <w:rPr>
          <w:lang w:val="en-AU"/>
        </w:rPr>
        <w:t xml:space="preserve"> </w:t>
      </w:r>
      <w:r w:rsidR="00642A99">
        <w:rPr>
          <w:lang w:val="en-AU"/>
        </w:rPr>
        <w:t>Reef Plan</w:t>
      </w:r>
      <w:r w:rsidR="009A471C">
        <w:rPr>
          <w:lang w:val="en-AU"/>
        </w:rPr>
        <w:t>’s</w:t>
      </w:r>
      <w:r w:rsidR="00A11EFB">
        <w:rPr>
          <w:lang w:val="en-AU"/>
        </w:rPr>
        <w:t xml:space="preserve"> </w:t>
      </w:r>
      <w:r w:rsidR="009A471C">
        <w:rPr>
          <w:lang w:val="en-AU"/>
        </w:rPr>
        <w:t xml:space="preserve">(2013) </w:t>
      </w:r>
      <w:r w:rsidR="00A11EFB">
        <w:rPr>
          <w:lang w:val="en-AU"/>
        </w:rPr>
        <w:t>and</w:t>
      </w:r>
      <w:r w:rsidR="00516EA8">
        <w:rPr>
          <w:lang w:val="en-AU"/>
        </w:rPr>
        <w:t xml:space="preserve"> the </w:t>
      </w:r>
      <w:r w:rsidR="009A471C">
        <w:rPr>
          <w:lang w:val="en-AU"/>
        </w:rPr>
        <w:t>2050</w:t>
      </w:r>
      <w:r w:rsidR="00BB2F58">
        <w:rPr>
          <w:lang w:val="en-AU"/>
        </w:rPr>
        <w:t xml:space="preserve"> </w:t>
      </w:r>
      <w:r w:rsidR="009A471C">
        <w:rPr>
          <w:lang w:val="en-AU"/>
        </w:rPr>
        <w:t>LTSP’s</w:t>
      </w:r>
      <w:r w:rsidR="00A11EFB">
        <w:rPr>
          <w:lang w:val="en-AU"/>
        </w:rPr>
        <w:t xml:space="preserve"> </w:t>
      </w:r>
      <w:r w:rsidR="00A11EFB" w:rsidRPr="00A11EFB">
        <w:rPr>
          <w:lang w:val="en-AU"/>
        </w:rPr>
        <w:t>goals and targets</w:t>
      </w:r>
      <w:r>
        <w:rPr>
          <w:lang w:val="en-AU"/>
        </w:rPr>
        <w:t xml:space="preserve">, </w:t>
      </w:r>
      <w:r w:rsidR="00516EA8">
        <w:rPr>
          <w:lang w:val="en-AU"/>
        </w:rPr>
        <w:t xml:space="preserve">the </w:t>
      </w:r>
      <w:r w:rsidR="00516EA8" w:rsidRPr="00516EA8">
        <w:rPr>
          <w:lang w:val="en-AU"/>
        </w:rPr>
        <w:t xml:space="preserve">Paddock to Reef Integrated Monitoring, Modelling and Reporting </w:t>
      </w:r>
      <w:r w:rsidR="00516EA8">
        <w:rPr>
          <w:lang w:val="en-AU"/>
        </w:rPr>
        <w:t>P</w:t>
      </w:r>
      <w:r w:rsidR="00516EA8" w:rsidRPr="00516EA8">
        <w:rPr>
          <w:lang w:val="en-AU"/>
        </w:rPr>
        <w:t xml:space="preserve">rogram </w:t>
      </w:r>
      <w:r w:rsidR="00897F99">
        <w:rPr>
          <w:lang w:val="en-AU"/>
        </w:rPr>
        <w:t xml:space="preserve">(Paddock to Reef Program) </w:t>
      </w:r>
      <w:r w:rsidR="00516EA8" w:rsidRPr="00516EA8">
        <w:rPr>
          <w:lang w:val="en-AU"/>
        </w:rPr>
        <w:t>collect</w:t>
      </w:r>
      <w:r w:rsidR="00A04B2C">
        <w:rPr>
          <w:lang w:val="en-AU"/>
        </w:rPr>
        <w:t>s</w:t>
      </w:r>
      <w:r w:rsidR="00516EA8" w:rsidRPr="00516EA8">
        <w:rPr>
          <w:lang w:val="en-AU"/>
        </w:rPr>
        <w:t xml:space="preserve"> and integrat</w:t>
      </w:r>
      <w:r w:rsidR="00897F99">
        <w:rPr>
          <w:lang w:val="en-AU"/>
        </w:rPr>
        <w:t>e</w:t>
      </w:r>
      <w:r w:rsidR="00A04B2C">
        <w:rPr>
          <w:lang w:val="en-AU"/>
        </w:rPr>
        <w:t>s</w:t>
      </w:r>
      <w:r w:rsidR="00516EA8" w:rsidRPr="00516EA8">
        <w:rPr>
          <w:lang w:val="en-AU"/>
        </w:rPr>
        <w:t xml:space="preserve"> data and information </w:t>
      </w:r>
      <w:r w:rsidR="00516EA8">
        <w:rPr>
          <w:lang w:val="en-AU"/>
        </w:rPr>
        <w:t xml:space="preserve">on the </w:t>
      </w:r>
      <w:r w:rsidR="00897F99">
        <w:rPr>
          <w:lang w:val="en-AU"/>
        </w:rPr>
        <w:t>paddock-</w:t>
      </w:r>
      <w:r w:rsidR="00516EA8">
        <w:rPr>
          <w:lang w:val="en-AU"/>
        </w:rPr>
        <w:t>catchment</w:t>
      </w:r>
      <w:r w:rsidR="00897F99">
        <w:rPr>
          <w:lang w:val="en-AU"/>
        </w:rPr>
        <w:t>-</w:t>
      </w:r>
      <w:r w:rsidR="00516EA8">
        <w:rPr>
          <w:lang w:val="en-AU"/>
        </w:rPr>
        <w:t>marine environment</w:t>
      </w:r>
      <w:r w:rsidR="00897F99">
        <w:rPr>
          <w:lang w:val="en-AU"/>
        </w:rPr>
        <w:t>s</w:t>
      </w:r>
      <w:r w:rsidR="00A04B2C">
        <w:rPr>
          <w:lang w:val="en-AU"/>
        </w:rPr>
        <w:t xml:space="preserve"> adjacent to and within the Marine Park</w:t>
      </w:r>
      <w:r w:rsidR="00BB2F58">
        <w:rPr>
          <w:lang w:val="en-AU"/>
        </w:rPr>
        <w:t xml:space="preserve"> </w:t>
      </w:r>
      <w:r w:rsidR="00997513">
        <w:rPr>
          <w:lang w:val="en-AU"/>
        </w:rPr>
        <w:fldChar w:fldCharType="begin"/>
      </w:r>
      <w:r w:rsidR="009D4492">
        <w:rPr>
          <w:lang w:val="en-AU"/>
        </w:rPr>
        <w:instrText xml:space="preserve"> ADDIN EN.CITE &lt;EndNote&gt;&lt;Cite&gt;&lt;Author&gt;Paddock to Reef&lt;/Author&gt;&lt;Year&gt;2013&lt;/Year&gt;&lt;RecNum&gt;100&lt;/RecNum&gt;&lt;DisplayText&gt;(Paddock to Reef, 2013)&lt;/DisplayText&gt;&lt;record&gt;&lt;rec-number&gt;100&lt;/rec-number&gt;&lt;foreign-keys&gt;&lt;key app="EN" db-id="vvtrt2pt4xpx5teta99vvtwg50vzve2aexae" timestamp="1513756015"&gt;100&lt;/key&gt;&lt;/foreign-keys&gt;&lt;ref-type name="Web Page"&gt;12&lt;/ref-type&gt;&lt;contributors&gt;&lt;authors&gt;&lt;author&gt;Paddock to Reef,&lt;/author&gt;&lt;/authors&gt;&lt;/contributors&gt;&lt;titles&gt;&lt;title&gt;Paddock to Reef Integrated Monitoring, Modelling and Reporting Program: Reef Water Quality Protection Plan 2013–2018&lt;/title&gt;&lt;/titles&gt;&lt;dates&gt;&lt;year&gt;2013&lt;/year&gt;&lt;/dates&gt;&lt;urls&gt;&lt;related-urls&gt;&lt;url&gt;http://www.reefplan.qld.gov.au/measuring-success/paddock-to-reef/&lt;/url&gt;&lt;/related-urls&gt;&lt;/urls&gt;&lt;/record&gt;&lt;/Cite&gt;&lt;/EndNote&gt;</w:instrText>
      </w:r>
      <w:r w:rsidR="00997513">
        <w:rPr>
          <w:lang w:val="en-AU"/>
        </w:rPr>
        <w:fldChar w:fldCharType="separate"/>
      </w:r>
      <w:r w:rsidR="009D4492">
        <w:rPr>
          <w:noProof/>
          <w:lang w:val="en-AU"/>
        </w:rPr>
        <w:t>(Paddock to Reef, 2013)</w:t>
      </w:r>
      <w:r w:rsidR="00997513">
        <w:rPr>
          <w:lang w:val="en-AU"/>
        </w:rPr>
        <w:fldChar w:fldCharType="end"/>
      </w:r>
      <w:r w:rsidR="00897F99">
        <w:rPr>
          <w:lang w:val="en-AU"/>
        </w:rPr>
        <w:t>. Progress is</w:t>
      </w:r>
      <w:r w:rsidR="00516EA8">
        <w:rPr>
          <w:lang w:val="en-AU"/>
        </w:rPr>
        <w:t xml:space="preserve"> reported through annual Report Cards. </w:t>
      </w:r>
      <w:r w:rsidR="00897F99">
        <w:rPr>
          <w:lang w:val="en-AU"/>
        </w:rPr>
        <w:t xml:space="preserve">One of the </w:t>
      </w:r>
      <w:r w:rsidR="00897F99" w:rsidRPr="00897F99">
        <w:rPr>
          <w:lang w:val="en-AU"/>
        </w:rPr>
        <w:t xml:space="preserve">10 inter-related components of the </w:t>
      </w:r>
      <w:r w:rsidR="00897F99">
        <w:rPr>
          <w:lang w:val="en-AU"/>
        </w:rPr>
        <w:t xml:space="preserve">Paddock to Reef </w:t>
      </w:r>
      <w:r w:rsidR="00897F99" w:rsidRPr="00897F99">
        <w:rPr>
          <w:lang w:val="en-AU"/>
        </w:rPr>
        <w:t>program</w:t>
      </w:r>
      <w:r w:rsidR="00897F99">
        <w:rPr>
          <w:lang w:val="en-AU"/>
        </w:rPr>
        <w:t xml:space="preserve"> is the</w:t>
      </w:r>
      <w:r w:rsidR="00A11EFB">
        <w:rPr>
          <w:lang w:val="en-AU"/>
        </w:rPr>
        <w:t xml:space="preserve"> </w:t>
      </w:r>
      <w:r w:rsidR="00A11EFB" w:rsidRPr="00A11EFB">
        <w:rPr>
          <w:lang w:val="en-AU"/>
        </w:rPr>
        <w:t xml:space="preserve">Marine Monitoring Program (MMP), formerly </w:t>
      </w:r>
      <w:r w:rsidR="00642A99">
        <w:rPr>
          <w:lang w:val="en-AU"/>
        </w:rPr>
        <w:t>Reef Plan</w:t>
      </w:r>
      <w:r w:rsidR="00897F99">
        <w:rPr>
          <w:lang w:val="en-AU"/>
        </w:rPr>
        <w:t xml:space="preserve"> MMP. The </w:t>
      </w:r>
      <w:r w:rsidR="0059608E">
        <w:rPr>
          <w:lang w:val="en-AU"/>
        </w:rPr>
        <w:t>MMP</w:t>
      </w:r>
      <w:r w:rsidR="0059608E" w:rsidRPr="003A34F4">
        <w:t xml:space="preserve"> </w:t>
      </w:r>
      <w:r w:rsidR="0059608E" w:rsidRPr="003A34F4">
        <w:rPr>
          <w:lang w:val="en-AU"/>
        </w:rPr>
        <w:t xml:space="preserve">covers the </w:t>
      </w:r>
      <w:r w:rsidR="0059608E">
        <w:rPr>
          <w:lang w:val="en-AU"/>
        </w:rPr>
        <w:t>Reef</w:t>
      </w:r>
      <w:r w:rsidR="0059608E" w:rsidRPr="003A34F4">
        <w:rPr>
          <w:lang w:val="en-AU"/>
        </w:rPr>
        <w:t xml:space="preserve"> inshore environment and </w:t>
      </w:r>
      <w:r w:rsidR="0059608E">
        <w:rPr>
          <w:lang w:val="en-AU"/>
        </w:rPr>
        <w:t xml:space="preserve">is a collaborative effort </w:t>
      </w:r>
      <w:r w:rsidR="00C36509">
        <w:rPr>
          <w:lang w:val="en-AU"/>
        </w:rPr>
        <w:t xml:space="preserve">between the Australian Government and </w:t>
      </w:r>
      <w:r w:rsidR="0059608E">
        <w:rPr>
          <w:lang w:val="en-AU"/>
        </w:rPr>
        <w:t>several research</w:t>
      </w:r>
      <w:r w:rsidR="00897F99">
        <w:rPr>
          <w:lang w:val="en-AU"/>
        </w:rPr>
        <w:t xml:space="preserve"> group</w:t>
      </w:r>
      <w:r w:rsidR="0059608E">
        <w:rPr>
          <w:lang w:val="en-AU"/>
        </w:rPr>
        <w:t>s</w:t>
      </w:r>
      <w:r w:rsidR="00A04B2C">
        <w:rPr>
          <w:lang w:val="en-AU"/>
        </w:rPr>
        <w:t>. The program aims</w:t>
      </w:r>
      <w:r w:rsidR="0059608E">
        <w:rPr>
          <w:lang w:val="en-AU"/>
        </w:rPr>
        <w:t xml:space="preserve"> to assess </w:t>
      </w:r>
      <w:r w:rsidR="0059608E" w:rsidRPr="003A34F4">
        <w:rPr>
          <w:lang w:val="en-AU"/>
        </w:rPr>
        <w:t>long-term changes</w:t>
      </w:r>
      <w:r w:rsidR="0059608E">
        <w:rPr>
          <w:lang w:val="en-AU"/>
        </w:rPr>
        <w:t xml:space="preserve"> (trends)</w:t>
      </w:r>
      <w:r w:rsidR="0059608E" w:rsidRPr="003A34F4">
        <w:rPr>
          <w:lang w:val="en-AU"/>
        </w:rPr>
        <w:t xml:space="preserve"> in the condition of inshore water quality, </w:t>
      </w:r>
      <w:r w:rsidR="00A04B2C">
        <w:rPr>
          <w:lang w:val="en-AU"/>
        </w:rPr>
        <w:t>and</w:t>
      </w:r>
      <w:r w:rsidR="0059608E" w:rsidRPr="00302DC5">
        <w:rPr>
          <w:lang w:val="en-AU"/>
        </w:rPr>
        <w:t xml:space="preserve"> link this to changes in the health</w:t>
      </w:r>
      <w:r w:rsidR="0059608E">
        <w:rPr>
          <w:lang w:val="en-AU"/>
        </w:rPr>
        <w:t xml:space="preserve"> </w:t>
      </w:r>
      <w:r w:rsidR="0059608E" w:rsidRPr="00302DC5">
        <w:rPr>
          <w:lang w:val="en-AU"/>
        </w:rPr>
        <w:t>of key inshore environments (coral reefs and seagrass)</w:t>
      </w:r>
      <w:r w:rsidR="009A471C">
        <w:rPr>
          <w:lang w:val="en-AU"/>
        </w:rPr>
        <w:t xml:space="preserve"> </w:t>
      </w:r>
      <w:r w:rsidR="00997513">
        <w:rPr>
          <w:lang w:val="en-AU"/>
        </w:rPr>
        <w:fldChar w:fldCharType="begin"/>
      </w:r>
      <w:r w:rsidR="009D4492">
        <w:rPr>
          <w:lang w:val="en-AU"/>
        </w:rPr>
        <w:instrText xml:space="preserve"> ADDIN EN.CITE &lt;EndNote&gt;&lt;Cite&gt;&lt;Author&gt;GBRMPA&lt;/Author&gt;&lt;Year&gt;2011&lt;/Year&gt;&lt;RecNum&gt;101&lt;/RecNum&gt;&lt;DisplayText&gt;(GBRMPA, 2011)&lt;/DisplayText&gt;&lt;record&gt;&lt;rec-number&gt;101&lt;/rec-number&gt;&lt;foreign-keys&gt;&lt;key app="EN" db-id="vvtrt2pt4xpx5teta99vvtwg50vzve2aexae" timestamp="1513756460"&gt;101&lt;/key&gt;&lt;/foreign-keys&gt;&lt;ref-type name="Web Page"&gt;12&lt;/ref-type&gt;&lt;contributors&gt;&lt;authors&gt;&lt;author&gt;GBRMPA,&lt;/author&gt;&lt;/authors&gt;&lt;/contributors&gt;&lt;titles&gt;&lt;title&gt;Marine Monitoring Program&lt;/title&gt;&lt;/titles&gt;&lt;dates&gt;&lt;year&gt;2011&lt;/year&gt;&lt;/dates&gt;&lt;urls&gt;&lt;related-urls&gt;&lt;url&gt;http://www.gbrmpa.gov.au/managing-the-reef/how-the-reefs-managed/reef-2050-marine-monitoring-program&lt;/url&gt;&lt;/related-urls&gt;&lt;/urls&gt;&lt;/record&gt;&lt;/Cite&gt;&lt;/EndNote&gt;</w:instrText>
      </w:r>
      <w:r w:rsidR="00997513">
        <w:rPr>
          <w:lang w:val="en-AU"/>
        </w:rPr>
        <w:fldChar w:fldCharType="separate"/>
      </w:r>
      <w:r w:rsidR="009D4492">
        <w:rPr>
          <w:noProof/>
          <w:lang w:val="en-AU"/>
        </w:rPr>
        <w:t>(GBRMPA, 2011)</w:t>
      </w:r>
      <w:r w:rsidR="00997513">
        <w:rPr>
          <w:lang w:val="en-AU"/>
        </w:rPr>
        <w:fldChar w:fldCharType="end"/>
      </w:r>
      <w:r w:rsidR="00997513">
        <w:rPr>
          <w:lang w:val="en-AU"/>
        </w:rPr>
        <w:t>.</w:t>
      </w:r>
      <w:r w:rsidR="0059608E" w:rsidRPr="003A34F4">
        <w:rPr>
          <w:lang w:val="en-AU"/>
        </w:rPr>
        <w:t xml:space="preserve"> </w:t>
      </w:r>
      <w:r w:rsidR="00BE0825">
        <w:rPr>
          <w:lang w:val="en-AU"/>
        </w:rPr>
        <w:t xml:space="preserve">There are several indicators of inshore water quality, including </w:t>
      </w:r>
      <w:r w:rsidR="00BE0825">
        <w:rPr>
          <w:rFonts w:cs="Arial"/>
          <w:lang w:val="en-AU"/>
        </w:rPr>
        <w:t>sediment, nutrient and pesticide levels,</w:t>
      </w:r>
      <w:r w:rsidR="00BE0825">
        <w:rPr>
          <w:lang w:val="en-AU"/>
        </w:rPr>
        <w:t xml:space="preserve"> and </w:t>
      </w:r>
      <w:r w:rsidR="00BE0825" w:rsidRPr="008467AA">
        <w:rPr>
          <w:lang w:val="en-AU"/>
        </w:rPr>
        <w:t xml:space="preserve">this </w:t>
      </w:r>
      <w:r w:rsidR="00BE0825">
        <w:rPr>
          <w:lang w:val="en-AU"/>
        </w:rPr>
        <w:t xml:space="preserve">current </w:t>
      </w:r>
      <w:r w:rsidR="00BE0825" w:rsidRPr="008467AA">
        <w:rPr>
          <w:lang w:val="en-AU"/>
        </w:rPr>
        <w:t>report</w:t>
      </w:r>
      <w:r w:rsidR="00BE0825">
        <w:rPr>
          <w:lang w:val="en-AU"/>
        </w:rPr>
        <w:t xml:space="preserve"> provides</w:t>
      </w:r>
      <w:r w:rsidR="00897F99" w:rsidRPr="008467AA">
        <w:rPr>
          <w:lang w:val="en-AU"/>
        </w:rPr>
        <w:t xml:space="preserve"> information about the temporal/spatial trends in </w:t>
      </w:r>
      <w:r w:rsidR="00897F99">
        <w:rPr>
          <w:lang w:val="en-AU"/>
        </w:rPr>
        <w:t>pesticide levels</w:t>
      </w:r>
      <w:r w:rsidR="00897F99" w:rsidRPr="008467AA">
        <w:rPr>
          <w:lang w:val="en-AU"/>
        </w:rPr>
        <w:t xml:space="preserve"> </w:t>
      </w:r>
      <w:r w:rsidR="007B5B86">
        <w:rPr>
          <w:lang w:val="en-AU"/>
        </w:rPr>
        <w:t>in the</w:t>
      </w:r>
      <w:r w:rsidR="00897F99" w:rsidRPr="008467AA">
        <w:rPr>
          <w:lang w:val="en-AU"/>
        </w:rPr>
        <w:t xml:space="preserve"> inshore </w:t>
      </w:r>
      <w:r w:rsidR="007B5B86">
        <w:rPr>
          <w:lang w:val="en-AU"/>
        </w:rPr>
        <w:t>Reef zone</w:t>
      </w:r>
      <w:r w:rsidR="00897F99">
        <w:rPr>
          <w:lang w:val="en-AU"/>
        </w:rPr>
        <w:t xml:space="preserve"> as well as</w:t>
      </w:r>
      <w:r w:rsidR="00897F99" w:rsidRPr="008467AA">
        <w:rPr>
          <w:lang w:val="en-AU"/>
        </w:rPr>
        <w:t xml:space="preserve"> in flood plumes</w:t>
      </w:r>
      <w:r w:rsidR="00897F99">
        <w:rPr>
          <w:lang w:val="en-AU"/>
        </w:rPr>
        <w:t xml:space="preserve">. Separate reports under the MMP provide </w:t>
      </w:r>
      <w:r w:rsidR="007B5B86">
        <w:rPr>
          <w:lang w:val="en-AU"/>
        </w:rPr>
        <w:t xml:space="preserve">an assessment of </w:t>
      </w:r>
      <w:r w:rsidR="00BE0825">
        <w:rPr>
          <w:lang w:val="en-AU"/>
        </w:rPr>
        <w:t xml:space="preserve">other </w:t>
      </w:r>
      <w:r w:rsidR="007B5B86">
        <w:rPr>
          <w:lang w:val="en-AU"/>
        </w:rPr>
        <w:t>inshore marine water quality</w:t>
      </w:r>
      <w:r w:rsidR="007B5B86" w:rsidRPr="007B5B86">
        <w:rPr>
          <w:lang w:val="en-AU"/>
        </w:rPr>
        <w:t xml:space="preserve"> </w:t>
      </w:r>
      <w:r w:rsidR="00BE0825">
        <w:rPr>
          <w:lang w:val="en-AU"/>
        </w:rPr>
        <w:t xml:space="preserve">indicators </w:t>
      </w:r>
      <w:r w:rsidR="007B5B86" w:rsidRPr="007B5B86">
        <w:rPr>
          <w:lang w:val="en-AU"/>
        </w:rPr>
        <w:t xml:space="preserve">and </w:t>
      </w:r>
      <w:r w:rsidR="007B5B86">
        <w:rPr>
          <w:lang w:val="en-AU"/>
        </w:rPr>
        <w:t>linkages between</w:t>
      </w:r>
      <w:r w:rsidR="007B5B86" w:rsidRPr="007B5B86">
        <w:rPr>
          <w:lang w:val="en-AU"/>
        </w:rPr>
        <w:t xml:space="preserve"> river discharge and pollutant concentrations to end-of-catchment loads </w:t>
      </w:r>
      <w:r w:rsidR="00AB0795">
        <w:rPr>
          <w:lang w:val="en-AU"/>
        </w:rPr>
        <w:fldChar w:fldCharType="begin"/>
      </w:r>
      <w:r w:rsidR="00AB0795">
        <w:rPr>
          <w:lang w:val="en-AU"/>
        </w:rPr>
        <w:instrText xml:space="preserve"> ADDIN EN.CITE &lt;EndNote&gt;&lt;Cite&gt;&lt;Author&gt;Waterhouse&lt;/Author&gt;&lt;Year&gt;2017&lt;/Year&gt;&lt;RecNum&gt;39&lt;/RecNum&gt;&lt;DisplayText&gt;(Waterhouse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AB0795">
        <w:rPr>
          <w:lang w:val="en-AU"/>
        </w:rPr>
        <w:fldChar w:fldCharType="separate"/>
      </w:r>
      <w:r w:rsidR="00AB0795">
        <w:rPr>
          <w:noProof/>
          <w:lang w:val="en-AU"/>
        </w:rPr>
        <w:t>(Waterhouse et al., 2017b)</w:t>
      </w:r>
      <w:r w:rsidR="00AB0795">
        <w:rPr>
          <w:lang w:val="en-AU"/>
        </w:rPr>
        <w:fldChar w:fldCharType="end"/>
      </w:r>
      <w:r w:rsidR="00D54D87">
        <w:rPr>
          <w:lang w:val="en-AU"/>
        </w:rPr>
        <w:t xml:space="preserve">, </w:t>
      </w:r>
      <w:r w:rsidR="00897F99">
        <w:rPr>
          <w:lang w:val="en-AU"/>
        </w:rPr>
        <w:t>the</w:t>
      </w:r>
      <w:r w:rsidR="00897F99" w:rsidRPr="008467AA">
        <w:rPr>
          <w:lang w:val="en-AU"/>
        </w:rPr>
        <w:t xml:space="preserve"> coral cover and composition </w:t>
      </w:r>
      <w:r w:rsidR="00AB0795">
        <w:rPr>
          <w:lang w:val="en-AU"/>
        </w:rPr>
        <w:fldChar w:fldCharType="begin"/>
      </w:r>
      <w:r w:rsidR="00AB0795">
        <w:rPr>
          <w:lang w:val="en-AU"/>
        </w:rPr>
        <w:instrText xml:space="preserve"> ADDIN EN.CITE &lt;EndNote&gt;&lt;Cite&gt;&lt;Author&gt;Thompson&lt;/Author&gt;&lt;Year&gt;2017&lt;/Year&gt;&lt;RecNum&gt;105&lt;/RecNum&gt;&lt;DisplayText&gt;(Thompson et al., 2017)&lt;/DisplayText&gt;&lt;record&gt;&lt;rec-number&gt;105&lt;/rec-number&gt;&lt;foreign-keys&gt;&lt;key app="EN" db-id="vvtrt2pt4xpx5teta99vvtwg50vzve2aexae" timestamp="1513808996"&gt;105&lt;/key&gt;&lt;/foreign-keys&gt;&lt;ref-type name="Report"&gt;27&lt;/ref-type&gt;&lt;contributors&gt;&lt;authors&gt;&lt;author&gt;Thompson, A&lt;/author&gt;&lt;author&gt;Costello, P&lt;/author&gt;&lt;author&gt;Davidson, J&lt;/author&gt;&lt;author&gt;Logan, M&lt;/author&gt;&lt;author&gt;Coleman, G&lt;/author&gt;&lt;author&gt;Gunn, K&lt;/author&gt;&lt;author&gt;Schaffelke, B&lt;/author&gt;&lt;/authors&gt;&lt;/contributors&gt;&lt;titles&gt;&lt;title&gt;Marine Monitoring Program. Annual Report for coral reef monitoring: 2015 to 2016. Australian Institute of Marine Science, Townsville.133 pp.&lt;/title&gt;&lt;/titles&gt;&lt;dates&gt;&lt;year&gt;2017&lt;/year&gt;&lt;/dates&gt;&lt;urls&gt;&lt;/urls&gt;&lt;/record&gt;&lt;/Cite&gt;&lt;/EndNote&gt;</w:instrText>
      </w:r>
      <w:r w:rsidR="00AB0795">
        <w:rPr>
          <w:lang w:val="en-AU"/>
        </w:rPr>
        <w:fldChar w:fldCharType="separate"/>
      </w:r>
      <w:r w:rsidR="00AB0795">
        <w:rPr>
          <w:noProof/>
          <w:lang w:val="en-AU"/>
        </w:rPr>
        <w:t>(Thompson et al., 2017)</w:t>
      </w:r>
      <w:r w:rsidR="00AB0795">
        <w:rPr>
          <w:lang w:val="en-AU"/>
        </w:rPr>
        <w:fldChar w:fldCharType="end"/>
      </w:r>
      <w:r w:rsidR="00897F99">
        <w:rPr>
          <w:lang w:val="en-AU"/>
        </w:rPr>
        <w:t xml:space="preserve"> and seagrass health and extent </w:t>
      </w:r>
      <w:r w:rsidR="00AB0795">
        <w:rPr>
          <w:lang w:val="en-AU"/>
        </w:rPr>
        <w:fldChar w:fldCharType="begin"/>
      </w:r>
      <w:r w:rsidR="00AB0795">
        <w:rPr>
          <w:lang w:val="en-AU"/>
        </w:rPr>
        <w:instrText xml:space="preserve"> ADDIN EN.CITE &lt;EndNote&gt;&lt;Cite&gt;&lt;Author&gt;McKenzie&lt;/Author&gt;&lt;Year&gt;2017&lt;/Year&gt;&lt;RecNum&gt;104&lt;/RecNum&gt;&lt;DisplayText&gt;(McKenzie et al., 2017)&lt;/DisplayText&gt;&lt;record&gt;&lt;rec-number&gt;104&lt;/rec-number&gt;&lt;foreign-keys&gt;&lt;key app="EN" db-id="vvtrt2pt4xpx5teta99vvtwg50vzve2aexae" timestamp="1513808685"&gt;104&lt;/key&gt;&lt;/foreign-keys&gt;&lt;ref-type name="Report"&gt;27&lt;/ref-type&gt;&lt;contributors&gt;&lt;authors&gt;&lt;author&gt;McKenzie, LJ&lt;/author&gt;&lt;author&gt;Collier, CJ&lt;/author&gt;&lt;author&gt;Langlois, LA&lt;/author&gt;&lt;author&gt;Yoshida, RL&lt;/author&gt;&lt;author&gt;Smith, N&lt;/author&gt;&lt;author&gt;Waycott, M&lt;/author&gt;&lt;/authors&gt;&lt;/contributors&gt;&lt;titles&gt;&lt;title&gt;Marine Monitoring Program: Annual Report for inshore seagrass monitoring 2015-2016. Report for the Great Barrier Reef Marine Park Authority, Great Barrier Reef Marine Park Authority, Townsville, 243pp&lt;/title&gt;&lt;/titles&gt;&lt;dates&gt;&lt;year&gt;2017&lt;/year&gt;&lt;/dates&gt;&lt;urls&gt;&lt;/urls&gt;&lt;/record&gt;&lt;/Cite&gt;&lt;/EndNote&gt;</w:instrText>
      </w:r>
      <w:r w:rsidR="00AB0795">
        <w:rPr>
          <w:lang w:val="en-AU"/>
        </w:rPr>
        <w:fldChar w:fldCharType="separate"/>
      </w:r>
      <w:r w:rsidR="00AB0795">
        <w:rPr>
          <w:noProof/>
          <w:lang w:val="en-AU"/>
        </w:rPr>
        <w:t>(McKenzie et al., 2017)</w:t>
      </w:r>
      <w:r w:rsidR="00AB0795">
        <w:rPr>
          <w:lang w:val="en-AU"/>
        </w:rPr>
        <w:fldChar w:fldCharType="end"/>
      </w:r>
      <w:r w:rsidR="005C069F">
        <w:rPr>
          <w:lang w:val="en-AU"/>
        </w:rPr>
        <w:t>.</w:t>
      </w:r>
    </w:p>
    <w:p w14:paraId="15720CF8" w14:textId="77777777" w:rsidR="0052590C" w:rsidRDefault="0052590C" w:rsidP="00015606">
      <w:pPr>
        <w:spacing w:line="276" w:lineRule="auto"/>
        <w:rPr>
          <w:lang w:val="en-AU"/>
        </w:rPr>
      </w:pPr>
    </w:p>
    <w:p w14:paraId="15720CF9" w14:textId="77777777" w:rsidR="0059608E" w:rsidRDefault="0059608E" w:rsidP="00015606">
      <w:pPr>
        <w:spacing w:line="276" w:lineRule="auto"/>
        <w:rPr>
          <w:lang w:val="en-AU"/>
        </w:rPr>
      </w:pPr>
      <w:r>
        <w:rPr>
          <w:lang w:val="en-AU"/>
        </w:rPr>
        <w:t xml:space="preserve">The </w:t>
      </w:r>
      <w:r w:rsidR="007B5B86">
        <w:rPr>
          <w:lang w:val="en-AU"/>
        </w:rPr>
        <w:t xml:space="preserve">specific </w:t>
      </w:r>
      <w:r>
        <w:rPr>
          <w:lang w:val="en-AU"/>
        </w:rPr>
        <w:t>objectives of the</w:t>
      </w:r>
      <w:r w:rsidRPr="00CA13BA">
        <w:rPr>
          <w:lang w:val="en-AU"/>
        </w:rPr>
        <w:t xml:space="preserve"> </w:t>
      </w:r>
      <w:r>
        <w:rPr>
          <w:lang w:val="en-AU"/>
        </w:rPr>
        <w:t>pesticide monitoring component of the MMP are to</w:t>
      </w:r>
      <w:r w:rsidR="00293857">
        <w:rPr>
          <w:lang w:val="en-AU"/>
        </w:rPr>
        <w:t>:</w:t>
      </w:r>
    </w:p>
    <w:p w14:paraId="15720CFA" w14:textId="77777777" w:rsidR="0059608E" w:rsidRPr="00287D44" w:rsidRDefault="0059608E" w:rsidP="00220439">
      <w:pPr>
        <w:pStyle w:val="ListParagraph"/>
        <w:numPr>
          <w:ilvl w:val="0"/>
          <w:numId w:val="7"/>
        </w:numPr>
        <w:spacing w:line="276" w:lineRule="auto"/>
        <w:rPr>
          <w:lang w:val="en-AU"/>
        </w:rPr>
      </w:pPr>
      <w:r w:rsidRPr="00287D44">
        <w:rPr>
          <w:lang w:val="en-AU"/>
        </w:rPr>
        <w:t xml:space="preserve">Monitor and assess trends in inshore concentrations of pesticides against </w:t>
      </w:r>
      <w:r w:rsidR="007E4CA0">
        <w:rPr>
          <w:lang w:val="en-AU"/>
        </w:rPr>
        <w:t>w</w:t>
      </w:r>
      <w:r w:rsidRPr="00287D44">
        <w:rPr>
          <w:lang w:val="en-AU"/>
        </w:rPr>
        <w:t xml:space="preserve">ater </w:t>
      </w:r>
      <w:r w:rsidR="007E4CA0">
        <w:rPr>
          <w:lang w:val="en-AU"/>
        </w:rPr>
        <w:t>q</w:t>
      </w:r>
      <w:r w:rsidRPr="00287D44">
        <w:rPr>
          <w:lang w:val="en-AU"/>
        </w:rPr>
        <w:t xml:space="preserve">uality </w:t>
      </w:r>
      <w:r w:rsidR="007E4CA0">
        <w:rPr>
          <w:lang w:val="en-AU"/>
        </w:rPr>
        <w:t>g</w:t>
      </w:r>
      <w:r w:rsidRPr="00287D44">
        <w:rPr>
          <w:lang w:val="en-AU"/>
        </w:rPr>
        <w:t>uideline</w:t>
      </w:r>
      <w:r w:rsidR="007E4CA0">
        <w:rPr>
          <w:lang w:val="en-AU"/>
        </w:rPr>
        <w:t xml:space="preserve"> value</w:t>
      </w:r>
      <w:r w:rsidRPr="00287D44">
        <w:rPr>
          <w:lang w:val="en-AU"/>
        </w:rPr>
        <w:t xml:space="preserve">s </w:t>
      </w:r>
      <w:r w:rsidR="007E4CA0">
        <w:rPr>
          <w:lang w:val="en-AU"/>
        </w:rPr>
        <w:t>relevant to</w:t>
      </w:r>
      <w:r w:rsidRPr="00287D44">
        <w:rPr>
          <w:lang w:val="en-AU"/>
        </w:rPr>
        <w:t xml:space="preserve"> the </w:t>
      </w:r>
      <w:r>
        <w:rPr>
          <w:lang w:val="en-AU"/>
        </w:rPr>
        <w:t>Marine Park</w:t>
      </w:r>
      <w:r w:rsidR="00856BB9">
        <w:rPr>
          <w:lang w:val="en-AU"/>
        </w:rPr>
        <w:t>,</w:t>
      </w:r>
      <w:r>
        <w:rPr>
          <w:lang w:val="en-AU"/>
        </w:rPr>
        <w:t xml:space="preserve"> and</w:t>
      </w:r>
    </w:p>
    <w:p w14:paraId="15720CFB" w14:textId="77777777" w:rsidR="0059608E" w:rsidRPr="00975246" w:rsidRDefault="0059608E" w:rsidP="00220439">
      <w:pPr>
        <w:pStyle w:val="ListParagraph"/>
        <w:numPr>
          <w:ilvl w:val="0"/>
          <w:numId w:val="7"/>
        </w:numPr>
        <w:spacing w:line="276" w:lineRule="auto"/>
        <w:rPr>
          <w:lang w:val="en-AU"/>
        </w:rPr>
      </w:pPr>
      <w:r w:rsidRPr="00975246">
        <w:rPr>
          <w:lang w:val="en-AU"/>
        </w:rPr>
        <w:t>Link inshore concentrations of pesticides and their end-of-catchment loads.</w:t>
      </w:r>
    </w:p>
    <w:p w14:paraId="15720CFC" w14:textId="77777777" w:rsidR="0059608E" w:rsidRDefault="0059608E" w:rsidP="00015606">
      <w:pPr>
        <w:pStyle w:val="ListParagraph"/>
        <w:spacing w:line="276" w:lineRule="auto"/>
        <w:rPr>
          <w:lang w:val="en-AU"/>
        </w:rPr>
      </w:pPr>
    </w:p>
    <w:p w14:paraId="15720CFD" w14:textId="77777777" w:rsidR="007721EA" w:rsidRDefault="00856BB9" w:rsidP="00015606">
      <w:pPr>
        <w:spacing w:line="276" w:lineRule="auto"/>
        <w:rPr>
          <w:lang w:val="en-AU"/>
        </w:rPr>
      </w:pPr>
      <w:r w:rsidRPr="00856BB9">
        <w:rPr>
          <w:lang w:val="en-AU"/>
        </w:rPr>
        <w:t xml:space="preserve">The program methods and results in 2015-16 are presented in this report with </w:t>
      </w:r>
      <w:r>
        <w:rPr>
          <w:lang w:val="en-AU"/>
        </w:rPr>
        <w:t>temporal (historical monitoring data since 2005) and spatial (</w:t>
      </w:r>
      <w:r w:rsidRPr="00856BB9">
        <w:rPr>
          <w:lang w:val="en-AU"/>
        </w:rPr>
        <w:t xml:space="preserve">regional and </w:t>
      </w:r>
      <w:r>
        <w:rPr>
          <w:lang w:val="en-AU"/>
        </w:rPr>
        <w:t>Reef</w:t>
      </w:r>
      <w:r w:rsidRPr="00856BB9">
        <w:rPr>
          <w:lang w:val="en-AU"/>
        </w:rPr>
        <w:t>-wide</w:t>
      </w:r>
      <w:r>
        <w:rPr>
          <w:lang w:val="en-AU"/>
        </w:rPr>
        <w:t>)</w:t>
      </w:r>
      <w:r w:rsidRPr="00856BB9">
        <w:rPr>
          <w:lang w:val="en-AU"/>
        </w:rPr>
        <w:t xml:space="preserve"> interpretation.</w:t>
      </w:r>
    </w:p>
    <w:p w14:paraId="15720CFE" w14:textId="77777777" w:rsidR="00114A66" w:rsidRPr="00091FD4" w:rsidRDefault="00114A66" w:rsidP="00015606">
      <w:pPr>
        <w:spacing w:line="276" w:lineRule="auto"/>
        <w:rPr>
          <w:lang w:val="en-AU"/>
        </w:rPr>
      </w:pPr>
    </w:p>
    <w:p w14:paraId="15720CFF" w14:textId="77777777" w:rsidR="00420835" w:rsidRDefault="00420835" w:rsidP="00015606">
      <w:pPr>
        <w:spacing w:line="276" w:lineRule="auto"/>
        <w:rPr>
          <w:lang w:val="en-AU"/>
        </w:rPr>
      </w:pPr>
      <w:r>
        <w:rPr>
          <w:lang w:val="en-AU"/>
        </w:rPr>
        <w:br w:type="page"/>
      </w:r>
    </w:p>
    <w:p w14:paraId="15720D00" w14:textId="77777777" w:rsidR="0059608E" w:rsidRPr="00747824" w:rsidRDefault="004E0EF8" w:rsidP="00200C83">
      <w:pPr>
        <w:pStyle w:val="Heading1"/>
        <w:keepNext/>
        <w:numPr>
          <w:ilvl w:val="0"/>
          <w:numId w:val="1"/>
        </w:numPr>
        <w:spacing w:before="120" w:after="480" w:line="240" w:lineRule="auto"/>
        <w:ind w:left="574" w:hanging="574"/>
        <w:jc w:val="both"/>
        <w:rPr>
          <w:rFonts w:eastAsia="Times New Roman" w:cs="Arial"/>
          <w:bCs w:val="0"/>
          <w:caps w:val="0"/>
          <w:kern w:val="28"/>
          <w:sz w:val="36"/>
          <w:szCs w:val="28"/>
          <w:lang w:eastAsia="en-US" w:bidi="ar-SA"/>
        </w:rPr>
      </w:pPr>
      <w:bookmarkStart w:id="24" w:name="_Toc502499985"/>
      <w:bookmarkStart w:id="25" w:name="_Toc201489873"/>
      <w:r>
        <w:rPr>
          <w:rFonts w:eastAsia="Times New Roman" w:cs="Arial"/>
          <w:bCs w:val="0"/>
          <w:caps w:val="0"/>
          <w:kern w:val="28"/>
          <w:sz w:val="36"/>
          <w:szCs w:val="28"/>
          <w:lang w:eastAsia="en-US" w:bidi="ar-SA"/>
        </w:rPr>
        <w:lastRenderedPageBreak/>
        <w:t>Methodology</w:t>
      </w:r>
      <w:bookmarkEnd w:id="24"/>
    </w:p>
    <w:p w14:paraId="15720D01" w14:textId="77777777" w:rsidR="006D72DC" w:rsidRPr="006D72DC" w:rsidRDefault="006D72DC" w:rsidP="00220439">
      <w:pPr>
        <w:pStyle w:val="Heading2"/>
        <w:keepNext/>
        <w:keepLines/>
        <w:numPr>
          <w:ilvl w:val="1"/>
          <w:numId w:val="1"/>
        </w:numPr>
        <w:pBdr>
          <w:bottom w:val="none" w:sz="0" w:space="0" w:color="auto"/>
        </w:pBdr>
        <w:spacing w:before="240" w:after="120"/>
        <w:rPr>
          <w:bCs/>
          <w:sz w:val="26"/>
          <w:szCs w:val="26"/>
          <w:lang w:val="en-AU" w:eastAsia="en-US" w:bidi="ar-SA"/>
        </w:rPr>
      </w:pPr>
      <w:bookmarkStart w:id="26" w:name="_Toc502499986"/>
      <w:r w:rsidRPr="006D72DC">
        <w:rPr>
          <w:bCs/>
          <w:sz w:val="26"/>
          <w:szCs w:val="26"/>
          <w:lang w:val="en-AU" w:eastAsia="en-US" w:bidi="ar-SA"/>
        </w:rPr>
        <w:t>Overview</w:t>
      </w:r>
      <w:bookmarkEnd w:id="26"/>
    </w:p>
    <w:p w14:paraId="15720D02" w14:textId="77777777" w:rsidR="006D72DC" w:rsidRDefault="006D72DC" w:rsidP="00015606">
      <w:pPr>
        <w:spacing w:line="276" w:lineRule="auto"/>
        <w:rPr>
          <w:lang w:val="en-AU"/>
        </w:rPr>
      </w:pPr>
    </w:p>
    <w:p w14:paraId="15720D03" w14:textId="570034CA" w:rsidR="0059608E" w:rsidRDefault="0059608E" w:rsidP="00015606">
      <w:pPr>
        <w:spacing w:line="276" w:lineRule="auto"/>
        <w:rPr>
          <w:lang w:val="en-AU"/>
        </w:rPr>
      </w:pPr>
      <w:r>
        <w:rPr>
          <w:lang w:val="en-AU"/>
        </w:rPr>
        <w:t xml:space="preserve">Water quality monitoring </w:t>
      </w:r>
      <w:r w:rsidR="007E4CA0">
        <w:rPr>
          <w:lang w:val="en-AU"/>
        </w:rPr>
        <w:t xml:space="preserve">was conducted </w:t>
      </w:r>
      <w:r>
        <w:rPr>
          <w:lang w:val="en-AU"/>
        </w:rPr>
        <w:t xml:space="preserve">at </w:t>
      </w:r>
      <w:r w:rsidR="00801185">
        <w:rPr>
          <w:lang w:val="en-AU"/>
        </w:rPr>
        <w:t xml:space="preserve">fixed </w:t>
      </w:r>
      <w:r w:rsidR="000A514F">
        <w:rPr>
          <w:lang w:val="en-AU"/>
        </w:rPr>
        <w:t xml:space="preserve">(long-term) </w:t>
      </w:r>
      <w:r w:rsidR="00801185">
        <w:rPr>
          <w:lang w:val="en-AU"/>
        </w:rPr>
        <w:t>monitoring</w:t>
      </w:r>
      <w:r>
        <w:rPr>
          <w:lang w:val="en-AU"/>
        </w:rPr>
        <w:t xml:space="preserve"> sites using passive sampling techniques</w:t>
      </w:r>
      <w:r w:rsidR="000D7725">
        <w:rPr>
          <w:lang w:val="en-AU"/>
        </w:rPr>
        <w:t>:</w:t>
      </w:r>
      <w:r w:rsidR="000A514F">
        <w:rPr>
          <w:lang w:val="en-AU"/>
        </w:rPr>
        <w:t xml:space="preserve"> a time-integrated sampling technique that provides a time-averaged estimated concentration</w:t>
      </w:r>
      <w:r>
        <w:rPr>
          <w:lang w:val="en-AU"/>
        </w:rPr>
        <w:t>.</w:t>
      </w:r>
      <w:r w:rsidRPr="00C11BBA">
        <w:rPr>
          <w:lang w:val="en-AU"/>
        </w:rPr>
        <w:t xml:space="preserve"> These samplers accumulate chemicals </w:t>
      </w:r>
      <w:r>
        <w:rPr>
          <w:lang w:val="en-AU"/>
        </w:rPr>
        <w:t xml:space="preserve">into a sorbing material </w:t>
      </w:r>
      <w:r w:rsidRPr="00C11BBA">
        <w:rPr>
          <w:lang w:val="en-AU"/>
        </w:rPr>
        <w:t xml:space="preserve">from water via passive diffusion. The passive sampling techniques </w:t>
      </w:r>
      <w:r>
        <w:rPr>
          <w:lang w:val="en-AU"/>
        </w:rPr>
        <w:t xml:space="preserve">which are utilized in this component of the </w:t>
      </w:r>
      <w:r w:rsidRPr="00C11BBA">
        <w:rPr>
          <w:lang w:val="en-AU"/>
        </w:rPr>
        <w:t>MMP include:</w:t>
      </w:r>
    </w:p>
    <w:p w14:paraId="15720D04" w14:textId="77777777" w:rsidR="0059608E" w:rsidRPr="00C11BBA" w:rsidRDefault="0059608E" w:rsidP="00015606">
      <w:pPr>
        <w:spacing w:line="276" w:lineRule="auto"/>
        <w:rPr>
          <w:lang w:val="en-AU"/>
        </w:rPr>
      </w:pPr>
    </w:p>
    <w:p w14:paraId="15720D05" w14:textId="4B6EDFCF" w:rsidR="0059608E" w:rsidRDefault="0059608E" w:rsidP="00220439">
      <w:pPr>
        <w:pStyle w:val="ListParagraph"/>
        <w:numPr>
          <w:ilvl w:val="0"/>
          <w:numId w:val="4"/>
        </w:numPr>
        <w:spacing w:line="276" w:lineRule="auto"/>
        <w:ind w:left="851" w:hanging="284"/>
        <w:rPr>
          <w:lang w:val="en-AU"/>
        </w:rPr>
      </w:pPr>
      <w:r w:rsidRPr="00C11BBA">
        <w:rPr>
          <w:lang w:val="en-AU"/>
        </w:rPr>
        <w:t>SDB-RPS Empore</w:t>
      </w:r>
      <w:r w:rsidRPr="00C11BBA">
        <w:rPr>
          <w:vertAlign w:val="superscript"/>
          <w:lang w:val="en-AU"/>
        </w:rPr>
        <w:t>TM</w:t>
      </w:r>
      <w:r w:rsidRPr="00C11BBA">
        <w:rPr>
          <w:lang w:val="en-AU"/>
        </w:rPr>
        <w:t xml:space="preserve"> Disk (ED) </w:t>
      </w:r>
      <w:r>
        <w:rPr>
          <w:lang w:val="en-AU"/>
        </w:rPr>
        <w:t xml:space="preserve">polar </w:t>
      </w:r>
      <w:r w:rsidRPr="00C11BBA">
        <w:rPr>
          <w:lang w:val="en-AU"/>
        </w:rPr>
        <w:t xml:space="preserve">passive samplers for relatively hydrophilic organic chemicals with relatively low octanol-water partition coefficients </w:t>
      </w:r>
      <w:r>
        <w:rPr>
          <w:lang w:val="en-AU"/>
        </w:rPr>
        <w:t>(log</w:t>
      </w:r>
      <w:r w:rsidR="000D7725">
        <w:rPr>
          <w:lang w:val="en-AU"/>
        </w:rPr>
        <w:t xml:space="preserve"> </w:t>
      </w:r>
      <w:r>
        <w:rPr>
          <w:lang w:val="en-AU"/>
        </w:rPr>
        <w:t>K</w:t>
      </w:r>
      <w:r w:rsidRPr="00F057D7">
        <w:rPr>
          <w:vertAlign w:val="subscript"/>
          <w:lang w:val="en-AU"/>
        </w:rPr>
        <w:t>OW</w:t>
      </w:r>
      <w:r w:rsidRPr="00C11BBA">
        <w:rPr>
          <w:lang w:val="en-AU"/>
        </w:rPr>
        <w:t>) such as the PSII herbicides (</w:t>
      </w:r>
      <w:r>
        <w:rPr>
          <w:lang w:val="en-AU"/>
        </w:rPr>
        <w:t>e.g.</w:t>
      </w:r>
      <w:r w:rsidRPr="00C11BBA">
        <w:rPr>
          <w:lang w:val="en-AU"/>
        </w:rPr>
        <w:t xml:space="preserve"> diuron).</w:t>
      </w:r>
    </w:p>
    <w:p w14:paraId="15720D06" w14:textId="77777777" w:rsidR="0059608E" w:rsidRDefault="0059608E" w:rsidP="00220439">
      <w:pPr>
        <w:pStyle w:val="ListParagraph"/>
        <w:numPr>
          <w:ilvl w:val="0"/>
          <w:numId w:val="4"/>
        </w:numPr>
        <w:spacing w:line="276" w:lineRule="auto"/>
        <w:ind w:left="851" w:hanging="284"/>
        <w:rPr>
          <w:lang w:val="en-AU"/>
        </w:rPr>
      </w:pPr>
      <w:r w:rsidRPr="00C11BBA">
        <w:rPr>
          <w:lang w:val="en-AU"/>
        </w:rPr>
        <w:t xml:space="preserve">Polydimethylsiloxane (PDMS) </w:t>
      </w:r>
      <w:r>
        <w:rPr>
          <w:lang w:val="en-AU"/>
        </w:rPr>
        <w:t xml:space="preserve">non-polar </w:t>
      </w:r>
      <w:r w:rsidRPr="00C11BBA">
        <w:rPr>
          <w:lang w:val="en-AU"/>
        </w:rPr>
        <w:t>passive samplers for organic chemicals which are relatively more hydrophob</w:t>
      </w:r>
      <w:r>
        <w:rPr>
          <w:lang w:val="en-AU"/>
        </w:rPr>
        <w:t>ic (higher log K</w:t>
      </w:r>
      <w:r w:rsidRPr="00F057D7">
        <w:rPr>
          <w:vertAlign w:val="subscript"/>
          <w:lang w:val="en-AU"/>
        </w:rPr>
        <w:t>OW</w:t>
      </w:r>
      <w:r w:rsidRPr="00C11BBA">
        <w:rPr>
          <w:lang w:val="en-AU"/>
        </w:rPr>
        <w:t xml:space="preserve">) such as chlorpyrifos. </w:t>
      </w:r>
    </w:p>
    <w:p w14:paraId="15720D07" w14:textId="77777777" w:rsidR="00610CA4" w:rsidRDefault="00610CA4" w:rsidP="00015606">
      <w:pPr>
        <w:pStyle w:val="ListParagraph"/>
        <w:spacing w:line="276" w:lineRule="auto"/>
        <w:ind w:left="0"/>
        <w:rPr>
          <w:lang w:val="en-AU"/>
        </w:rPr>
      </w:pPr>
    </w:p>
    <w:p w14:paraId="15720D08" w14:textId="727E19D5" w:rsidR="0059608E" w:rsidRDefault="00856D07" w:rsidP="00015606">
      <w:pPr>
        <w:pStyle w:val="ListParagraph"/>
        <w:spacing w:line="276" w:lineRule="auto"/>
        <w:ind w:left="0"/>
        <w:rPr>
          <w:lang w:val="en-AU"/>
        </w:rPr>
      </w:pPr>
      <w:r>
        <w:rPr>
          <w:lang w:val="en-AU"/>
        </w:rPr>
        <w:t xml:space="preserve">In addition to the </w:t>
      </w:r>
      <w:r w:rsidR="007E4CA0">
        <w:rPr>
          <w:lang w:val="en-AU"/>
        </w:rPr>
        <w:t>long-term</w:t>
      </w:r>
      <w:r>
        <w:rPr>
          <w:lang w:val="en-AU"/>
        </w:rPr>
        <w:t xml:space="preserve"> </w:t>
      </w:r>
      <w:r w:rsidR="00801185">
        <w:rPr>
          <w:lang w:val="en-AU"/>
        </w:rPr>
        <w:t>pesticide levels assessment</w:t>
      </w:r>
      <w:r>
        <w:rPr>
          <w:lang w:val="en-AU"/>
        </w:rPr>
        <w:t xml:space="preserve">, </w:t>
      </w:r>
      <w:r w:rsidR="0006041C">
        <w:rPr>
          <w:lang w:val="en-AU"/>
        </w:rPr>
        <w:t>flood plume monitoring</w:t>
      </w:r>
      <w:r w:rsidR="0059608E">
        <w:rPr>
          <w:lang w:val="en-AU"/>
        </w:rPr>
        <w:t xml:space="preserve"> </w:t>
      </w:r>
      <w:r w:rsidR="007E4CA0">
        <w:rPr>
          <w:lang w:val="en-AU"/>
        </w:rPr>
        <w:t>wa</w:t>
      </w:r>
      <w:r w:rsidR="0006041C">
        <w:rPr>
          <w:lang w:val="en-AU"/>
        </w:rPr>
        <w:t>s</w:t>
      </w:r>
      <w:r w:rsidR="00816B9A">
        <w:rPr>
          <w:lang w:val="en-AU"/>
        </w:rPr>
        <w:t xml:space="preserve"> </w:t>
      </w:r>
      <w:r w:rsidR="0059608E">
        <w:rPr>
          <w:lang w:val="en-AU"/>
        </w:rPr>
        <w:t>cond</w:t>
      </w:r>
      <w:r w:rsidR="00801185">
        <w:rPr>
          <w:lang w:val="en-AU"/>
        </w:rPr>
        <w:t xml:space="preserve">ucted during the wet season using </w:t>
      </w:r>
      <w:r w:rsidR="0059608E">
        <w:rPr>
          <w:lang w:val="en-AU"/>
        </w:rPr>
        <w:t>grab sampling techniques</w:t>
      </w:r>
      <w:r w:rsidR="00801185">
        <w:rPr>
          <w:lang w:val="en-AU"/>
        </w:rPr>
        <w:t xml:space="preserve"> and incorporate</w:t>
      </w:r>
      <w:r w:rsidR="007E4CA0">
        <w:rPr>
          <w:lang w:val="en-AU"/>
        </w:rPr>
        <w:t>d</w:t>
      </w:r>
      <w:r w:rsidR="00801185">
        <w:rPr>
          <w:lang w:val="en-AU"/>
        </w:rPr>
        <w:t xml:space="preserve"> relevant passive sampling data from the fixed </w:t>
      </w:r>
      <w:r w:rsidR="0006041C">
        <w:rPr>
          <w:lang w:val="en-AU"/>
        </w:rPr>
        <w:t xml:space="preserve">monitoring </w:t>
      </w:r>
      <w:r w:rsidR="00801185">
        <w:rPr>
          <w:lang w:val="en-AU"/>
        </w:rPr>
        <w:t>sites</w:t>
      </w:r>
      <w:r w:rsidR="0059608E">
        <w:rPr>
          <w:lang w:val="en-AU"/>
        </w:rPr>
        <w:t xml:space="preserve">. Full details regarding these methodologies have been described </w:t>
      </w:r>
      <w:r w:rsidR="0059608E" w:rsidRPr="00C11BBA">
        <w:rPr>
          <w:lang w:val="en-AU"/>
        </w:rPr>
        <w:t xml:space="preserve">in </w:t>
      </w:r>
      <w:r w:rsidR="0059608E" w:rsidRPr="005F48EA">
        <w:rPr>
          <w:lang w:val="en-AU"/>
        </w:rPr>
        <w:t xml:space="preserve">the </w:t>
      </w:r>
      <w:bookmarkStart w:id="27" w:name="OLE_LINK13"/>
      <w:r w:rsidR="0059608E" w:rsidRPr="003F4EDD">
        <w:rPr>
          <w:i/>
          <w:lang w:val="en-AU"/>
        </w:rPr>
        <w:t>Ma</w:t>
      </w:r>
      <w:r w:rsidR="0059608E" w:rsidRPr="00214F05">
        <w:rPr>
          <w:i/>
          <w:lang w:val="en-AU"/>
        </w:rPr>
        <w:t>rine monitoring program quality assurance and quality control manual 201</w:t>
      </w:r>
      <w:r w:rsidR="00610CA4">
        <w:rPr>
          <w:i/>
          <w:lang w:val="en-AU"/>
        </w:rPr>
        <w:t>5</w:t>
      </w:r>
      <w:r w:rsidR="0059608E" w:rsidRPr="00214F05">
        <w:rPr>
          <w:i/>
          <w:lang w:val="en-AU"/>
        </w:rPr>
        <w:t>/201</w:t>
      </w:r>
      <w:r w:rsidR="00610CA4">
        <w:rPr>
          <w:i/>
          <w:lang w:val="en-AU"/>
        </w:rPr>
        <w:t>6</w:t>
      </w:r>
      <w:r w:rsidR="0059608E">
        <w:rPr>
          <w:i/>
          <w:lang w:val="en-AU"/>
        </w:rPr>
        <w:t xml:space="preserve"> </w:t>
      </w:r>
      <w:bookmarkEnd w:id="27"/>
      <w:r w:rsidR="00C91BF5" w:rsidRPr="00610CA4">
        <w:rPr>
          <w:lang w:val="en-AU"/>
        </w:rPr>
        <w:fldChar w:fldCharType="begin"/>
      </w:r>
      <w:r w:rsidR="009D4492">
        <w:rPr>
          <w:lang w:val="en-AU"/>
        </w:rPr>
        <w:instrText xml:space="preserve"> ADDIN EN.CITE &lt;EndNote&gt;&lt;Cite&gt;&lt;Author&gt;GBRMPA&lt;/Author&gt;&lt;Year&gt;2016&lt;/Year&gt;&lt;RecNum&gt;15&lt;/RecNum&gt;&lt;DisplayText&gt;(GBRMPA, 2016)&lt;/DisplayText&gt;&lt;record&gt;&lt;rec-number&gt;15&lt;/rec-number&gt;&lt;foreign-keys&gt;&lt;key app="EN" db-id="vvtrt2pt4xpx5teta99vvtwg50vzve2aexae" timestamp="1493157343"&gt;15&lt;/key&gt;&lt;/foreign-keys&gt;&lt;ref-type name="Report"&gt;27&lt;/ref-type&gt;&lt;contributors&gt;&lt;authors&gt;&lt;author&gt;GBRMPA,&lt;/author&gt;&lt;/authors&gt;&lt;/contributors&gt;&lt;titles&gt;&lt;title&gt;Marine Monitoring Program: Quality Assurance and Quality Control Manual 2015-2016&lt;/title&gt;&lt;/titles&gt;&lt;dates&gt;&lt;year&gt;2016&lt;/year&gt;&lt;/dates&gt;&lt;pub-location&gt;Townsville&lt;/pub-location&gt;&lt;publisher&gt;Great Barrier Reef Marine Park Authority&lt;/publisher&gt;&lt;urls&gt;&lt;/urls&gt;&lt;/record&gt;&lt;/Cite&gt;&lt;/EndNote&gt;</w:instrText>
      </w:r>
      <w:r w:rsidR="00C91BF5" w:rsidRPr="00610CA4">
        <w:rPr>
          <w:lang w:val="en-AU"/>
        </w:rPr>
        <w:fldChar w:fldCharType="separate"/>
      </w:r>
      <w:r w:rsidR="009D4492">
        <w:rPr>
          <w:noProof/>
          <w:lang w:val="en-AU"/>
        </w:rPr>
        <w:t>(GBRMPA, 2016)</w:t>
      </w:r>
      <w:r w:rsidR="00C91BF5" w:rsidRPr="00610CA4">
        <w:rPr>
          <w:lang w:val="en-AU"/>
        </w:rPr>
        <w:fldChar w:fldCharType="end"/>
      </w:r>
      <w:r w:rsidR="0059608E">
        <w:rPr>
          <w:lang w:val="en-AU"/>
        </w:rPr>
        <w:t xml:space="preserve"> </w:t>
      </w:r>
      <w:r w:rsidR="0059608E" w:rsidRPr="005F48EA">
        <w:rPr>
          <w:lang w:val="en-AU"/>
        </w:rPr>
        <w:t xml:space="preserve">and in previous reports </w:t>
      </w:r>
      <w:r w:rsidR="00C91BF5">
        <w:rPr>
          <w:lang w:val="en-AU"/>
        </w:rPr>
        <w:fldChar w:fldCharType="begin">
          <w:fldData xml:space="preserve">PEVuZE5vdGU+PENpdGU+PEF1dGhvcj5LZW5uZWR5PC9BdXRob3I+PFllYXI+MjAxMjwvWWVhcj48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</w:fldData>
        </w:fldChar>
      </w:r>
      <w:r w:rsidR="009D4492">
        <w:rPr>
          <w:lang w:val="en-AU"/>
        </w:rPr>
        <w:instrText xml:space="preserve"> ADDIN EN.CITE </w:instrText>
      </w:r>
      <w:r w:rsidR="009D4492">
        <w:rPr>
          <w:lang w:val="en-AU"/>
        </w:rPr>
        <w:fldChar w:fldCharType="begin">
          <w:fldData xml:space="preserve">PEVuZE5vdGU+PENpdGU+PEF1dGhvcj5LZW5uZWR5PC9BdXRob3I+PFllYXI+MjAxMjwvWWVhcj48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</w:fldData>
        </w:fldChar>
      </w:r>
      <w:r w:rsidR="009D4492">
        <w:rPr>
          <w:lang w:val="en-AU"/>
        </w:rPr>
        <w:instrText xml:space="preserve"> ADDIN EN.CITE.DATA </w:instrText>
      </w:r>
      <w:r w:rsidR="009D4492">
        <w:rPr>
          <w:lang w:val="en-AU"/>
        </w:rPr>
      </w:r>
      <w:r w:rsidR="009D4492">
        <w:rPr>
          <w:lang w:val="en-AU"/>
        </w:rPr>
        <w:fldChar w:fldCharType="end"/>
      </w:r>
      <w:r w:rsidR="00C91BF5">
        <w:rPr>
          <w:lang w:val="en-AU"/>
        </w:rPr>
      </w:r>
      <w:r w:rsidR="00C91BF5">
        <w:rPr>
          <w:lang w:val="en-AU"/>
        </w:rPr>
        <w:fldChar w:fldCharType="separate"/>
      </w:r>
      <w:r w:rsidR="009D4492">
        <w:rPr>
          <w:noProof/>
          <w:lang w:val="en-AU"/>
        </w:rPr>
        <w:t>(Kennedy et al., 2012, Gallen et al., 2013, Gallen et al., 2014, Gallen et al., 2016)</w:t>
      </w:r>
      <w:r w:rsidR="00C91BF5">
        <w:rPr>
          <w:lang w:val="en-AU"/>
        </w:rPr>
        <w:fldChar w:fldCharType="end"/>
      </w:r>
      <w:r w:rsidR="00D319F5">
        <w:rPr>
          <w:noProof/>
          <w:lang w:val="en-AU"/>
        </w:rPr>
        <w:t>.</w:t>
      </w:r>
      <w:r w:rsidR="0059608E" w:rsidRPr="00C11BBA">
        <w:rPr>
          <w:lang w:val="en-AU"/>
        </w:rPr>
        <w:t xml:space="preserve"> </w:t>
      </w:r>
    </w:p>
    <w:p w14:paraId="15720D09" w14:textId="77777777" w:rsidR="0059608E" w:rsidRPr="004E0EF8" w:rsidRDefault="0059608E" w:rsidP="00220439">
      <w:pPr>
        <w:pStyle w:val="Heading2"/>
        <w:keepNext/>
        <w:keepLines/>
        <w:numPr>
          <w:ilvl w:val="1"/>
          <w:numId w:val="1"/>
        </w:numPr>
        <w:pBdr>
          <w:bottom w:val="none" w:sz="0" w:space="0" w:color="auto"/>
        </w:pBdr>
        <w:spacing w:before="240" w:after="120"/>
        <w:rPr>
          <w:bCs/>
          <w:sz w:val="26"/>
          <w:szCs w:val="26"/>
          <w:lang w:val="en-AU" w:eastAsia="en-US" w:bidi="ar-SA"/>
        </w:rPr>
      </w:pPr>
      <w:bookmarkStart w:id="28" w:name="_Toc461457752"/>
      <w:bookmarkStart w:id="29" w:name="_Toc502499987"/>
      <w:r w:rsidRPr="004E0EF8">
        <w:rPr>
          <w:bCs/>
          <w:sz w:val="26"/>
          <w:szCs w:val="26"/>
          <w:lang w:val="en-AU" w:eastAsia="en-US" w:bidi="ar-SA"/>
        </w:rPr>
        <w:t>S</w:t>
      </w:r>
      <w:r w:rsidR="00170EC4" w:rsidRPr="004E0EF8">
        <w:rPr>
          <w:bCs/>
          <w:sz w:val="26"/>
          <w:szCs w:val="26"/>
          <w:lang w:val="en-AU" w:eastAsia="en-US" w:bidi="ar-SA"/>
        </w:rPr>
        <w:t>tudy area and s</w:t>
      </w:r>
      <w:r w:rsidRPr="004E0EF8">
        <w:rPr>
          <w:bCs/>
          <w:sz w:val="26"/>
          <w:szCs w:val="26"/>
          <w:lang w:val="en-AU" w:eastAsia="en-US" w:bidi="ar-SA"/>
        </w:rPr>
        <w:t>ampling sites</w:t>
      </w:r>
      <w:bookmarkEnd w:id="28"/>
      <w:bookmarkEnd w:id="29"/>
    </w:p>
    <w:p w14:paraId="15720D0A" w14:textId="77777777" w:rsidR="0059608E" w:rsidRPr="004E0EF8" w:rsidRDefault="0059608E" w:rsidP="00220439">
      <w:pPr>
        <w:pStyle w:val="Heading30"/>
        <w:numPr>
          <w:ilvl w:val="2"/>
          <w:numId w:val="1"/>
        </w:numPr>
      </w:pPr>
      <w:bookmarkStart w:id="30" w:name="_Toc461457753"/>
      <w:bookmarkStart w:id="31" w:name="_Toc502499988"/>
      <w:r w:rsidRPr="004E0EF8">
        <w:t xml:space="preserve">Fixed monitoring </w:t>
      </w:r>
      <w:r w:rsidR="003B6560" w:rsidRPr="004E0EF8">
        <w:t>site</w:t>
      </w:r>
      <w:r w:rsidR="003B6560">
        <w:t>s</w:t>
      </w:r>
      <w:r w:rsidR="003B6560" w:rsidRPr="004E0EF8">
        <w:t xml:space="preserve"> </w:t>
      </w:r>
      <w:r w:rsidRPr="004E0EF8">
        <w:t>(passive samplers)</w:t>
      </w:r>
      <w:bookmarkEnd w:id="30"/>
      <w:bookmarkEnd w:id="31"/>
    </w:p>
    <w:p w14:paraId="15720D0B" w14:textId="4A6912BF" w:rsidR="0082605F" w:rsidRPr="0082605F" w:rsidRDefault="0082605F" w:rsidP="0082605F">
      <w:pPr>
        <w:spacing w:line="276" w:lineRule="auto"/>
        <w:rPr>
          <w:rFonts w:cs="Arial"/>
          <w:lang w:val="en-AU"/>
        </w:rPr>
      </w:pPr>
      <w:r w:rsidRPr="0082605F">
        <w:rPr>
          <w:rFonts w:cs="Arial"/>
          <w:lang w:val="en-AU"/>
        </w:rPr>
        <w:t xml:space="preserve">The scientific criteria for selection of sampling sites </w:t>
      </w:r>
      <w:r w:rsidR="004438CF">
        <w:rPr>
          <w:rFonts w:cs="Arial"/>
          <w:lang w:val="en-AU"/>
        </w:rPr>
        <w:t>were updated following a review of the program</w:t>
      </w:r>
      <w:r w:rsidR="00C4395E">
        <w:rPr>
          <w:rFonts w:cs="Arial"/>
          <w:lang w:val="en-AU"/>
        </w:rPr>
        <w:t xml:space="preserve"> in 2013</w:t>
      </w:r>
      <w:r w:rsidR="00AF474A">
        <w:rPr>
          <w:rFonts w:cs="Arial"/>
          <w:lang w:val="en-AU"/>
        </w:rPr>
        <w:t xml:space="preserve"> and 2014</w:t>
      </w:r>
      <w:r w:rsidR="004438CF">
        <w:rPr>
          <w:rFonts w:cs="Arial"/>
          <w:lang w:val="en-AU"/>
        </w:rPr>
        <w:t xml:space="preserve"> </w:t>
      </w:r>
      <w:r w:rsidR="00C91BF5">
        <w:rPr>
          <w:rFonts w:cs="Arial"/>
          <w:lang w:val="en-AU"/>
        </w:rPr>
        <w:fldChar w:fldCharType="begin"/>
      </w:r>
      <w:r w:rsidR="009D4492">
        <w:rPr>
          <w:rFonts w:cs="Arial"/>
          <w:lang w:val="en-AU"/>
        </w:rPr>
        <w:instrText xml:space="preserve"> ADDIN EN.CITE &lt;EndNote&gt;&lt;Cite&gt;&lt;Author&gt;Kuhnert&lt;/Author&gt;&lt;Year&gt;2015&lt;/Year&gt;&lt;RecNum&gt;20&lt;/RecNum&gt;&lt;DisplayText&gt;(Kuhnert et al., 2015)&lt;/DisplayText&gt;&lt;record&gt;&lt;rec-number&gt;20&lt;/rec-number&gt;&lt;foreign-keys&gt;&lt;key app="EN" db-id="vvtrt2pt4xpx5teta99vvtwg50vzve2aexae" timestamp="1493157348"&gt;20&lt;/key&gt;&lt;/foreign-keys&gt;&lt;ref-type name="Report"&gt;27&lt;/ref-type&gt;&lt;contributors&gt;&lt;authors&gt;&lt;author&gt;Kuhnert, P.M.&lt;/author&gt;&lt;author&gt;Liu, Y.&lt;/author&gt;&lt;author&gt;Henderson, B.&lt;/author&gt;&lt;author&gt;Dambacher, J.&lt;/author&gt;&lt;author&gt;Lawrence, E.&lt;/author&gt;&lt;author&gt;Kroon, F.&lt;/author&gt;&lt;/authors&gt;&lt;/contributors&gt;&lt;titles&gt;&lt;title&gt;Review of the Marine Monitoring Program (MMP), Final Report for the Great Barrier Reef Marine Park Authority (GBRMPA)&lt;/title&gt;&lt;/titles&gt;&lt;dates&gt;&lt;year&gt;2015&lt;/year&gt;&lt;/dates&gt;&lt;pub-location&gt;CSIRO, Australia&lt;/pub-location&gt;&lt;urls&gt;&lt;/urls&gt;&lt;/record&gt;&lt;/Cite&gt;&lt;/EndNote&gt;</w:instrText>
      </w:r>
      <w:r w:rsidR="00C91BF5">
        <w:rPr>
          <w:rFonts w:cs="Arial"/>
          <w:lang w:val="en-AU"/>
        </w:rPr>
        <w:fldChar w:fldCharType="separate"/>
      </w:r>
      <w:r w:rsidR="009D4492">
        <w:rPr>
          <w:rFonts w:cs="Arial"/>
          <w:noProof/>
          <w:lang w:val="en-AU"/>
        </w:rPr>
        <w:t>(Kuhnert et al., 2015)</w:t>
      </w:r>
      <w:r w:rsidR="00C91BF5">
        <w:rPr>
          <w:rFonts w:cs="Arial"/>
          <w:lang w:val="en-AU"/>
        </w:rPr>
        <w:fldChar w:fldCharType="end"/>
      </w:r>
      <w:r w:rsidR="00C4395E">
        <w:rPr>
          <w:rFonts w:cs="Arial"/>
          <w:lang w:val="en-AU"/>
        </w:rPr>
        <w:t xml:space="preserve"> and include</w:t>
      </w:r>
      <w:r w:rsidRPr="0082605F">
        <w:rPr>
          <w:rFonts w:cs="Arial"/>
          <w:lang w:val="en-AU"/>
        </w:rPr>
        <w:t>:</w:t>
      </w:r>
    </w:p>
    <w:p w14:paraId="15720D0C" w14:textId="77777777" w:rsidR="0082605F" w:rsidRPr="0082605F" w:rsidRDefault="0082605F" w:rsidP="00220439">
      <w:pPr>
        <w:pStyle w:val="ListParagraph"/>
        <w:numPr>
          <w:ilvl w:val="0"/>
          <w:numId w:val="12"/>
        </w:numPr>
        <w:spacing w:line="276" w:lineRule="auto"/>
        <w:rPr>
          <w:rFonts w:cs="Arial"/>
          <w:lang w:val="en-AU"/>
        </w:rPr>
      </w:pPr>
      <w:r w:rsidRPr="0082605F">
        <w:rPr>
          <w:rFonts w:cs="Arial"/>
          <w:lang w:val="en-AU"/>
        </w:rPr>
        <w:t>The site must be representative of an inshore reef location</w:t>
      </w:r>
      <w:r w:rsidR="00FE0E7D">
        <w:rPr>
          <w:rFonts w:cs="Arial"/>
          <w:lang w:val="en-AU"/>
        </w:rPr>
        <w:t>;</w:t>
      </w:r>
    </w:p>
    <w:p w14:paraId="15720D0D" w14:textId="33ABD48A" w:rsidR="0082605F" w:rsidRPr="0082605F" w:rsidRDefault="0082605F" w:rsidP="00220439">
      <w:pPr>
        <w:pStyle w:val="ListParagraph"/>
        <w:numPr>
          <w:ilvl w:val="0"/>
          <w:numId w:val="12"/>
        </w:numPr>
        <w:spacing w:line="276" w:lineRule="auto"/>
        <w:rPr>
          <w:rFonts w:cs="Arial"/>
          <w:lang w:val="en-AU"/>
        </w:rPr>
      </w:pPr>
      <w:r w:rsidRPr="0082605F">
        <w:rPr>
          <w:rFonts w:cs="Arial"/>
          <w:lang w:val="en-AU"/>
        </w:rPr>
        <w:t>The site is co-located in proximity to sites used by other MMP monitoring activities such as seagrass monitoring, as well as other agencies conducting related monitoring (</w:t>
      </w:r>
      <w:r w:rsidR="00FE0E7D">
        <w:rPr>
          <w:rFonts w:cs="Arial"/>
          <w:lang w:val="en-AU"/>
        </w:rPr>
        <w:t xml:space="preserve">e.g. </w:t>
      </w:r>
      <w:r w:rsidR="000A514F">
        <w:rPr>
          <w:rFonts w:cs="Arial"/>
          <w:lang w:val="en-AU"/>
        </w:rPr>
        <w:t xml:space="preserve">GBR Catchment Loads </w:t>
      </w:r>
      <w:r w:rsidR="000D7725">
        <w:rPr>
          <w:rFonts w:cs="Arial"/>
          <w:lang w:val="en-AU"/>
        </w:rPr>
        <w:t>M</w:t>
      </w:r>
      <w:r w:rsidR="000A514F">
        <w:rPr>
          <w:rFonts w:cs="Arial"/>
          <w:lang w:val="en-AU"/>
        </w:rPr>
        <w:t>onitoring Program, DSITI</w:t>
      </w:r>
      <w:r w:rsidR="00FE0E7D">
        <w:rPr>
          <w:rFonts w:cs="Arial"/>
          <w:lang w:val="en-AU"/>
        </w:rPr>
        <w:t>);</w:t>
      </w:r>
    </w:p>
    <w:p w14:paraId="15720D0E" w14:textId="77777777" w:rsidR="0082605F" w:rsidRPr="0082605F" w:rsidRDefault="0082605F" w:rsidP="00220439">
      <w:pPr>
        <w:pStyle w:val="ListParagraph"/>
        <w:numPr>
          <w:ilvl w:val="0"/>
          <w:numId w:val="12"/>
        </w:numPr>
        <w:spacing w:line="276" w:lineRule="auto"/>
        <w:rPr>
          <w:rFonts w:cs="Arial"/>
          <w:lang w:val="en-AU"/>
        </w:rPr>
      </w:pPr>
      <w:r w:rsidRPr="0082605F">
        <w:rPr>
          <w:rFonts w:cs="Arial"/>
          <w:lang w:val="en-AU"/>
        </w:rPr>
        <w:t xml:space="preserve">The site should not be impacted by specific local point sources such as anti-foulants from boats or inlets of </w:t>
      </w:r>
      <w:r w:rsidR="00FE0E7D">
        <w:rPr>
          <w:rFonts w:cs="Arial"/>
          <w:lang w:val="en-AU"/>
        </w:rPr>
        <w:t>treated or untreated wastewater;</w:t>
      </w:r>
    </w:p>
    <w:p w14:paraId="15720D0F" w14:textId="77777777" w:rsidR="004438CF" w:rsidRDefault="0082605F" w:rsidP="00220439">
      <w:pPr>
        <w:pStyle w:val="ListParagraph"/>
        <w:numPr>
          <w:ilvl w:val="0"/>
          <w:numId w:val="12"/>
        </w:numPr>
        <w:spacing w:line="276" w:lineRule="auto"/>
        <w:rPr>
          <w:rFonts w:cs="Arial"/>
          <w:lang w:val="en-AU"/>
        </w:rPr>
      </w:pPr>
      <w:r w:rsidRPr="0082605F">
        <w:rPr>
          <w:rFonts w:cs="Arial"/>
          <w:lang w:val="en-AU"/>
        </w:rPr>
        <w:t xml:space="preserve">The sampling site </w:t>
      </w:r>
      <w:r w:rsidR="00A25009">
        <w:rPr>
          <w:rFonts w:cs="Arial"/>
          <w:lang w:val="en-AU"/>
        </w:rPr>
        <w:t xml:space="preserve">is logistically feasible and </w:t>
      </w:r>
      <w:r w:rsidRPr="0082605F">
        <w:rPr>
          <w:rFonts w:cs="Arial"/>
          <w:lang w:val="en-AU"/>
        </w:rPr>
        <w:t xml:space="preserve">can </w:t>
      </w:r>
      <w:r w:rsidR="00FE0E7D">
        <w:rPr>
          <w:rFonts w:cs="Arial"/>
          <w:lang w:val="en-AU"/>
        </w:rPr>
        <w:t>be maintained for a long perio</w:t>
      </w:r>
      <w:r w:rsidR="004438CF">
        <w:rPr>
          <w:rFonts w:cs="Arial"/>
          <w:lang w:val="en-AU"/>
        </w:rPr>
        <w:t>d;</w:t>
      </w:r>
    </w:p>
    <w:p w14:paraId="15720D10" w14:textId="24AF5CEF" w:rsidR="00FE0E7D" w:rsidRDefault="004438CF" w:rsidP="00220439">
      <w:pPr>
        <w:pStyle w:val="ListParagraph"/>
        <w:numPr>
          <w:ilvl w:val="0"/>
          <w:numId w:val="12"/>
        </w:numPr>
        <w:spacing w:line="276" w:lineRule="auto"/>
        <w:rPr>
          <w:rFonts w:cs="Arial"/>
          <w:lang w:val="en-AU"/>
        </w:rPr>
      </w:pPr>
      <w:r>
        <w:rPr>
          <w:rFonts w:cs="Arial"/>
          <w:lang w:val="en-AU"/>
        </w:rPr>
        <w:t xml:space="preserve">The site is located adjacent to catchments that have been identified as high risk for exposure to pesticides </w:t>
      </w:r>
      <w:r w:rsidR="00C91BF5">
        <w:rPr>
          <w:rFonts w:cs="Arial"/>
          <w:lang w:val="en-AU"/>
        </w:rPr>
        <w:fldChar w:fldCharType="begin"/>
      </w:r>
      <w:r w:rsidR="009D4492">
        <w:rPr>
          <w:rFonts w:cs="Arial"/>
          <w:lang w:val="en-AU"/>
        </w:rPr>
        <w:instrText xml:space="preserve"> ADDIN EN.CITE &lt;EndNote&gt;&lt;Cite&gt;&lt;Author&gt;Brodie&lt;/Author&gt;&lt;Year&gt;2013&lt;/Year&gt;&lt;RecNum&gt;11&lt;/RecNum&gt;&lt;DisplayText&gt;(Brodie et al., 2013)&lt;/DisplayText&gt;&lt;record&gt;&lt;rec-number&gt;11&lt;/rec-number&gt;&lt;foreign-keys&gt;&lt;key app="EN" db-id="vvtrt2pt4xpx5teta99vvtwg50vzve2aexae" timestamp="1493157339"&gt;11&lt;/key&gt;&lt;/foreign-keys&gt;&lt;ref-type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sidR="00C91BF5">
        <w:rPr>
          <w:rFonts w:cs="Arial"/>
          <w:lang w:val="en-AU"/>
        </w:rPr>
        <w:fldChar w:fldCharType="separate"/>
      </w:r>
      <w:r w:rsidR="009D4492">
        <w:rPr>
          <w:rFonts w:cs="Arial"/>
          <w:noProof/>
          <w:lang w:val="en-AU"/>
        </w:rPr>
        <w:t>(Brodie et al., 2013)</w:t>
      </w:r>
      <w:r w:rsidR="00C91BF5">
        <w:rPr>
          <w:rFonts w:cs="Arial"/>
          <w:lang w:val="en-AU"/>
        </w:rPr>
        <w:fldChar w:fldCharType="end"/>
      </w:r>
      <w:r>
        <w:rPr>
          <w:rFonts w:cs="Arial"/>
          <w:lang w:val="en-AU"/>
        </w:rPr>
        <w:t>;</w:t>
      </w:r>
    </w:p>
    <w:p w14:paraId="15720D11" w14:textId="77777777" w:rsidR="004438CF" w:rsidRDefault="004438CF" w:rsidP="00220439">
      <w:pPr>
        <w:pStyle w:val="ListParagraph"/>
        <w:numPr>
          <w:ilvl w:val="0"/>
          <w:numId w:val="12"/>
        </w:numPr>
        <w:spacing w:line="276" w:lineRule="auto"/>
        <w:rPr>
          <w:rFonts w:cs="Arial"/>
          <w:lang w:val="en-AU"/>
        </w:rPr>
      </w:pPr>
      <w:r>
        <w:rPr>
          <w:rFonts w:cs="Arial"/>
          <w:lang w:val="en-AU"/>
        </w:rPr>
        <w:t>The site must have adequate statistical power to detect trends in pesticide concentrations.</w:t>
      </w:r>
    </w:p>
    <w:p w14:paraId="15720D12" w14:textId="77777777" w:rsidR="00FE0E7D" w:rsidRDefault="00FE0E7D" w:rsidP="00FE0E7D">
      <w:pPr>
        <w:spacing w:line="276" w:lineRule="auto"/>
        <w:rPr>
          <w:rFonts w:cs="Arial"/>
          <w:lang w:val="en-AU"/>
        </w:rPr>
      </w:pPr>
    </w:p>
    <w:p w14:paraId="15720D16" w14:textId="4471CDDB" w:rsidR="00056CEF" w:rsidRDefault="004438CF" w:rsidP="00056CEF">
      <w:pPr>
        <w:spacing w:line="276" w:lineRule="auto"/>
        <w:rPr>
          <w:rFonts w:cs="Arial"/>
          <w:lang w:val="en-AU"/>
        </w:rPr>
      </w:pPr>
      <w:r>
        <w:rPr>
          <w:rFonts w:cs="Arial"/>
          <w:lang w:val="en-AU"/>
        </w:rPr>
        <w:t xml:space="preserve">Based on these criteria, </w:t>
      </w:r>
      <w:r w:rsidR="00FE0E7D">
        <w:rPr>
          <w:rFonts w:cs="Arial"/>
          <w:lang w:val="en-AU"/>
        </w:rPr>
        <w:t>11</w:t>
      </w:r>
      <w:r w:rsidR="00FE0E7D" w:rsidRPr="00FE0E7D">
        <w:rPr>
          <w:rFonts w:cs="Arial"/>
          <w:lang w:val="en-AU"/>
        </w:rPr>
        <w:t xml:space="preserve"> </w:t>
      </w:r>
      <w:r w:rsidR="00FE0E7D" w:rsidRPr="0062446E">
        <w:rPr>
          <w:rFonts w:cs="Arial"/>
          <w:lang w:val="en-AU"/>
        </w:rPr>
        <w:t xml:space="preserve">inshore </w:t>
      </w:r>
      <w:r w:rsidR="00FE0E7D">
        <w:rPr>
          <w:rFonts w:cs="Arial"/>
          <w:lang w:val="en-AU"/>
        </w:rPr>
        <w:t>Reef</w:t>
      </w:r>
      <w:r w:rsidR="00FE0E7D" w:rsidRPr="0062446E">
        <w:rPr>
          <w:rFonts w:cs="Arial"/>
          <w:lang w:val="en-AU"/>
        </w:rPr>
        <w:t xml:space="preserve"> </w:t>
      </w:r>
      <w:r w:rsidR="00FE0E7D" w:rsidRPr="00FE0E7D">
        <w:rPr>
          <w:rFonts w:cs="Arial"/>
          <w:lang w:val="en-AU"/>
        </w:rPr>
        <w:t xml:space="preserve">sites were selected for the </w:t>
      </w:r>
      <w:r w:rsidR="00FE0E7D">
        <w:rPr>
          <w:rFonts w:cs="Arial"/>
          <w:lang w:val="en-AU"/>
        </w:rPr>
        <w:t xml:space="preserve">2014-15 and </w:t>
      </w:r>
      <w:r w:rsidR="009C47C7">
        <w:rPr>
          <w:rFonts w:cs="Arial"/>
          <w:lang w:val="en-AU"/>
        </w:rPr>
        <w:t>subsequent</w:t>
      </w:r>
      <w:r w:rsidR="00FE0E7D" w:rsidRPr="00FE0E7D">
        <w:rPr>
          <w:rFonts w:cs="Arial"/>
          <w:lang w:val="en-AU"/>
        </w:rPr>
        <w:t xml:space="preserve"> monitoring program</w:t>
      </w:r>
      <w:r w:rsidR="00FE0E7D">
        <w:rPr>
          <w:rFonts w:cs="Arial"/>
          <w:lang w:val="en-AU"/>
        </w:rPr>
        <w:t>s</w:t>
      </w:r>
      <w:r w:rsidR="00FE0E7D" w:rsidRPr="00FE0E7D">
        <w:rPr>
          <w:rFonts w:cs="Arial"/>
          <w:lang w:val="en-AU"/>
        </w:rPr>
        <w:t>, including five continuing lon</w:t>
      </w:r>
      <w:r w:rsidR="00FE0E7D">
        <w:rPr>
          <w:rFonts w:cs="Arial"/>
          <w:lang w:val="en-AU"/>
        </w:rPr>
        <w:t>g-term monitoring sites (</w:t>
      </w:r>
      <w:r w:rsidR="00C91BF5">
        <w:rPr>
          <w:rFonts w:cs="Arial"/>
          <w:lang w:val="en-AU"/>
        </w:rPr>
        <w:fldChar w:fldCharType="begin"/>
      </w:r>
      <w:r w:rsidR="00210B7C">
        <w:rPr>
          <w:rFonts w:cs="Arial"/>
          <w:lang w:val="en-AU"/>
        </w:rPr>
        <w:instrText xml:space="preserve"> REF _Ref480724246 \h </w:instrText>
      </w:r>
      <w:r w:rsidR="00C91BF5">
        <w:rPr>
          <w:rFonts w:cs="Arial"/>
          <w:lang w:val="en-AU"/>
        </w:rPr>
      </w:r>
      <w:r w:rsidR="00C91BF5">
        <w:rPr>
          <w:rFonts w:cs="Arial"/>
          <w:lang w:val="en-AU"/>
        </w:rPr>
        <w:fldChar w:fldCharType="separate"/>
      </w:r>
      <w:r w:rsidR="00D12276">
        <w:t xml:space="preserve">Table </w:t>
      </w:r>
      <w:r w:rsidR="00D12276">
        <w:rPr>
          <w:noProof/>
        </w:rPr>
        <w:t>1</w:t>
      </w:r>
      <w:r w:rsidR="00C91BF5">
        <w:rPr>
          <w:rFonts w:cs="Arial"/>
          <w:lang w:val="en-AU"/>
        </w:rPr>
        <w:fldChar w:fldCharType="end"/>
      </w:r>
      <w:r w:rsidR="00FE0E7D" w:rsidRPr="00FE0E7D">
        <w:rPr>
          <w:rFonts w:cs="Arial"/>
          <w:lang w:val="en-AU"/>
        </w:rPr>
        <w:t xml:space="preserve">). </w:t>
      </w:r>
      <w:r w:rsidR="00FE0E7D" w:rsidRPr="0062446E">
        <w:rPr>
          <w:rFonts w:cs="Arial"/>
          <w:lang w:val="en-AU"/>
        </w:rPr>
        <w:t xml:space="preserve">Passive samplers were deployed at </w:t>
      </w:r>
      <w:r w:rsidR="00FE0E7D">
        <w:rPr>
          <w:rFonts w:cs="Arial"/>
          <w:lang w:val="en-AU"/>
        </w:rPr>
        <w:t>all 11</w:t>
      </w:r>
      <w:r w:rsidR="00FE0E7D" w:rsidRPr="0062446E">
        <w:rPr>
          <w:rFonts w:cs="Arial"/>
          <w:lang w:val="en-AU"/>
        </w:rPr>
        <w:t xml:space="preserve"> sites in </w:t>
      </w:r>
      <w:r w:rsidR="00070AE2">
        <w:rPr>
          <w:rFonts w:cs="Arial"/>
          <w:lang w:val="en-AU"/>
        </w:rPr>
        <w:t>2015-16</w:t>
      </w:r>
      <w:r w:rsidR="00FE0E7D">
        <w:rPr>
          <w:rFonts w:cs="Arial"/>
          <w:lang w:val="en-AU"/>
        </w:rPr>
        <w:t>, with</w:t>
      </w:r>
      <w:r w:rsidR="00FE0E7D" w:rsidRPr="0062446E">
        <w:rPr>
          <w:rFonts w:cs="Arial"/>
          <w:lang w:val="en-AU"/>
        </w:rPr>
        <w:t xml:space="preserve"> </w:t>
      </w:r>
      <w:r w:rsidR="00FE0E7D">
        <w:rPr>
          <w:rFonts w:cs="Arial"/>
          <w:lang w:val="en-AU"/>
        </w:rPr>
        <w:t>five sites located in the Wet Tropics region, one site in the Burdekin region, four sites in the Mackay Whitsunday region and one site in the Fitzroy region (</w:t>
      </w:r>
      <w:r w:rsidR="000D7725" w:rsidRPr="000D7725">
        <w:rPr>
          <w:rFonts w:cs="Arial"/>
          <w:lang w:val="en-AU"/>
        </w:rPr>
        <w:fldChar w:fldCharType="begin"/>
      </w:r>
      <w:r w:rsidR="000D7725" w:rsidRPr="000D7725">
        <w:rPr>
          <w:rFonts w:cs="Arial"/>
          <w:lang w:val="en-AU"/>
        </w:rPr>
        <w:instrText xml:space="preserve"> REF _Ref474319389 \h  \* MERGEFORMAT </w:instrText>
      </w:r>
      <w:r w:rsidR="000D7725" w:rsidRPr="000D7725">
        <w:rPr>
          <w:rFonts w:cs="Arial"/>
          <w:lang w:val="en-AU"/>
        </w:rPr>
      </w:r>
      <w:r w:rsidR="000D7725" w:rsidRPr="000D7725">
        <w:rPr>
          <w:rFonts w:cs="Arial"/>
          <w:lang w:val="en-AU"/>
        </w:rPr>
        <w:fldChar w:fldCharType="separate"/>
      </w:r>
      <w:r w:rsidR="00D12276" w:rsidRPr="00747824">
        <w:t xml:space="preserve">Figure </w:t>
      </w:r>
      <w:r w:rsidR="00D12276" w:rsidRPr="00D12276">
        <w:rPr>
          <w:noProof/>
        </w:rPr>
        <w:t>1</w:t>
      </w:r>
      <w:r w:rsidR="000D7725" w:rsidRPr="000D7725">
        <w:rPr>
          <w:rFonts w:cs="Arial"/>
          <w:lang w:val="en-AU"/>
        </w:rPr>
        <w:fldChar w:fldCharType="end"/>
      </w:r>
      <w:r w:rsidR="00FE0E7D">
        <w:rPr>
          <w:rFonts w:cs="Arial"/>
          <w:lang w:val="en-AU"/>
        </w:rPr>
        <w:t xml:space="preserve">). </w:t>
      </w:r>
      <w:r w:rsidR="00056CEF" w:rsidRPr="00FE0E7D">
        <w:rPr>
          <w:rFonts w:cs="Arial"/>
          <w:lang w:val="en-AU"/>
        </w:rPr>
        <w:t xml:space="preserve">Sites </w:t>
      </w:r>
      <w:r w:rsidR="00E623FE">
        <w:rPr>
          <w:rFonts w:cs="Arial"/>
          <w:lang w:val="en-AU"/>
        </w:rPr>
        <w:t>were</w:t>
      </w:r>
      <w:r w:rsidR="00E623FE" w:rsidRPr="00FE0E7D">
        <w:rPr>
          <w:rFonts w:cs="Arial"/>
          <w:lang w:val="en-AU"/>
        </w:rPr>
        <w:t xml:space="preserve"> </w:t>
      </w:r>
      <w:r w:rsidR="00056CEF" w:rsidRPr="00FE0E7D">
        <w:rPr>
          <w:rFonts w:cs="Arial"/>
          <w:lang w:val="en-AU"/>
        </w:rPr>
        <w:t>located within the extent of flood plumes from rivers that drain a variety of land</w:t>
      </w:r>
      <w:r w:rsidR="00E623FE">
        <w:rPr>
          <w:rFonts w:cs="Arial"/>
          <w:lang w:val="en-AU"/>
        </w:rPr>
        <w:t xml:space="preserve"> </w:t>
      </w:r>
      <w:r w:rsidR="00056CEF" w:rsidRPr="00FE0E7D">
        <w:rPr>
          <w:rFonts w:cs="Arial"/>
          <w:lang w:val="en-AU"/>
        </w:rPr>
        <w:t xml:space="preserve">uses </w:t>
      </w:r>
      <w:r w:rsidR="006E69F4">
        <w:rPr>
          <w:rFonts w:cs="Arial"/>
          <w:lang w:val="en-AU"/>
        </w:rPr>
        <w:t>on the adjacent catchment areas</w:t>
      </w:r>
      <w:r w:rsidR="00056CEF" w:rsidRPr="00FE0E7D">
        <w:rPr>
          <w:rFonts w:cs="Arial"/>
          <w:lang w:val="en-AU"/>
        </w:rPr>
        <w:t xml:space="preserve"> and discharge into the Reef lagoon (</w:t>
      </w:r>
      <w:r w:rsidR="00C91BF5">
        <w:rPr>
          <w:rFonts w:cs="Arial"/>
          <w:lang w:val="en-AU"/>
        </w:rPr>
        <w:fldChar w:fldCharType="begin"/>
      </w:r>
      <w:r w:rsidR="00210B7C">
        <w:rPr>
          <w:rFonts w:cs="Arial"/>
          <w:lang w:val="en-AU"/>
        </w:rPr>
        <w:instrText xml:space="preserve"> REF _Ref480724246 \h </w:instrText>
      </w:r>
      <w:r w:rsidR="00C91BF5">
        <w:rPr>
          <w:rFonts w:cs="Arial"/>
          <w:lang w:val="en-AU"/>
        </w:rPr>
      </w:r>
      <w:r w:rsidR="00C91BF5">
        <w:rPr>
          <w:rFonts w:cs="Arial"/>
          <w:lang w:val="en-AU"/>
        </w:rPr>
        <w:fldChar w:fldCharType="separate"/>
      </w:r>
      <w:r w:rsidR="00D12276">
        <w:t xml:space="preserve">Table </w:t>
      </w:r>
      <w:r w:rsidR="00D12276">
        <w:rPr>
          <w:noProof/>
        </w:rPr>
        <w:t>1</w:t>
      </w:r>
      <w:r w:rsidR="00C91BF5">
        <w:rPr>
          <w:rFonts w:cs="Arial"/>
          <w:lang w:val="en-AU"/>
        </w:rPr>
        <w:fldChar w:fldCharType="end"/>
      </w:r>
      <w:r w:rsidR="006E69F4">
        <w:rPr>
          <w:rFonts w:cs="Arial"/>
          <w:lang w:val="en-AU"/>
        </w:rPr>
        <w:t xml:space="preserve">, </w:t>
      </w:r>
      <w:r w:rsidR="002A77E1">
        <w:fldChar w:fldCharType="begin"/>
      </w:r>
      <w:r w:rsidR="002A77E1">
        <w:instrText xml:space="preserve"> REF _Ref474319389 \h  \* MERGEFORMAT </w:instrText>
      </w:r>
      <w:r w:rsidR="002A77E1">
        <w:fldChar w:fldCharType="separate"/>
      </w:r>
      <w:r w:rsidR="00D12276" w:rsidRPr="00747824">
        <w:t xml:space="preserve">Figure </w:t>
      </w:r>
      <w:r w:rsidR="00D12276" w:rsidRPr="00D12276">
        <w:t>1</w:t>
      </w:r>
      <w:r w:rsidR="002A77E1">
        <w:fldChar w:fldCharType="end"/>
      </w:r>
      <w:r w:rsidR="00056CEF" w:rsidRPr="00FE0E7D">
        <w:rPr>
          <w:rFonts w:cs="Arial"/>
          <w:lang w:val="en-AU"/>
        </w:rPr>
        <w:t xml:space="preserve">). </w:t>
      </w:r>
      <w:r w:rsidR="006E69F4">
        <w:rPr>
          <w:rFonts w:cs="Arial"/>
          <w:lang w:val="en-AU"/>
        </w:rPr>
        <w:t>Of the 11 sites monitored for pesticides, three (Low Isles, Dunk Island, and Sarina Inlet)</w:t>
      </w:r>
      <w:r w:rsidR="006E69F4" w:rsidRPr="0062446E">
        <w:rPr>
          <w:rFonts w:cs="Arial"/>
          <w:lang w:val="en-AU"/>
        </w:rPr>
        <w:t xml:space="preserve"> are </w:t>
      </w:r>
      <w:r w:rsidR="006E69F4">
        <w:rPr>
          <w:rFonts w:cs="Arial"/>
          <w:lang w:val="en-AU"/>
        </w:rPr>
        <w:t xml:space="preserve">also </w:t>
      </w:r>
      <w:r w:rsidR="006E69F4" w:rsidRPr="0062446E">
        <w:rPr>
          <w:rFonts w:cs="Arial"/>
          <w:lang w:val="en-AU"/>
        </w:rPr>
        <w:t>seagrass monitoring sites within the MMP</w:t>
      </w:r>
      <w:r w:rsidR="00E623FE">
        <w:rPr>
          <w:rFonts w:cs="Arial"/>
          <w:lang w:val="en-AU"/>
        </w:rPr>
        <w:t xml:space="preserve"> </w:t>
      </w:r>
      <w:r w:rsidR="006C0AEC">
        <w:rPr>
          <w:rFonts w:cs="Arial"/>
          <w:lang w:val="en-AU"/>
        </w:rPr>
        <w:fldChar w:fldCharType="begin"/>
      </w:r>
      <w:r w:rsidR="000D7725">
        <w:rPr>
          <w:rFonts w:cs="Arial"/>
          <w:lang w:val="en-AU"/>
        </w:rPr>
        <w:instrText xml:space="preserve"> ADDIN EN.CITE &lt;EndNote&gt;&lt;Cite&gt;&lt;Author&gt;McKenzie&lt;/Author&gt;&lt;Year&gt;2017&lt;/Year&gt;&lt;RecNum&gt;104&lt;/RecNum&gt;&lt;DisplayText&gt;(McKenzie et al., 2017)&lt;/DisplayText&gt;&lt;record&gt;&lt;rec-number&gt;104&lt;/rec-number&gt;&lt;foreign-keys&gt;&lt;key app="EN" db-id="vvtrt2pt4xpx5teta99vvtwg50vzve2aexae" timestamp="1513808685"&gt;104&lt;/key&gt;&lt;/foreign-keys&gt;&lt;ref-type name="Report"&gt;27&lt;/ref-type&gt;&lt;contributors&gt;&lt;authors&gt;&lt;author&gt;McKenzie, LJ&lt;/author&gt;&lt;author&gt;Collier, CJ&lt;/author&gt;&lt;author&gt;Langlois, LA&lt;/author&gt;&lt;author&gt;Yoshida, RL&lt;/author&gt;&lt;author&gt;Smith, N&lt;/author&gt;&lt;author&gt;Waycott, M&lt;/author&gt;&lt;/authors&gt;&lt;/contributors&gt;&lt;titles&gt;&lt;title&gt;Marine Monitoring Program: Annual Report for inshore seagrass monitoring 2015-2016. Report for the Great Barrier Reef Marine Park Authority, Great Barrier Reef Marine Park Authority, Townsville, 243pp&lt;/title&gt;&lt;/titles&gt;&lt;dates&gt;&lt;year&gt;2017&lt;/year&gt;&lt;/dates&gt;&lt;urls&gt;&lt;/urls&gt;&lt;/record&gt;&lt;/Cite&gt;&lt;/EndNote&gt;</w:instrText>
      </w:r>
      <w:r w:rsidR="006C0AEC">
        <w:rPr>
          <w:rFonts w:cs="Arial"/>
          <w:lang w:val="en-AU"/>
        </w:rPr>
        <w:fldChar w:fldCharType="separate"/>
      </w:r>
      <w:r w:rsidR="000D7725">
        <w:rPr>
          <w:rFonts w:cs="Arial"/>
          <w:noProof/>
          <w:lang w:val="en-AU"/>
        </w:rPr>
        <w:t>(McKenzie et al., 2017)</w:t>
      </w:r>
      <w:r w:rsidR="006C0AEC">
        <w:rPr>
          <w:rFonts w:cs="Arial"/>
          <w:lang w:val="en-AU"/>
        </w:rPr>
        <w:fldChar w:fldCharType="end"/>
      </w:r>
      <w:r w:rsidR="006E69F4" w:rsidRPr="0062446E">
        <w:rPr>
          <w:rFonts w:cs="Arial"/>
          <w:lang w:val="en-AU"/>
        </w:rPr>
        <w:t>.</w:t>
      </w:r>
      <w:r w:rsidR="006E69F4">
        <w:rPr>
          <w:rFonts w:cs="Arial"/>
          <w:lang w:val="en-AU"/>
        </w:rPr>
        <w:t xml:space="preserve"> Five sites (Low Isles, High Island, Normanby Island, Dunk Island and North Keppel Island) </w:t>
      </w:r>
      <w:r w:rsidR="00CE700A">
        <w:rPr>
          <w:rFonts w:cs="Arial"/>
          <w:lang w:val="en-AU"/>
        </w:rPr>
        <w:t>are in</w:t>
      </w:r>
      <w:r w:rsidR="006E69F4">
        <w:rPr>
          <w:rFonts w:cs="Arial"/>
          <w:lang w:val="en-AU"/>
        </w:rPr>
        <w:t xml:space="preserve"> the vicinity of coral reefs that are monitored under the MMP</w:t>
      </w:r>
      <w:r w:rsidR="00E623FE">
        <w:rPr>
          <w:rFonts w:cs="Arial"/>
          <w:lang w:val="en-AU"/>
        </w:rPr>
        <w:t xml:space="preserve"> </w:t>
      </w:r>
      <w:r w:rsidR="006C0AEC">
        <w:rPr>
          <w:rFonts w:cs="Arial"/>
          <w:lang w:val="en-AU"/>
        </w:rPr>
        <w:fldChar w:fldCharType="begin"/>
      </w:r>
      <w:r w:rsidR="000D7725">
        <w:rPr>
          <w:rFonts w:cs="Arial"/>
          <w:lang w:val="en-AU"/>
        </w:rPr>
        <w:instrText xml:space="preserve"> ADDIN EN.CITE &lt;EndNote&gt;&lt;Cite&gt;&lt;Author&gt;Thompson&lt;/Author&gt;&lt;Year&gt;2017&lt;/Year&gt;&lt;RecNum&gt;105&lt;/RecNum&gt;&lt;DisplayText&gt;(Thompson et al., 2017)&lt;/DisplayText&gt;&lt;record&gt;&lt;rec-number&gt;105&lt;/rec-number&gt;&lt;foreign-keys&gt;&lt;key app="EN" db-id="vvtrt2pt4xpx5teta99vvtwg50vzve2aexae" timestamp="1513808996"&gt;105&lt;/key&gt;&lt;/foreign-keys&gt;&lt;ref-type name="Report"&gt;27&lt;/ref-type&gt;&lt;contributors&gt;&lt;authors&gt;&lt;author&gt;Thompson, A&lt;/author&gt;&lt;author&gt;Costello, P&lt;/author&gt;&lt;author&gt;Davidson, J&lt;/author&gt;&lt;author&gt;Logan, M&lt;/author&gt;&lt;author&gt;Coleman, G&lt;/author&gt;&lt;author&gt;Gunn, K&lt;/author&gt;&lt;author&gt;Schaffelke, B&lt;/author&gt;&lt;/authors&gt;&lt;/contributors&gt;&lt;titles&gt;&lt;title&gt;Marine Monitoring Program. Annual Report for coral reef monitoring: 2015 to 2016. Australian Institute of Marine Science, Townsville.133 pp.&lt;/title&gt;&lt;/titles&gt;&lt;dates&gt;&lt;year&gt;2017&lt;/year&gt;&lt;/dates&gt;&lt;urls&gt;&lt;/urls&gt;&lt;/record&gt;&lt;/Cite&gt;&lt;/EndNote&gt;</w:instrText>
      </w:r>
      <w:r w:rsidR="006C0AEC">
        <w:rPr>
          <w:rFonts w:cs="Arial"/>
          <w:lang w:val="en-AU"/>
        </w:rPr>
        <w:fldChar w:fldCharType="separate"/>
      </w:r>
      <w:r w:rsidR="000D7725">
        <w:rPr>
          <w:rFonts w:cs="Arial"/>
          <w:noProof/>
          <w:lang w:val="en-AU"/>
        </w:rPr>
        <w:t>(Thompson et al., 2017)</w:t>
      </w:r>
      <w:r w:rsidR="006C0AEC">
        <w:rPr>
          <w:rFonts w:cs="Arial"/>
          <w:lang w:val="en-AU"/>
        </w:rPr>
        <w:fldChar w:fldCharType="end"/>
      </w:r>
      <w:r w:rsidR="006E69F4">
        <w:rPr>
          <w:rFonts w:cs="Arial"/>
          <w:lang w:val="en-AU"/>
        </w:rPr>
        <w:t>.</w:t>
      </w:r>
    </w:p>
    <w:p w14:paraId="15720D17" w14:textId="77777777" w:rsidR="00056CEF" w:rsidRPr="00747824" w:rsidRDefault="00210B7C" w:rsidP="00210B7C">
      <w:pPr>
        <w:pStyle w:val="Caption"/>
        <w:keepNext/>
        <w:spacing w:after="120"/>
        <w:rPr>
          <w:b w:val="0"/>
        </w:rPr>
      </w:pPr>
      <w:bookmarkStart w:id="32" w:name="_Ref480724246"/>
      <w:bookmarkStart w:id="33" w:name="_Toc502499859"/>
      <w:r>
        <w:t xml:space="preserve">Table </w:t>
      </w:r>
      <w:r w:rsidR="00C91BF5">
        <w:fldChar w:fldCharType="begin"/>
      </w:r>
      <w:r>
        <w:instrText xml:space="preserve"> SEQ Table \* ARABIC </w:instrText>
      </w:r>
      <w:r w:rsidR="00C91BF5">
        <w:fldChar w:fldCharType="separate"/>
      </w:r>
      <w:r w:rsidR="00D12276">
        <w:rPr>
          <w:noProof/>
        </w:rPr>
        <w:t>1</w:t>
      </w:r>
      <w:r w:rsidR="00C91BF5">
        <w:fldChar w:fldCharType="end"/>
      </w:r>
      <w:bookmarkEnd w:id="32"/>
      <w:r>
        <w:t>:</w:t>
      </w:r>
      <w:r w:rsidR="00056CEF">
        <w:rPr>
          <w:b w:val="0"/>
        </w:rPr>
        <w:t xml:space="preserve"> </w:t>
      </w:r>
      <w:r w:rsidR="00056CEF" w:rsidRPr="00747824">
        <w:rPr>
          <w:b w:val="0"/>
        </w:rPr>
        <w:t xml:space="preserve">Location </w:t>
      </w:r>
      <w:r w:rsidR="00801185">
        <w:rPr>
          <w:b w:val="0"/>
        </w:rPr>
        <w:t xml:space="preserve">of fixed passive sampling sites, </w:t>
      </w:r>
      <w:r w:rsidR="00056CEF" w:rsidRPr="00747824">
        <w:rPr>
          <w:b w:val="0"/>
        </w:rPr>
        <w:t xml:space="preserve">closest influencing </w:t>
      </w:r>
      <w:r w:rsidR="00801185">
        <w:rPr>
          <w:b w:val="0"/>
        </w:rPr>
        <w:t>river and date that MMP sampling first commenced</w:t>
      </w:r>
      <w:bookmarkEnd w:id="33"/>
    </w:p>
    <w:tbl>
      <w:tblPr>
        <w:tblStyle w:val="TableGrid"/>
        <w:tblW w:w="0" w:type="auto"/>
        <w:jc w:val="center"/>
        <w:tblBorders>
          <w:left w:val="none" w:sz="0" w:space="0" w:color="auto"/>
          <w:insideH w:val="none" w:sz="0" w:space="0" w:color="auto"/>
          <w:insideV w:val="none" w:sz="0" w:space="0" w:color="auto"/>
        </w:tblBorders>
        <w:tblLook w:val="04A0" w:firstRow="1" w:lastRow="0" w:firstColumn="1" w:lastColumn="0" w:noHBand="0" w:noVBand="1"/>
        <w:tblCaption w:val="Location of fixed passive sampling sites, closest influencing river and date that MMP sampling first commenced"/>
        <w:tblDescription w:val="Location of fixed passive sampling sites by NRM, Basin, closest influencing river and date that MMP sampling first commenced"/>
      </w:tblPr>
      <w:tblGrid>
        <w:gridCol w:w="1718"/>
        <w:gridCol w:w="1883"/>
        <w:gridCol w:w="2367"/>
        <w:gridCol w:w="2423"/>
        <w:gridCol w:w="1640"/>
      </w:tblGrid>
      <w:tr w:rsidR="00A25009" w:rsidRPr="00056CEF" w14:paraId="15720D1D" w14:textId="77777777" w:rsidTr="007E4CA0">
        <w:trPr>
          <w:trHeight w:val="377"/>
          <w:tblHeader/>
          <w:jc w:val="center"/>
        </w:trPr>
        <w:tc>
          <w:tcPr>
            <w:tcW w:w="1718" w:type="dxa"/>
            <w:tcBorders>
              <w:top w:val="single" w:sz="4" w:space="0" w:color="auto"/>
              <w:bottom w:val="single" w:sz="4" w:space="0" w:color="auto"/>
            </w:tcBorders>
            <w:shd w:val="clear" w:color="auto" w:fill="F2F2F2" w:themeFill="background1" w:themeFillShade="F2"/>
            <w:vAlign w:val="center"/>
          </w:tcPr>
          <w:p w14:paraId="15720D18" w14:textId="77777777" w:rsidR="00A25009" w:rsidRPr="00056CEF" w:rsidRDefault="00A25009" w:rsidP="008E6B5E">
            <w:pPr>
              <w:spacing w:line="276" w:lineRule="auto"/>
              <w:jc w:val="left"/>
              <w:rPr>
                <w:rFonts w:cs="Arial"/>
                <w:b/>
                <w:sz w:val="20"/>
                <w:szCs w:val="20"/>
                <w:lang w:val="en-AU"/>
              </w:rPr>
            </w:pPr>
            <w:bookmarkStart w:id="34" w:name="_Hlk479913053"/>
            <w:r w:rsidRPr="00056CEF">
              <w:rPr>
                <w:rFonts w:cs="Arial"/>
                <w:b/>
                <w:sz w:val="20"/>
                <w:szCs w:val="20"/>
                <w:lang w:val="en-AU"/>
              </w:rPr>
              <w:t>NRM region</w:t>
            </w:r>
          </w:p>
        </w:tc>
        <w:tc>
          <w:tcPr>
            <w:tcW w:w="1883" w:type="dxa"/>
            <w:tcBorders>
              <w:top w:val="single" w:sz="4" w:space="0" w:color="auto"/>
              <w:bottom w:val="single" w:sz="4" w:space="0" w:color="auto"/>
            </w:tcBorders>
            <w:shd w:val="clear" w:color="auto" w:fill="F2F2F2" w:themeFill="background1" w:themeFillShade="F2"/>
            <w:vAlign w:val="center"/>
          </w:tcPr>
          <w:p w14:paraId="15720D19" w14:textId="77777777" w:rsidR="00A25009" w:rsidRPr="00056CEF" w:rsidRDefault="00A25009" w:rsidP="008E6B5E">
            <w:pPr>
              <w:spacing w:line="276" w:lineRule="auto"/>
              <w:jc w:val="left"/>
              <w:rPr>
                <w:rFonts w:cs="Arial"/>
                <w:b/>
                <w:sz w:val="20"/>
                <w:szCs w:val="20"/>
                <w:lang w:val="en-AU"/>
              </w:rPr>
            </w:pPr>
            <w:r w:rsidRPr="00056CEF">
              <w:rPr>
                <w:rFonts w:cs="Arial"/>
                <w:b/>
                <w:sz w:val="20"/>
                <w:szCs w:val="20"/>
                <w:lang w:val="en-AU"/>
              </w:rPr>
              <w:t>Basin</w:t>
            </w:r>
          </w:p>
        </w:tc>
        <w:tc>
          <w:tcPr>
            <w:tcW w:w="2367" w:type="dxa"/>
            <w:tcBorders>
              <w:top w:val="single" w:sz="4" w:space="0" w:color="auto"/>
              <w:bottom w:val="single" w:sz="4" w:space="0" w:color="auto"/>
            </w:tcBorders>
            <w:shd w:val="clear" w:color="auto" w:fill="F2F2F2" w:themeFill="background1" w:themeFillShade="F2"/>
            <w:vAlign w:val="center"/>
          </w:tcPr>
          <w:p w14:paraId="15720D1A" w14:textId="77777777" w:rsidR="00A25009" w:rsidRPr="00056CEF" w:rsidRDefault="00A25009" w:rsidP="008E6B5E">
            <w:pPr>
              <w:spacing w:line="276" w:lineRule="auto"/>
              <w:jc w:val="left"/>
              <w:rPr>
                <w:rFonts w:cs="Arial"/>
                <w:b/>
                <w:sz w:val="20"/>
                <w:szCs w:val="20"/>
                <w:lang w:val="en-AU"/>
              </w:rPr>
            </w:pPr>
            <w:r w:rsidRPr="00056CEF">
              <w:rPr>
                <w:rFonts w:cs="Arial"/>
                <w:b/>
                <w:sz w:val="20"/>
                <w:szCs w:val="20"/>
                <w:lang w:val="en-AU"/>
              </w:rPr>
              <w:t>Major River/ Creek</w:t>
            </w:r>
          </w:p>
        </w:tc>
        <w:tc>
          <w:tcPr>
            <w:tcW w:w="2423" w:type="dxa"/>
            <w:tcBorders>
              <w:top w:val="single" w:sz="4" w:space="0" w:color="auto"/>
              <w:bottom w:val="single" w:sz="4" w:space="0" w:color="auto"/>
            </w:tcBorders>
            <w:shd w:val="clear" w:color="auto" w:fill="F2F2F2" w:themeFill="background1" w:themeFillShade="F2"/>
            <w:vAlign w:val="center"/>
          </w:tcPr>
          <w:p w14:paraId="15720D1B" w14:textId="77777777" w:rsidR="00A25009" w:rsidRPr="00056CEF" w:rsidRDefault="00A25009" w:rsidP="008E6B5E">
            <w:pPr>
              <w:spacing w:line="276" w:lineRule="auto"/>
              <w:jc w:val="left"/>
              <w:rPr>
                <w:rFonts w:cs="Arial"/>
                <w:b/>
                <w:sz w:val="20"/>
                <w:szCs w:val="20"/>
                <w:lang w:val="en-AU"/>
              </w:rPr>
            </w:pPr>
            <w:r w:rsidRPr="00056CEF">
              <w:rPr>
                <w:rFonts w:cs="Arial"/>
                <w:b/>
                <w:sz w:val="20"/>
                <w:szCs w:val="20"/>
                <w:lang w:val="en-AU"/>
              </w:rPr>
              <w:t>Fixed site name</w:t>
            </w:r>
          </w:p>
        </w:tc>
        <w:tc>
          <w:tcPr>
            <w:tcW w:w="1640" w:type="dxa"/>
            <w:tcBorders>
              <w:top w:val="single" w:sz="4" w:space="0" w:color="auto"/>
              <w:bottom w:val="single" w:sz="4" w:space="0" w:color="auto"/>
              <w:right w:val="nil"/>
            </w:tcBorders>
            <w:shd w:val="clear" w:color="auto" w:fill="F2F2F2" w:themeFill="background1" w:themeFillShade="F2"/>
          </w:tcPr>
          <w:p w14:paraId="15720D1C" w14:textId="77777777" w:rsidR="00A25009" w:rsidRPr="00056CEF" w:rsidRDefault="00A25009" w:rsidP="008E6B5E">
            <w:pPr>
              <w:spacing w:line="276" w:lineRule="auto"/>
              <w:jc w:val="left"/>
              <w:rPr>
                <w:rFonts w:cs="Arial"/>
                <w:b/>
                <w:sz w:val="20"/>
                <w:szCs w:val="20"/>
                <w:lang w:val="en-AU"/>
              </w:rPr>
            </w:pPr>
            <w:r>
              <w:rPr>
                <w:rFonts w:cs="Arial"/>
                <w:b/>
                <w:sz w:val="20"/>
                <w:szCs w:val="20"/>
                <w:lang w:val="en-AU"/>
              </w:rPr>
              <w:t>Sampled since</w:t>
            </w:r>
          </w:p>
        </w:tc>
      </w:tr>
      <w:tr w:rsidR="00A25009" w:rsidRPr="00056CEF" w14:paraId="15720D23" w14:textId="77777777" w:rsidTr="000D7725">
        <w:trPr>
          <w:trHeight w:val="377"/>
          <w:jc w:val="center"/>
        </w:trPr>
        <w:tc>
          <w:tcPr>
            <w:tcW w:w="1718" w:type="dxa"/>
            <w:vMerge w:val="restart"/>
            <w:tcBorders>
              <w:top w:val="single" w:sz="4" w:space="0" w:color="auto"/>
            </w:tcBorders>
            <w:vAlign w:val="center"/>
          </w:tcPr>
          <w:p w14:paraId="15720D1E" w14:textId="77777777" w:rsidR="00A25009" w:rsidRPr="00056CEF" w:rsidRDefault="00A25009" w:rsidP="008E6B5E">
            <w:pPr>
              <w:spacing w:line="276" w:lineRule="auto"/>
              <w:jc w:val="left"/>
              <w:rPr>
                <w:rFonts w:cs="Arial"/>
                <w:sz w:val="20"/>
                <w:szCs w:val="20"/>
                <w:lang w:val="en-AU"/>
              </w:rPr>
            </w:pPr>
            <w:r w:rsidRPr="00056CEF">
              <w:rPr>
                <w:rFonts w:cs="Arial"/>
                <w:sz w:val="20"/>
                <w:szCs w:val="20"/>
                <w:lang w:val="en-AU"/>
              </w:rPr>
              <w:t>Wet Tropics</w:t>
            </w:r>
          </w:p>
        </w:tc>
        <w:tc>
          <w:tcPr>
            <w:tcW w:w="1883" w:type="dxa"/>
            <w:tcBorders>
              <w:top w:val="single" w:sz="4" w:space="0" w:color="auto"/>
              <w:bottom w:val="single" w:sz="4" w:space="0" w:color="D9D9D9" w:themeColor="background1" w:themeShade="D9"/>
            </w:tcBorders>
            <w:vAlign w:val="center"/>
          </w:tcPr>
          <w:p w14:paraId="15720D1F" w14:textId="77777777" w:rsidR="00A25009" w:rsidRPr="006E69F4" w:rsidRDefault="00A25009" w:rsidP="008E6B5E">
            <w:pPr>
              <w:spacing w:line="276" w:lineRule="auto"/>
              <w:jc w:val="left"/>
              <w:rPr>
                <w:rFonts w:cs="Arial"/>
                <w:sz w:val="20"/>
                <w:szCs w:val="20"/>
                <w:lang w:val="en-AU"/>
              </w:rPr>
            </w:pPr>
            <w:r w:rsidRPr="006E69F4">
              <w:rPr>
                <w:rFonts w:cs="Arial"/>
                <w:sz w:val="20"/>
                <w:szCs w:val="20"/>
              </w:rPr>
              <w:t>Mossman</w:t>
            </w:r>
          </w:p>
        </w:tc>
        <w:tc>
          <w:tcPr>
            <w:tcW w:w="2367" w:type="dxa"/>
            <w:tcBorders>
              <w:top w:val="single" w:sz="4" w:space="0" w:color="auto"/>
              <w:bottom w:val="single" w:sz="4" w:space="0" w:color="D9D9D9" w:themeColor="background1" w:themeShade="D9"/>
            </w:tcBorders>
            <w:vAlign w:val="center"/>
          </w:tcPr>
          <w:p w14:paraId="15720D20" w14:textId="77777777" w:rsidR="00A25009" w:rsidRPr="006E69F4" w:rsidRDefault="00A25009" w:rsidP="008E6B5E">
            <w:pPr>
              <w:spacing w:line="276" w:lineRule="auto"/>
              <w:jc w:val="left"/>
              <w:rPr>
                <w:rFonts w:cs="Arial"/>
                <w:sz w:val="20"/>
                <w:szCs w:val="20"/>
                <w:lang w:val="en-AU"/>
              </w:rPr>
            </w:pPr>
            <w:r w:rsidRPr="006E69F4">
              <w:rPr>
                <w:rFonts w:cs="Arial"/>
                <w:sz w:val="20"/>
                <w:szCs w:val="20"/>
              </w:rPr>
              <w:t>Mossman River</w:t>
            </w:r>
          </w:p>
        </w:tc>
        <w:tc>
          <w:tcPr>
            <w:tcW w:w="2423" w:type="dxa"/>
            <w:tcBorders>
              <w:top w:val="single" w:sz="4" w:space="0" w:color="auto"/>
              <w:bottom w:val="single" w:sz="4" w:space="0" w:color="D9D9D9" w:themeColor="background1" w:themeShade="D9"/>
            </w:tcBorders>
            <w:vAlign w:val="center"/>
          </w:tcPr>
          <w:p w14:paraId="15720D21"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Low Isles</w:t>
            </w:r>
          </w:p>
        </w:tc>
        <w:tc>
          <w:tcPr>
            <w:tcW w:w="1640" w:type="dxa"/>
            <w:tcBorders>
              <w:top w:val="single" w:sz="4" w:space="0" w:color="auto"/>
              <w:bottom w:val="single" w:sz="4" w:space="0" w:color="D9D9D9" w:themeColor="background1" w:themeShade="D9"/>
              <w:right w:val="nil"/>
            </w:tcBorders>
            <w:vAlign w:val="center"/>
          </w:tcPr>
          <w:p w14:paraId="15720D22" w14:textId="77777777" w:rsidR="00A25009" w:rsidRPr="00056CEF" w:rsidRDefault="00A25009" w:rsidP="000D7725">
            <w:pPr>
              <w:spacing w:line="276" w:lineRule="auto"/>
              <w:jc w:val="left"/>
              <w:rPr>
                <w:rFonts w:cs="Arial"/>
                <w:sz w:val="20"/>
                <w:szCs w:val="20"/>
                <w:lang w:val="en-AU"/>
              </w:rPr>
            </w:pPr>
            <w:r>
              <w:rPr>
                <w:rFonts w:cs="Arial"/>
                <w:sz w:val="20"/>
                <w:szCs w:val="20"/>
                <w:lang w:val="en-AU"/>
              </w:rPr>
              <w:t>Aug-2005</w:t>
            </w:r>
          </w:p>
        </w:tc>
      </w:tr>
      <w:tr w:rsidR="00A25009" w:rsidRPr="00056CEF" w14:paraId="15720D29" w14:textId="77777777" w:rsidTr="000D7725">
        <w:trPr>
          <w:trHeight w:val="377"/>
          <w:jc w:val="center"/>
        </w:trPr>
        <w:tc>
          <w:tcPr>
            <w:tcW w:w="1718" w:type="dxa"/>
            <w:vMerge/>
            <w:vAlign w:val="center"/>
          </w:tcPr>
          <w:p w14:paraId="15720D24" w14:textId="77777777" w:rsidR="00A25009" w:rsidRPr="00056CEF" w:rsidRDefault="00A25009" w:rsidP="008E6B5E">
            <w:pPr>
              <w:spacing w:line="276" w:lineRule="auto"/>
              <w:jc w:val="left"/>
              <w:rPr>
                <w:rFonts w:cs="Arial"/>
                <w:sz w:val="20"/>
                <w:szCs w:val="20"/>
                <w:lang w:val="en-AU"/>
              </w:rPr>
            </w:pPr>
          </w:p>
        </w:tc>
        <w:tc>
          <w:tcPr>
            <w:tcW w:w="1883" w:type="dxa"/>
            <w:vMerge w:val="restart"/>
            <w:tcBorders>
              <w:top w:val="single" w:sz="4" w:space="0" w:color="D9D9D9" w:themeColor="background1" w:themeShade="D9"/>
              <w:bottom w:val="nil"/>
            </w:tcBorders>
            <w:vAlign w:val="center"/>
          </w:tcPr>
          <w:p w14:paraId="15720D25" w14:textId="77777777" w:rsidR="00A25009" w:rsidRPr="006E69F4" w:rsidRDefault="00A25009" w:rsidP="00A25009">
            <w:pPr>
              <w:spacing w:line="276" w:lineRule="auto"/>
              <w:jc w:val="left"/>
              <w:rPr>
                <w:rFonts w:cs="Arial"/>
                <w:sz w:val="20"/>
                <w:szCs w:val="20"/>
              </w:rPr>
            </w:pPr>
            <w:r w:rsidRPr="006E69F4">
              <w:rPr>
                <w:rFonts w:cs="Arial"/>
                <w:sz w:val="20"/>
                <w:szCs w:val="20"/>
              </w:rPr>
              <w:t>Mulgrave-Russell</w:t>
            </w:r>
          </w:p>
        </w:tc>
        <w:tc>
          <w:tcPr>
            <w:tcW w:w="2367" w:type="dxa"/>
            <w:vMerge w:val="restart"/>
            <w:tcBorders>
              <w:top w:val="single" w:sz="4" w:space="0" w:color="D9D9D9" w:themeColor="background1" w:themeShade="D9"/>
              <w:bottom w:val="nil"/>
            </w:tcBorders>
            <w:vAlign w:val="center"/>
          </w:tcPr>
          <w:p w14:paraId="435C65ED" w14:textId="77777777" w:rsidR="000D7725" w:rsidRDefault="00A25009" w:rsidP="00A25009">
            <w:pPr>
              <w:spacing w:line="276" w:lineRule="auto"/>
              <w:jc w:val="left"/>
              <w:rPr>
                <w:rFonts w:cs="Arial"/>
                <w:sz w:val="20"/>
                <w:szCs w:val="20"/>
              </w:rPr>
            </w:pPr>
            <w:r w:rsidRPr="006E69F4">
              <w:rPr>
                <w:rFonts w:cs="Arial"/>
                <w:sz w:val="20"/>
                <w:szCs w:val="20"/>
              </w:rPr>
              <w:t xml:space="preserve">Mulgrave River/ </w:t>
            </w:r>
          </w:p>
          <w:p w14:paraId="15720D26" w14:textId="70673B57" w:rsidR="00A25009" w:rsidRPr="006E69F4" w:rsidRDefault="00A25009" w:rsidP="00A25009">
            <w:pPr>
              <w:spacing w:line="276" w:lineRule="auto"/>
              <w:jc w:val="left"/>
              <w:rPr>
                <w:rFonts w:cs="Arial"/>
                <w:sz w:val="20"/>
                <w:szCs w:val="20"/>
              </w:rPr>
            </w:pPr>
            <w:r w:rsidRPr="006E69F4">
              <w:rPr>
                <w:rFonts w:cs="Arial"/>
                <w:sz w:val="20"/>
                <w:szCs w:val="20"/>
              </w:rPr>
              <w:lastRenderedPageBreak/>
              <w:t>Russell River</w:t>
            </w:r>
          </w:p>
        </w:tc>
        <w:tc>
          <w:tcPr>
            <w:tcW w:w="2423" w:type="dxa"/>
            <w:tcBorders>
              <w:top w:val="single" w:sz="4" w:space="0" w:color="D9D9D9" w:themeColor="background1" w:themeShade="D9"/>
              <w:bottom w:val="nil"/>
            </w:tcBorders>
            <w:vAlign w:val="center"/>
          </w:tcPr>
          <w:p w14:paraId="15720D27"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lastRenderedPageBreak/>
              <w:t>High Island</w:t>
            </w:r>
          </w:p>
        </w:tc>
        <w:tc>
          <w:tcPr>
            <w:tcW w:w="1640" w:type="dxa"/>
            <w:tcBorders>
              <w:top w:val="single" w:sz="4" w:space="0" w:color="D9D9D9" w:themeColor="background1" w:themeShade="D9"/>
              <w:bottom w:val="nil"/>
              <w:right w:val="nil"/>
            </w:tcBorders>
            <w:vAlign w:val="center"/>
          </w:tcPr>
          <w:p w14:paraId="15720D28" w14:textId="77777777" w:rsidR="00A25009" w:rsidRPr="00056CEF" w:rsidRDefault="00A25009" w:rsidP="000D7725">
            <w:pPr>
              <w:spacing w:line="276" w:lineRule="auto"/>
              <w:jc w:val="left"/>
              <w:rPr>
                <w:rFonts w:cs="Arial"/>
                <w:sz w:val="20"/>
                <w:szCs w:val="20"/>
                <w:lang w:val="en-AU"/>
              </w:rPr>
            </w:pPr>
            <w:r>
              <w:rPr>
                <w:rFonts w:cs="Arial"/>
                <w:sz w:val="20"/>
                <w:szCs w:val="20"/>
                <w:lang w:val="en-AU"/>
              </w:rPr>
              <w:t>May-2015</w:t>
            </w:r>
            <w:r w:rsidR="00801185">
              <w:rPr>
                <w:rFonts w:cs="Arial"/>
                <w:sz w:val="20"/>
                <w:szCs w:val="20"/>
                <w:lang w:val="en-AU"/>
              </w:rPr>
              <w:t>*</w:t>
            </w:r>
          </w:p>
        </w:tc>
      </w:tr>
      <w:tr w:rsidR="00A25009" w:rsidRPr="00056CEF" w14:paraId="15720D2F" w14:textId="77777777" w:rsidTr="000D7725">
        <w:trPr>
          <w:trHeight w:val="377"/>
          <w:jc w:val="center"/>
        </w:trPr>
        <w:tc>
          <w:tcPr>
            <w:tcW w:w="1718" w:type="dxa"/>
            <w:vMerge/>
            <w:vAlign w:val="center"/>
          </w:tcPr>
          <w:p w14:paraId="15720D2A" w14:textId="77777777" w:rsidR="00A25009" w:rsidRPr="00056CEF" w:rsidRDefault="00A25009" w:rsidP="008E6B5E">
            <w:pPr>
              <w:spacing w:line="276" w:lineRule="auto"/>
              <w:jc w:val="left"/>
              <w:rPr>
                <w:rFonts w:cs="Arial"/>
                <w:sz w:val="20"/>
                <w:szCs w:val="20"/>
                <w:lang w:val="en-AU"/>
              </w:rPr>
            </w:pPr>
          </w:p>
        </w:tc>
        <w:tc>
          <w:tcPr>
            <w:tcW w:w="1883" w:type="dxa"/>
            <w:vMerge/>
            <w:tcBorders>
              <w:top w:val="nil"/>
              <w:bottom w:val="single" w:sz="4" w:space="0" w:color="D9D9D9" w:themeColor="background1" w:themeShade="D9"/>
            </w:tcBorders>
            <w:vAlign w:val="center"/>
          </w:tcPr>
          <w:p w14:paraId="15720D2B" w14:textId="77777777" w:rsidR="00A25009" w:rsidRPr="006E69F4" w:rsidRDefault="00A25009" w:rsidP="008E6B5E">
            <w:pPr>
              <w:spacing w:line="276" w:lineRule="auto"/>
              <w:jc w:val="left"/>
              <w:rPr>
                <w:rFonts w:cs="Arial"/>
                <w:sz w:val="20"/>
                <w:szCs w:val="20"/>
                <w:lang w:val="en-AU"/>
              </w:rPr>
            </w:pPr>
          </w:p>
        </w:tc>
        <w:tc>
          <w:tcPr>
            <w:tcW w:w="2367" w:type="dxa"/>
            <w:vMerge/>
            <w:tcBorders>
              <w:top w:val="nil"/>
              <w:bottom w:val="single" w:sz="4" w:space="0" w:color="D9D9D9" w:themeColor="background1" w:themeShade="D9"/>
            </w:tcBorders>
            <w:vAlign w:val="center"/>
          </w:tcPr>
          <w:p w14:paraId="15720D2C" w14:textId="77777777" w:rsidR="00A25009" w:rsidRPr="006E69F4" w:rsidRDefault="00A25009" w:rsidP="008E6B5E">
            <w:pPr>
              <w:spacing w:line="276" w:lineRule="auto"/>
              <w:jc w:val="left"/>
              <w:rPr>
                <w:rFonts w:cs="Arial"/>
                <w:sz w:val="20"/>
                <w:szCs w:val="20"/>
                <w:lang w:val="en-AU"/>
              </w:rPr>
            </w:pPr>
          </w:p>
        </w:tc>
        <w:tc>
          <w:tcPr>
            <w:tcW w:w="2423" w:type="dxa"/>
            <w:tcBorders>
              <w:top w:val="nil"/>
              <w:bottom w:val="single" w:sz="4" w:space="0" w:color="D9D9D9" w:themeColor="background1" w:themeShade="D9"/>
            </w:tcBorders>
            <w:vAlign w:val="center"/>
          </w:tcPr>
          <w:p w14:paraId="15720D2D"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Normanby Island</w:t>
            </w:r>
          </w:p>
        </w:tc>
        <w:tc>
          <w:tcPr>
            <w:tcW w:w="1640" w:type="dxa"/>
            <w:tcBorders>
              <w:top w:val="nil"/>
              <w:bottom w:val="single" w:sz="4" w:space="0" w:color="D9D9D9" w:themeColor="background1" w:themeShade="D9"/>
              <w:right w:val="nil"/>
            </w:tcBorders>
            <w:vAlign w:val="center"/>
          </w:tcPr>
          <w:p w14:paraId="15720D2E" w14:textId="77777777" w:rsidR="00A25009" w:rsidRPr="00056CEF" w:rsidRDefault="00A25009" w:rsidP="000D7725">
            <w:pPr>
              <w:spacing w:line="276" w:lineRule="auto"/>
              <w:jc w:val="left"/>
              <w:rPr>
                <w:rFonts w:cs="Arial"/>
                <w:sz w:val="20"/>
                <w:szCs w:val="20"/>
                <w:lang w:val="en-AU"/>
              </w:rPr>
            </w:pPr>
            <w:r>
              <w:rPr>
                <w:rFonts w:cs="Arial"/>
                <w:sz w:val="20"/>
                <w:szCs w:val="20"/>
                <w:lang w:val="en-AU"/>
              </w:rPr>
              <w:t>Jul-2005</w:t>
            </w:r>
          </w:p>
        </w:tc>
      </w:tr>
      <w:tr w:rsidR="00A25009" w:rsidRPr="00056CEF" w14:paraId="15720D35" w14:textId="77777777" w:rsidTr="000D7725">
        <w:trPr>
          <w:trHeight w:val="377"/>
          <w:jc w:val="center"/>
        </w:trPr>
        <w:tc>
          <w:tcPr>
            <w:tcW w:w="1718" w:type="dxa"/>
            <w:vMerge/>
            <w:vAlign w:val="center"/>
          </w:tcPr>
          <w:p w14:paraId="15720D30" w14:textId="77777777" w:rsidR="00A25009" w:rsidRPr="00056CEF" w:rsidRDefault="00A25009" w:rsidP="008E6B5E">
            <w:pPr>
              <w:spacing w:line="276" w:lineRule="auto"/>
              <w:jc w:val="left"/>
              <w:rPr>
                <w:rFonts w:cs="Arial"/>
                <w:sz w:val="20"/>
                <w:szCs w:val="20"/>
                <w:lang w:val="en-AU"/>
              </w:rPr>
            </w:pPr>
          </w:p>
        </w:tc>
        <w:tc>
          <w:tcPr>
            <w:tcW w:w="1883" w:type="dxa"/>
            <w:tcBorders>
              <w:top w:val="single" w:sz="4" w:space="0" w:color="D9D9D9" w:themeColor="background1" w:themeShade="D9"/>
              <w:bottom w:val="single" w:sz="4" w:space="0" w:color="D9D9D9" w:themeColor="background1" w:themeShade="D9"/>
            </w:tcBorders>
            <w:vAlign w:val="center"/>
          </w:tcPr>
          <w:p w14:paraId="15720D31" w14:textId="77777777" w:rsidR="00A25009" w:rsidRPr="006E69F4" w:rsidRDefault="00A25009" w:rsidP="008E6B5E">
            <w:pPr>
              <w:spacing w:line="276" w:lineRule="auto"/>
              <w:jc w:val="left"/>
              <w:rPr>
                <w:rFonts w:cs="Arial"/>
                <w:sz w:val="20"/>
                <w:szCs w:val="20"/>
                <w:lang w:val="en-AU"/>
              </w:rPr>
            </w:pPr>
            <w:r w:rsidRPr="006E69F4">
              <w:rPr>
                <w:rFonts w:cs="Arial"/>
                <w:sz w:val="20"/>
                <w:szCs w:val="20"/>
              </w:rPr>
              <w:t>Tully</w:t>
            </w:r>
          </w:p>
        </w:tc>
        <w:tc>
          <w:tcPr>
            <w:tcW w:w="2367" w:type="dxa"/>
            <w:tcBorders>
              <w:top w:val="single" w:sz="4" w:space="0" w:color="D9D9D9" w:themeColor="background1" w:themeShade="D9"/>
              <w:bottom w:val="single" w:sz="4" w:space="0" w:color="D9D9D9" w:themeColor="background1" w:themeShade="D9"/>
            </w:tcBorders>
            <w:vAlign w:val="center"/>
          </w:tcPr>
          <w:p w14:paraId="15720D32" w14:textId="77777777" w:rsidR="00A25009" w:rsidRPr="006E69F4" w:rsidRDefault="00A25009" w:rsidP="008E6B5E">
            <w:pPr>
              <w:spacing w:line="276" w:lineRule="auto"/>
              <w:jc w:val="left"/>
              <w:rPr>
                <w:rFonts w:cs="Arial"/>
                <w:sz w:val="20"/>
                <w:szCs w:val="20"/>
                <w:lang w:val="en-AU"/>
              </w:rPr>
            </w:pPr>
            <w:r w:rsidRPr="006E69F4">
              <w:rPr>
                <w:rFonts w:cs="Arial"/>
                <w:sz w:val="20"/>
                <w:szCs w:val="20"/>
              </w:rPr>
              <w:t>Tully River</w:t>
            </w:r>
          </w:p>
        </w:tc>
        <w:tc>
          <w:tcPr>
            <w:tcW w:w="2423" w:type="dxa"/>
            <w:tcBorders>
              <w:top w:val="single" w:sz="4" w:space="0" w:color="D9D9D9" w:themeColor="background1" w:themeShade="D9"/>
              <w:bottom w:val="single" w:sz="4" w:space="0" w:color="D9D9D9" w:themeColor="background1" w:themeShade="D9"/>
            </w:tcBorders>
            <w:vAlign w:val="center"/>
          </w:tcPr>
          <w:p w14:paraId="15720D33" w14:textId="0A2FCB78" w:rsidR="00A25009" w:rsidRPr="006E69F4" w:rsidRDefault="00A25009" w:rsidP="008E6B5E">
            <w:pPr>
              <w:spacing w:line="276" w:lineRule="auto"/>
              <w:jc w:val="left"/>
              <w:rPr>
                <w:rFonts w:cs="Arial"/>
                <w:sz w:val="20"/>
                <w:szCs w:val="20"/>
                <w:lang w:val="en-AU"/>
              </w:rPr>
            </w:pPr>
            <w:r w:rsidRPr="006E69F4">
              <w:rPr>
                <w:rFonts w:cs="Arial"/>
                <w:sz w:val="20"/>
                <w:szCs w:val="20"/>
                <w:lang w:val="en-AU"/>
              </w:rPr>
              <w:t>Dunk Island</w:t>
            </w:r>
          </w:p>
        </w:tc>
        <w:tc>
          <w:tcPr>
            <w:tcW w:w="1640" w:type="dxa"/>
            <w:tcBorders>
              <w:top w:val="single" w:sz="4" w:space="0" w:color="D9D9D9" w:themeColor="background1" w:themeShade="D9"/>
              <w:bottom w:val="single" w:sz="4" w:space="0" w:color="D9D9D9" w:themeColor="background1" w:themeShade="D9"/>
              <w:right w:val="nil"/>
            </w:tcBorders>
            <w:vAlign w:val="center"/>
          </w:tcPr>
          <w:p w14:paraId="15720D34" w14:textId="77777777" w:rsidR="00A25009" w:rsidRPr="00056CEF" w:rsidRDefault="00A25009" w:rsidP="000D7725">
            <w:pPr>
              <w:spacing w:line="276" w:lineRule="auto"/>
              <w:jc w:val="left"/>
              <w:rPr>
                <w:rFonts w:cs="Arial"/>
                <w:sz w:val="20"/>
                <w:szCs w:val="20"/>
                <w:lang w:val="en-AU"/>
              </w:rPr>
            </w:pPr>
            <w:r>
              <w:rPr>
                <w:rFonts w:cs="Arial"/>
                <w:sz w:val="20"/>
                <w:szCs w:val="20"/>
                <w:lang w:val="en-AU"/>
              </w:rPr>
              <w:t>Sep-2008</w:t>
            </w:r>
          </w:p>
        </w:tc>
      </w:tr>
      <w:tr w:rsidR="00A25009" w:rsidRPr="00056CEF" w14:paraId="15720D3B" w14:textId="77777777" w:rsidTr="000D7725">
        <w:trPr>
          <w:trHeight w:val="377"/>
          <w:jc w:val="center"/>
        </w:trPr>
        <w:tc>
          <w:tcPr>
            <w:tcW w:w="1718" w:type="dxa"/>
            <w:vMerge/>
            <w:tcBorders>
              <w:bottom w:val="single" w:sz="4" w:space="0" w:color="auto"/>
            </w:tcBorders>
            <w:vAlign w:val="center"/>
          </w:tcPr>
          <w:p w14:paraId="15720D36" w14:textId="77777777" w:rsidR="00A25009" w:rsidRPr="00056CEF" w:rsidRDefault="00A25009" w:rsidP="008E6B5E">
            <w:pPr>
              <w:spacing w:line="276" w:lineRule="auto"/>
              <w:jc w:val="left"/>
              <w:rPr>
                <w:rFonts w:cs="Arial"/>
                <w:sz w:val="20"/>
                <w:szCs w:val="20"/>
                <w:lang w:val="en-AU"/>
              </w:rPr>
            </w:pPr>
          </w:p>
        </w:tc>
        <w:tc>
          <w:tcPr>
            <w:tcW w:w="1883" w:type="dxa"/>
            <w:tcBorders>
              <w:top w:val="single" w:sz="4" w:space="0" w:color="D9D9D9" w:themeColor="background1" w:themeShade="D9"/>
              <w:bottom w:val="single" w:sz="4" w:space="0" w:color="auto"/>
            </w:tcBorders>
            <w:vAlign w:val="center"/>
          </w:tcPr>
          <w:p w14:paraId="15720D37"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Herbert</w:t>
            </w:r>
          </w:p>
        </w:tc>
        <w:tc>
          <w:tcPr>
            <w:tcW w:w="2367" w:type="dxa"/>
            <w:tcBorders>
              <w:top w:val="single" w:sz="4" w:space="0" w:color="D9D9D9" w:themeColor="background1" w:themeShade="D9"/>
              <w:bottom w:val="single" w:sz="4" w:space="0" w:color="auto"/>
            </w:tcBorders>
            <w:vAlign w:val="center"/>
          </w:tcPr>
          <w:p w14:paraId="15720D38"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Herbert River</w:t>
            </w:r>
          </w:p>
        </w:tc>
        <w:tc>
          <w:tcPr>
            <w:tcW w:w="2423" w:type="dxa"/>
            <w:tcBorders>
              <w:top w:val="single" w:sz="4" w:space="0" w:color="D9D9D9" w:themeColor="background1" w:themeShade="D9"/>
              <w:bottom w:val="single" w:sz="4" w:space="0" w:color="auto"/>
            </w:tcBorders>
            <w:vAlign w:val="center"/>
          </w:tcPr>
          <w:p w14:paraId="15720D39"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Lucinda</w:t>
            </w:r>
          </w:p>
        </w:tc>
        <w:tc>
          <w:tcPr>
            <w:tcW w:w="1640" w:type="dxa"/>
            <w:tcBorders>
              <w:top w:val="single" w:sz="4" w:space="0" w:color="D9D9D9" w:themeColor="background1" w:themeShade="D9"/>
              <w:bottom w:val="single" w:sz="4" w:space="0" w:color="auto"/>
              <w:right w:val="nil"/>
            </w:tcBorders>
            <w:vAlign w:val="center"/>
          </w:tcPr>
          <w:p w14:paraId="15720D3A" w14:textId="77777777" w:rsidR="00A25009" w:rsidRPr="00056CEF" w:rsidRDefault="00A25009" w:rsidP="000D7725">
            <w:pPr>
              <w:spacing w:line="276" w:lineRule="auto"/>
              <w:jc w:val="left"/>
              <w:rPr>
                <w:rFonts w:cs="Arial"/>
                <w:sz w:val="20"/>
                <w:szCs w:val="20"/>
                <w:lang w:val="en-AU"/>
              </w:rPr>
            </w:pPr>
            <w:r>
              <w:rPr>
                <w:rFonts w:cs="Arial"/>
                <w:sz w:val="20"/>
                <w:szCs w:val="20"/>
                <w:lang w:val="en-AU"/>
              </w:rPr>
              <w:t>Jul-2014</w:t>
            </w:r>
          </w:p>
        </w:tc>
      </w:tr>
      <w:tr w:rsidR="00A25009" w:rsidRPr="00056CEF" w14:paraId="15720D41" w14:textId="77777777" w:rsidTr="000D7725">
        <w:trPr>
          <w:trHeight w:val="377"/>
          <w:jc w:val="center"/>
        </w:trPr>
        <w:tc>
          <w:tcPr>
            <w:tcW w:w="1718" w:type="dxa"/>
            <w:tcBorders>
              <w:top w:val="single" w:sz="4" w:space="0" w:color="auto"/>
              <w:bottom w:val="single" w:sz="4" w:space="0" w:color="auto"/>
            </w:tcBorders>
            <w:vAlign w:val="center"/>
          </w:tcPr>
          <w:p w14:paraId="15720D3C" w14:textId="77777777" w:rsidR="00A25009" w:rsidRPr="00056CEF" w:rsidRDefault="00A25009" w:rsidP="008E6B5E">
            <w:pPr>
              <w:spacing w:line="276" w:lineRule="auto"/>
              <w:jc w:val="left"/>
              <w:rPr>
                <w:rFonts w:cs="Arial"/>
                <w:sz w:val="20"/>
                <w:szCs w:val="20"/>
                <w:lang w:val="en-AU"/>
              </w:rPr>
            </w:pPr>
            <w:r w:rsidRPr="00056CEF">
              <w:rPr>
                <w:rFonts w:cs="Arial"/>
                <w:sz w:val="20"/>
                <w:szCs w:val="20"/>
                <w:lang w:val="en-AU"/>
              </w:rPr>
              <w:t>Burdekin</w:t>
            </w:r>
          </w:p>
        </w:tc>
        <w:tc>
          <w:tcPr>
            <w:tcW w:w="1883" w:type="dxa"/>
            <w:tcBorders>
              <w:top w:val="single" w:sz="4" w:space="0" w:color="auto"/>
              <w:bottom w:val="single" w:sz="4" w:space="0" w:color="auto"/>
            </w:tcBorders>
            <w:vAlign w:val="center"/>
          </w:tcPr>
          <w:p w14:paraId="15720D3D"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Burdekin</w:t>
            </w:r>
          </w:p>
        </w:tc>
        <w:tc>
          <w:tcPr>
            <w:tcW w:w="2367" w:type="dxa"/>
            <w:tcBorders>
              <w:top w:val="single" w:sz="4" w:space="0" w:color="auto"/>
              <w:bottom w:val="single" w:sz="4" w:space="0" w:color="auto"/>
            </w:tcBorders>
            <w:vAlign w:val="center"/>
          </w:tcPr>
          <w:p w14:paraId="15720D3E"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Barratta Creek</w:t>
            </w:r>
          </w:p>
        </w:tc>
        <w:tc>
          <w:tcPr>
            <w:tcW w:w="2423" w:type="dxa"/>
            <w:tcBorders>
              <w:top w:val="single" w:sz="4" w:space="0" w:color="auto"/>
              <w:bottom w:val="single" w:sz="4" w:space="0" w:color="auto"/>
            </w:tcBorders>
            <w:vAlign w:val="center"/>
          </w:tcPr>
          <w:p w14:paraId="15720D3F"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Barratta Creek mouth</w:t>
            </w:r>
          </w:p>
        </w:tc>
        <w:tc>
          <w:tcPr>
            <w:tcW w:w="1640" w:type="dxa"/>
            <w:tcBorders>
              <w:top w:val="single" w:sz="4" w:space="0" w:color="auto"/>
              <w:bottom w:val="single" w:sz="4" w:space="0" w:color="auto"/>
              <w:right w:val="nil"/>
            </w:tcBorders>
            <w:vAlign w:val="center"/>
          </w:tcPr>
          <w:p w14:paraId="15720D40" w14:textId="77777777" w:rsidR="00A25009" w:rsidRPr="00056CEF" w:rsidRDefault="00A25009" w:rsidP="000D7725">
            <w:pPr>
              <w:spacing w:line="276" w:lineRule="auto"/>
              <w:jc w:val="left"/>
              <w:rPr>
                <w:rFonts w:cs="Arial"/>
                <w:sz w:val="20"/>
                <w:szCs w:val="20"/>
                <w:lang w:val="en-AU"/>
              </w:rPr>
            </w:pPr>
            <w:r>
              <w:rPr>
                <w:rFonts w:cs="Arial"/>
                <w:sz w:val="20"/>
                <w:szCs w:val="20"/>
                <w:lang w:val="en-AU"/>
              </w:rPr>
              <w:t>Mar</w:t>
            </w:r>
            <w:r w:rsidR="00463C34">
              <w:rPr>
                <w:rFonts w:cs="Arial"/>
                <w:sz w:val="20"/>
                <w:szCs w:val="20"/>
                <w:lang w:val="en-AU"/>
              </w:rPr>
              <w:t>-</w:t>
            </w:r>
            <w:r>
              <w:rPr>
                <w:rFonts w:cs="Arial"/>
                <w:sz w:val="20"/>
                <w:szCs w:val="20"/>
                <w:lang w:val="en-AU"/>
              </w:rPr>
              <w:t>2014</w:t>
            </w:r>
          </w:p>
        </w:tc>
      </w:tr>
      <w:tr w:rsidR="00A25009" w:rsidRPr="00056CEF" w14:paraId="15720D47" w14:textId="77777777" w:rsidTr="000D7725">
        <w:trPr>
          <w:trHeight w:val="377"/>
          <w:jc w:val="center"/>
        </w:trPr>
        <w:tc>
          <w:tcPr>
            <w:tcW w:w="1718" w:type="dxa"/>
            <w:vMerge w:val="restart"/>
            <w:tcBorders>
              <w:top w:val="single" w:sz="4" w:space="0" w:color="auto"/>
              <w:bottom w:val="nil"/>
            </w:tcBorders>
            <w:vAlign w:val="center"/>
          </w:tcPr>
          <w:p w14:paraId="15720D42" w14:textId="77777777" w:rsidR="00A25009" w:rsidRPr="00056CEF" w:rsidRDefault="00A25009" w:rsidP="008E6B5E">
            <w:pPr>
              <w:spacing w:line="276" w:lineRule="auto"/>
              <w:jc w:val="left"/>
              <w:rPr>
                <w:rFonts w:cs="Arial"/>
                <w:sz w:val="20"/>
                <w:szCs w:val="20"/>
                <w:lang w:val="en-AU"/>
              </w:rPr>
            </w:pPr>
            <w:r w:rsidRPr="00056CEF">
              <w:rPr>
                <w:rFonts w:cs="Arial"/>
                <w:sz w:val="20"/>
                <w:szCs w:val="20"/>
                <w:lang w:val="en-AU"/>
              </w:rPr>
              <w:t>Mackay Whitsunday</w:t>
            </w:r>
          </w:p>
        </w:tc>
        <w:tc>
          <w:tcPr>
            <w:tcW w:w="1883" w:type="dxa"/>
            <w:tcBorders>
              <w:top w:val="single" w:sz="4" w:space="0" w:color="auto"/>
              <w:bottom w:val="single" w:sz="4" w:space="0" w:color="D9D9D9" w:themeColor="background1" w:themeShade="D9"/>
            </w:tcBorders>
            <w:vAlign w:val="center"/>
          </w:tcPr>
          <w:p w14:paraId="15720D43"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Proserpine/ O’Connell</w:t>
            </w:r>
          </w:p>
        </w:tc>
        <w:tc>
          <w:tcPr>
            <w:tcW w:w="2367" w:type="dxa"/>
            <w:tcBorders>
              <w:top w:val="single" w:sz="4" w:space="0" w:color="auto"/>
              <w:bottom w:val="single" w:sz="4" w:space="0" w:color="D9D9D9" w:themeColor="background1" w:themeShade="D9"/>
            </w:tcBorders>
            <w:vAlign w:val="center"/>
          </w:tcPr>
          <w:p w14:paraId="15720D44"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Proserpine River/ O’Connell River</w:t>
            </w:r>
          </w:p>
        </w:tc>
        <w:tc>
          <w:tcPr>
            <w:tcW w:w="2423" w:type="dxa"/>
            <w:tcBorders>
              <w:top w:val="single" w:sz="4" w:space="0" w:color="auto"/>
              <w:bottom w:val="single" w:sz="4" w:space="0" w:color="D9D9D9" w:themeColor="background1" w:themeShade="D9"/>
            </w:tcBorders>
            <w:vAlign w:val="center"/>
          </w:tcPr>
          <w:p w14:paraId="15720D45"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Repulse Bay</w:t>
            </w:r>
          </w:p>
        </w:tc>
        <w:tc>
          <w:tcPr>
            <w:tcW w:w="1640" w:type="dxa"/>
            <w:tcBorders>
              <w:top w:val="single" w:sz="4" w:space="0" w:color="auto"/>
              <w:bottom w:val="single" w:sz="4" w:space="0" w:color="D9D9D9" w:themeColor="background1" w:themeShade="D9"/>
              <w:right w:val="nil"/>
            </w:tcBorders>
            <w:vAlign w:val="center"/>
          </w:tcPr>
          <w:p w14:paraId="15720D46" w14:textId="77777777" w:rsidR="00A25009" w:rsidRPr="00056CEF" w:rsidRDefault="00A25009" w:rsidP="000D7725">
            <w:pPr>
              <w:spacing w:line="276" w:lineRule="auto"/>
              <w:jc w:val="left"/>
              <w:rPr>
                <w:rFonts w:cs="Arial"/>
                <w:sz w:val="20"/>
                <w:szCs w:val="20"/>
                <w:lang w:val="en-AU"/>
              </w:rPr>
            </w:pPr>
            <w:r>
              <w:rPr>
                <w:rFonts w:cs="Arial"/>
                <w:sz w:val="20"/>
                <w:szCs w:val="20"/>
                <w:lang w:val="en-AU"/>
              </w:rPr>
              <w:t>Sep-2014</w:t>
            </w:r>
          </w:p>
        </w:tc>
      </w:tr>
      <w:tr w:rsidR="00A25009" w:rsidRPr="00056CEF" w14:paraId="15720D4D" w14:textId="77777777" w:rsidTr="000D7725">
        <w:trPr>
          <w:trHeight w:val="377"/>
          <w:jc w:val="center"/>
        </w:trPr>
        <w:tc>
          <w:tcPr>
            <w:tcW w:w="1718" w:type="dxa"/>
            <w:vMerge/>
            <w:tcBorders>
              <w:top w:val="nil"/>
            </w:tcBorders>
            <w:vAlign w:val="center"/>
          </w:tcPr>
          <w:p w14:paraId="15720D48" w14:textId="77777777" w:rsidR="00A25009" w:rsidRPr="00056CEF" w:rsidRDefault="00A25009" w:rsidP="008E6B5E">
            <w:pPr>
              <w:spacing w:line="276" w:lineRule="auto"/>
              <w:jc w:val="left"/>
              <w:rPr>
                <w:rFonts w:cs="Arial"/>
                <w:sz w:val="20"/>
                <w:szCs w:val="20"/>
                <w:lang w:val="en-AU"/>
              </w:rPr>
            </w:pPr>
          </w:p>
        </w:tc>
        <w:tc>
          <w:tcPr>
            <w:tcW w:w="1883" w:type="dxa"/>
            <w:tcBorders>
              <w:top w:val="single" w:sz="4" w:space="0" w:color="D9D9D9" w:themeColor="background1" w:themeShade="D9"/>
              <w:bottom w:val="single" w:sz="4" w:space="0" w:color="D9D9D9" w:themeColor="background1" w:themeShade="D9"/>
            </w:tcBorders>
            <w:vAlign w:val="center"/>
          </w:tcPr>
          <w:p w14:paraId="15720D49" w14:textId="77777777" w:rsidR="00A25009" w:rsidRPr="006E69F4" w:rsidRDefault="00A25009" w:rsidP="008E6B5E">
            <w:pPr>
              <w:spacing w:line="276" w:lineRule="auto"/>
              <w:jc w:val="left"/>
              <w:rPr>
                <w:rFonts w:cs="Arial"/>
                <w:sz w:val="20"/>
                <w:szCs w:val="20"/>
                <w:lang w:val="en-AU"/>
              </w:rPr>
            </w:pPr>
            <w:r w:rsidRPr="006E69F4">
              <w:rPr>
                <w:rFonts w:cs="Arial"/>
                <w:sz w:val="20"/>
                <w:szCs w:val="20"/>
                <w:lang w:val="en-AU"/>
              </w:rPr>
              <w:t>Pioneer/ Plane</w:t>
            </w:r>
          </w:p>
        </w:tc>
        <w:tc>
          <w:tcPr>
            <w:tcW w:w="2367" w:type="dxa"/>
            <w:tcBorders>
              <w:top w:val="single" w:sz="4" w:space="0" w:color="D9D9D9" w:themeColor="background1" w:themeShade="D9"/>
              <w:bottom w:val="single" w:sz="4" w:space="0" w:color="D9D9D9" w:themeColor="background1" w:themeShade="D9"/>
            </w:tcBorders>
            <w:vAlign w:val="center"/>
          </w:tcPr>
          <w:p w14:paraId="0FF8A117" w14:textId="77777777" w:rsidR="000D7725" w:rsidRDefault="00A25009" w:rsidP="008E6B5E">
            <w:pPr>
              <w:spacing w:line="276" w:lineRule="auto"/>
              <w:jc w:val="left"/>
              <w:rPr>
                <w:rFonts w:cs="Arial"/>
                <w:sz w:val="20"/>
                <w:szCs w:val="20"/>
                <w:lang w:val="en-AU"/>
              </w:rPr>
            </w:pPr>
            <w:r w:rsidRPr="006E69F4">
              <w:rPr>
                <w:rFonts w:cs="Arial"/>
                <w:sz w:val="20"/>
                <w:szCs w:val="20"/>
                <w:lang w:val="en-AU"/>
              </w:rPr>
              <w:t xml:space="preserve">Pioneer River/ </w:t>
            </w:r>
          </w:p>
          <w:p w14:paraId="15720D4A" w14:textId="0C78C3B5" w:rsidR="00A25009" w:rsidRPr="006E69F4" w:rsidRDefault="00A25009" w:rsidP="008E6B5E">
            <w:pPr>
              <w:spacing w:line="276" w:lineRule="auto"/>
              <w:jc w:val="left"/>
              <w:rPr>
                <w:rFonts w:cs="Arial"/>
                <w:sz w:val="20"/>
                <w:szCs w:val="20"/>
                <w:lang w:val="en-AU"/>
              </w:rPr>
            </w:pPr>
            <w:r w:rsidRPr="006E69F4">
              <w:rPr>
                <w:rFonts w:cs="Arial"/>
                <w:sz w:val="20"/>
                <w:szCs w:val="20"/>
                <w:lang w:val="en-AU"/>
              </w:rPr>
              <w:t>Sandy Creek</w:t>
            </w:r>
          </w:p>
        </w:tc>
        <w:tc>
          <w:tcPr>
            <w:tcW w:w="2423" w:type="dxa"/>
            <w:tcBorders>
              <w:top w:val="single" w:sz="4" w:space="0" w:color="D9D9D9" w:themeColor="background1" w:themeShade="D9"/>
              <w:bottom w:val="single" w:sz="4" w:space="0" w:color="D9D9D9" w:themeColor="background1" w:themeShade="D9"/>
            </w:tcBorders>
            <w:vAlign w:val="center"/>
          </w:tcPr>
          <w:p w14:paraId="15720D4B" w14:textId="2D082758" w:rsidR="00A25009" w:rsidRPr="006E69F4" w:rsidRDefault="005A19C8" w:rsidP="008E6B5E">
            <w:pPr>
              <w:spacing w:line="276" w:lineRule="auto"/>
              <w:jc w:val="left"/>
              <w:rPr>
                <w:rFonts w:cs="Arial"/>
                <w:sz w:val="20"/>
                <w:szCs w:val="20"/>
                <w:lang w:val="en-AU"/>
              </w:rPr>
            </w:pPr>
            <w:r>
              <w:rPr>
                <w:rFonts w:cs="Arial"/>
                <w:sz w:val="20"/>
                <w:szCs w:val="20"/>
                <w:lang w:val="en-AU"/>
              </w:rPr>
              <w:t>Round</w:t>
            </w:r>
            <w:r w:rsidR="00A25009" w:rsidRPr="006E69F4">
              <w:rPr>
                <w:rFonts w:cs="Arial"/>
                <w:sz w:val="20"/>
                <w:szCs w:val="20"/>
                <w:lang w:val="en-AU"/>
              </w:rPr>
              <w:t xml:space="preserve"> Top</w:t>
            </w:r>
            <w:r w:rsidR="00E533E4">
              <w:rPr>
                <w:rFonts w:cs="Arial"/>
                <w:sz w:val="20"/>
                <w:szCs w:val="20"/>
                <w:lang w:val="en-AU"/>
              </w:rPr>
              <w:t xml:space="preserve"> Island</w:t>
            </w:r>
          </w:p>
        </w:tc>
        <w:tc>
          <w:tcPr>
            <w:tcW w:w="1640" w:type="dxa"/>
            <w:tcBorders>
              <w:top w:val="single" w:sz="4" w:space="0" w:color="D9D9D9" w:themeColor="background1" w:themeShade="D9"/>
              <w:bottom w:val="single" w:sz="4" w:space="0" w:color="D9D9D9" w:themeColor="background1" w:themeShade="D9"/>
              <w:right w:val="nil"/>
            </w:tcBorders>
            <w:vAlign w:val="center"/>
          </w:tcPr>
          <w:p w14:paraId="15720D4C" w14:textId="77777777" w:rsidR="00A25009" w:rsidRDefault="00A25009" w:rsidP="000D7725">
            <w:pPr>
              <w:spacing w:line="276" w:lineRule="auto"/>
              <w:jc w:val="left"/>
              <w:rPr>
                <w:rFonts w:cs="Arial"/>
                <w:sz w:val="20"/>
                <w:szCs w:val="20"/>
                <w:lang w:val="en-AU"/>
              </w:rPr>
            </w:pPr>
            <w:r>
              <w:rPr>
                <w:rFonts w:cs="Arial"/>
                <w:sz w:val="20"/>
                <w:szCs w:val="20"/>
                <w:lang w:val="en-AU"/>
              </w:rPr>
              <w:t>Sep-2014</w:t>
            </w:r>
          </w:p>
        </w:tc>
      </w:tr>
      <w:tr w:rsidR="00A25009" w:rsidRPr="00056CEF" w14:paraId="15720D53" w14:textId="77777777" w:rsidTr="000D7725">
        <w:trPr>
          <w:trHeight w:val="377"/>
          <w:jc w:val="center"/>
        </w:trPr>
        <w:tc>
          <w:tcPr>
            <w:tcW w:w="1718" w:type="dxa"/>
            <w:vMerge/>
            <w:vAlign w:val="center"/>
          </w:tcPr>
          <w:p w14:paraId="15720D4E" w14:textId="77777777" w:rsidR="00A25009" w:rsidRPr="00056CEF" w:rsidRDefault="00A25009" w:rsidP="008E6B5E">
            <w:pPr>
              <w:spacing w:line="276" w:lineRule="auto"/>
              <w:jc w:val="left"/>
              <w:rPr>
                <w:rFonts w:cs="Arial"/>
                <w:sz w:val="20"/>
                <w:szCs w:val="20"/>
                <w:lang w:val="en-AU"/>
              </w:rPr>
            </w:pPr>
          </w:p>
        </w:tc>
        <w:tc>
          <w:tcPr>
            <w:tcW w:w="1883" w:type="dxa"/>
            <w:vMerge w:val="restart"/>
            <w:tcBorders>
              <w:top w:val="single" w:sz="4" w:space="0" w:color="D9D9D9" w:themeColor="background1" w:themeShade="D9"/>
            </w:tcBorders>
            <w:vAlign w:val="center"/>
          </w:tcPr>
          <w:p w14:paraId="15720D4F" w14:textId="77777777" w:rsidR="00A25009" w:rsidRPr="007E4CA0" w:rsidRDefault="00A25009" w:rsidP="00A25009">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Plane</w:t>
            </w:r>
          </w:p>
        </w:tc>
        <w:tc>
          <w:tcPr>
            <w:tcW w:w="2367" w:type="dxa"/>
            <w:tcBorders>
              <w:top w:val="single" w:sz="4" w:space="0" w:color="D9D9D9" w:themeColor="background1" w:themeShade="D9"/>
            </w:tcBorders>
            <w:vAlign w:val="center"/>
          </w:tcPr>
          <w:p w14:paraId="15720D50" w14:textId="77777777" w:rsidR="00A25009" w:rsidRPr="007E4CA0" w:rsidRDefault="00A25009" w:rsidP="008E6B5E">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Sandy Creek</w:t>
            </w:r>
          </w:p>
        </w:tc>
        <w:tc>
          <w:tcPr>
            <w:tcW w:w="2423" w:type="dxa"/>
            <w:tcBorders>
              <w:top w:val="single" w:sz="4" w:space="0" w:color="D9D9D9" w:themeColor="background1" w:themeShade="D9"/>
            </w:tcBorders>
            <w:vAlign w:val="center"/>
          </w:tcPr>
          <w:p w14:paraId="15720D51" w14:textId="77777777" w:rsidR="00A25009" w:rsidRPr="007E4CA0" w:rsidRDefault="00A25009" w:rsidP="008E6B5E">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Sandy Creek</w:t>
            </w:r>
          </w:p>
        </w:tc>
        <w:tc>
          <w:tcPr>
            <w:tcW w:w="1640" w:type="dxa"/>
            <w:tcBorders>
              <w:top w:val="single" w:sz="4" w:space="0" w:color="D9D9D9" w:themeColor="background1" w:themeShade="D9"/>
              <w:right w:val="nil"/>
            </w:tcBorders>
            <w:vAlign w:val="center"/>
          </w:tcPr>
          <w:p w14:paraId="15720D52" w14:textId="77777777" w:rsidR="00A25009" w:rsidRPr="007E4CA0" w:rsidRDefault="00A25009" w:rsidP="000D7725">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Sep-2014</w:t>
            </w:r>
          </w:p>
        </w:tc>
      </w:tr>
      <w:tr w:rsidR="00A25009" w:rsidRPr="00056CEF" w14:paraId="15720D59" w14:textId="77777777" w:rsidTr="000D7725">
        <w:trPr>
          <w:trHeight w:val="377"/>
          <w:jc w:val="center"/>
        </w:trPr>
        <w:tc>
          <w:tcPr>
            <w:tcW w:w="1718" w:type="dxa"/>
            <w:vMerge/>
            <w:tcBorders>
              <w:bottom w:val="single" w:sz="4" w:space="0" w:color="auto"/>
            </w:tcBorders>
            <w:vAlign w:val="center"/>
          </w:tcPr>
          <w:p w14:paraId="15720D54" w14:textId="77777777" w:rsidR="00A25009" w:rsidRPr="00056CEF" w:rsidRDefault="00A25009" w:rsidP="008E6B5E">
            <w:pPr>
              <w:spacing w:line="276" w:lineRule="auto"/>
              <w:jc w:val="left"/>
              <w:rPr>
                <w:rFonts w:cs="Arial"/>
                <w:sz w:val="20"/>
                <w:szCs w:val="20"/>
                <w:lang w:val="en-AU"/>
              </w:rPr>
            </w:pPr>
          </w:p>
        </w:tc>
        <w:tc>
          <w:tcPr>
            <w:tcW w:w="1883" w:type="dxa"/>
            <w:vMerge/>
            <w:tcBorders>
              <w:bottom w:val="single" w:sz="4" w:space="0" w:color="auto"/>
            </w:tcBorders>
            <w:vAlign w:val="center"/>
          </w:tcPr>
          <w:p w14:paraId="15720D55" w14:textId="77777777" w:rsidR="00A25009" w:rsidRPr="007E4CA0" w:rsidRDefault="00A25009" w:rsidP="008E6B5E">
            <w:pPr>
              <w:spacing w:line="276" w:lineRule="auto"/>
              <w:jc w:val="left"/>
              <w:rPr>
                <w:rFonts w:cs="Arial"/>
                <w:color w:val="000000" w:themeColor="text1"/>
                <w:sz w:val="20"/>
                <w:szCs w:val="20"/>
                <w:lang w:val="en-AU"/>
              </w:rPr>
            </w:pPr>
          </w:p>
        </w:tc>
        <w:tc>
          <w:tcPr>
            <w:tcW w:w="2367" w:type="dxa"/>
            <w:tcBorders>
              <w:bottom w:val="single" w:sz="4" w:space="0" w:color="auto"/>
            </w:tcBorders>
            <w:vAlign w:val="center"/>
          </w:tcPr>
          <w:p w14:paraId="15720D56" w14:textId="77777777" w:rsidR="00A25009" w:rsidRPr="007E4CA0" w:rsidRDefault="00A25009" w:rsidP="008E6B5E">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Plane Creek</w:t>
            </w:r>
          </w:p>
        </w:tc>
        <w:tc>
          <w:tcPr>
            <w:tcW w:w="2423" w:type="dxa"/>
            <w:tcBorders>
              <w:bottom w:val="single" w:sz="4" w:space="0" w:color="auto"/>
            </w:tcBorders>
            <w:vAlign w:val="center"/>
          </w:tcPr>
          <w:p w14:paraId="15720D57" w14:textId="77777777" w:rsidR="00A25009" w:rsidRPr="007E4CA0" w:rsidRDefault="00A25009" w:rsidP="008E6B5E">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Sarina Inlet</w:t>
            </w:r>
          </w:p>
        </w:tc>
        <w:tc>
          <w:tcPr>
            <w:tcW w:w="1640" w:type="dxa"/>
            <w:tcBorders>
              <w:bottom w:val="single" w:sz="4" w:space="0" w:color="auto"/>
              <w:right w:val="nil"/>
            </w:tcBorders>
            <w:vAlign w:val="center"/>
          </w:tcPr>
          <w:p w14:paraId="15720D58" w14:textId="77777777" w:rsidR="00A25009" w:rsidRPr="007E4CA0" w:rsidRDefault="00A25009" w:rsidP="000D7725">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May-2009</w:t>
            </w:r>
          </w:p>
        </w:tc>
      </w:tr>
      <w:tr w:rsidR="00A25009" w:rsidRPr="00056CEF" w14:paraId="15720D5F" w14:textId="77777777" w:rsidTr="000D7725">
        <w:trPr>
          <w:trHeight w:val="377"/>
          <w:jc w:val="center"/>
        </w:trPr>
        <w:tc>
          <w:tcPr>
            <w:tcW w:w="1718" w:type="dxa"/>
            <w:tcBorders>
              <w:top w:val="single" w:sz="4" w:space="0" w:color="auto"/>
              <w:bottom w:val="single" w:sz="4" w:space="0" w:color="auto"/>
            </w:tcBorders>
            <w:vAlign w:val="center"/>
          </w:tcPr>
          <w:p w14:paraId="15720D5A" w14:textId="77777777" w:rsidR="00A25009" w:rsidRPr="00056CEF" w:rsidRDefault="00A25009" w:rsidP="008E6B5E">
            <w:pPr>
              <w:spacing w:line="276" w:lineRule="auto"/>
              <w:jc w:val="left"/>
              <w:rPr>
                <w:rFonts w:cs="Arial"/>
                <w:sz w:val="20"/>
                <w:szCs w:val="20"/>
                <w:lang w:val="en-AU"/>
              </w:rPr>
            </w:pPr>
            <w:r w:rsidRPr="00056CEF">
              <w:rPr>
                <w:rFonts w:cs="Arial"/>
                <w:sz w:val="20"/>
                <w:szCs w:val="20"/>
                <w:lang w:val="en-AU"/>
              </w:rPr>
              <w:t>Fitzroy</w:t>
            </w:r>
          </w:p>
        </w:tc>
        <w:tc>
          <w:tcPr>
            <w:tcW w:w="1883" w:type="dxa"/>
            <w:tcBorders>
              <w:top w:val="single" w:sz="4" w:space="0" w:color="auto"/>
              <w:bottom w:val="single" w:sz="4" w:space="0" w:color="auto"/>
            </w:tcBorders>
            <w:vAlign w:val="center"/>
          </w:tcPr>
          <w:p w14:paraId="15720D5B" w14:textId="77777777" w:rsidR="00A25009" w:rsidRPr="00056CEF" w:rsidRDefault="00A25009" w:rsidP="008E6B5E">
            <w:pPr>
              <w:spacing w:line="276" w:lineRule="auto"/>
              <w:jc w:val="left"/>
              <w:rPr>
                <w:rFonts w:cs="Arial"/>
                <w:sz w:val="20"/>
                <w:szCs w:val="20"/>
                <w:lang w:val="en-AU"/>
              </w:rPr>
            </w:pPr>
            <w:r w:rsidRPr="00056CEF">
              <w:rPr>
                <w:rFonts w:cs="Arial"/>
                <w:sz w:val="20"/>
                <w:szCs w:val="20"/>
                <w:lang w:val="en-AU"/>
              </w:rPr>
              <w:t>Fitzroy</w:t>
            </w:r>
          </w:p>
        </w:tc>
        <w:tc>
          <w:tcPr>
            <w:tcW w:w="2367" w:type="dxa"/>
            <w:tcBorders>
              <w:top w:val="single" w:sz="4" w:space="0" w:color="auto"/>
              <w:bottom w:val="single" w:sz="4" w:space="0" w:color="auto"/>
            </w:tcBorders>
            <w:vAlign w:val="center"/>
          </w:tcPr>
          <w:p w14:paraId="15720D5C" w14:textId="77777777" w:rsidR="00A25009" w:rsidRPr="00056CEF" w:rsidRDefault="00A25009" w:rsidP="008E6B5E">
            <w:pPr>
              <w:spacing w:line="276" w:lineRule="auto"/>
              <w:jc w:val="left"/>
              <w:rPr>
                <w:rFonts w:cs="Arial"/>
                <w:sz w:val="20"/>
                <w:szCs w:val="20"/>
                <w:lang w:val="en-AU"/>
              </w:rPr>
            </w:pPr>
            <w:r w:rsidRPr="00056CEF">
              <w:rPr>
                <w:rFonts w:cs="Arial"/>
                <w:sz w:val="20"/>
                <w:szCs w:val="20"/>
                <w:lang w:val="en-AU"/>
              </w:rPr>
              <w:t>Fitzroy River</w:t>
            </w:r>
          </w:p>
        </w:tc>
        <w:tc>
          <w:tcPr>
            <w:tcW w:w="2423" w:type="dxa"/>
            <w:tcBorders>
              <w:top w:val="single" w:sz="4" w:space="0" w:color="auto"/>
              <w:bottom w:val="single" w:sz="4" w:space="0" w:color="auto"/>
            </w:tcBorders>
            <w:vAlign w:val="center"/>
          </w:tcPr>
          <w:p w14:paraId="15720D5D" w14:textId="77777777" w:rsidR="00A25009" w:rsidRPr="00056CEF" w:rsidRDefault="00A25009" w:rsidP="008E6B5E">
            <w:pPr>
              <w:spacing w:line="276" w:lineRule="auto"/>
              <w:jc w:val="left"/>
              <w:rPr>
                <w:rFonts w:cs="Arial"/>
                <w:sz w:val="20"/>
                <w:szCs w:val="20"/>
                <w:lang w:val="en-AU"/>
              </w:rPr>
            </w:pPr>
            <w:r w:rsidRPr="00056CEF">
              <w:rPr>
                <w:rFonts w:cs="Arial"/>
                <w:sz w:val="20"/>
                <w:szCs w:val="20"/>
                <w:lang w:val="en-AU"/>
              </w:rPr>
              <w:t>North Keppel Island</w:t>
            </w:r>
          </w:p>
        </w:tc>
        <w:tc>
          <w:tcPr>
            <w:tcW w:w="1640" w:type="dxa"/>
            <w:tcBorders>
              <w:top w:val="single" w:sz="4" w:space="0" w:color="auto"/>
              <w:bottom w:val="single" w:sz="4" w:space="0" w:color="auto"/>
              <w:right w:val="nil"/>
            </w:tcBorders>
            <w:vAlign w:val="center"/>
          </w:tcPr>
          <w:p w14:paraId="15720D5E" w14:textId="77777777" w:rsidR="00A25009" w:rsidRPr="00056CEF" w:rsidRDefault="00A25009" w:rsidP="000D7725">
            <w:pPr>
              <w:spacing w:line="276" w:lineRule="auto"/>
              <w:jc w:val="left"/>
              <w:rPr>
                <w:rFonts w:cs="Arial"/>
                <w:sz w:val="20"/>
                <w:szCs w:val="20"/>
                <w:lang w:val="en-AU"/>
              </w:rPr>
            </w:pPr>
            <w:r>
              <w:rPr>
                <w:rFonts w:cs="Arial"/>
                <w:sz w:val="20"/>
                <w:szCs w:val="20"/>
                <w:lang w:val="en-AU"/>
              </w:rPr>
              <w:t>Aug-2005</w:t>
            </w:r>
          </w:p>
        </w:tc>
      </w:tr>
    </w:tbl>
    <w:bookmarkEnd w:id="34"/>
    <w:p w14:paraId="15720D60" w14:textId="77777777" w:rsidR="00056CEF" w:rsidRPr="00801185" w:rsidRDefault="00801185" w:rsidP="00015606">
      <w:pPr>
        <w:spacing w:line="276" w:lineRule="auto"/>
        <w:rPr>
          <w:rFonts w:cs="Arial"/>
          <w:sz w:val="18"/>
          <w:lang w:val="en-AU"/>
        </w:rPr>
      </w:pPr>
      <w:r w:rsidRPr="00801185">
        <w:rPr>
          <w:rFonts w:cs="Arial"/>
          <w:sz w:val="18"/>
          <w:lang w:val="en-AU"/>
        </w:rPr>
        <w:t>* High Island was reintroduced to the sampling program this year</w:t>
      </w:r>
      <w:r w:rsidR="00E623FE">
        <w:rPr>
          <w:rFonts w:cs="Arial"/>
          <w:sz w:val="18"/>
          <w:lang w:val="en-AU"/>
        </w:rPr>
        <w:t xml:space="preserve"> after its discontinuation in 2008.</w:t>
      </w:r>
    </w:p>
    <w:p w14:paraId="15720D61" w14:textId="77777777" w:rsidR="00801185" w:rsidRDefault="00801185" w:rsidP="00015606">
      <w:pPr>
        <w:spacing w:line="276" w:lineRule="auto"/>
        <w:rPr>
          <w:rFonts w:cs="Arial"/>
          <w:lang w:val="en-AU"/>
        </w:rPr>
      </w:pPr>
    </w:p>
    <w:p w14:paraId="15720D62" w14:textId="7C6B66ED" w:rsidR="004438CF" w:rsidRDefault="004438CF" w:rsidP="004438CF">
      <w:pPr>
        <w:spacing w:line="276" w:lineRule="auto"/>
        <w:rPr>
          <w:lang w:val="en-AU" w:eastAsia="en-AU"/>
        </w:rPr>
      </w:pPr>
      <w:r>
        <w:rPr>
          <w:lang w:val="en-AU" w:eastAsia="en-AU"/>
        </w:rPr>
        <w:t xml:space="preserve">The </w:t>
      </w:r>
      <w:r w:rsidRPr="00602BC4">
        <w:rPr>
          <w:b/>
          <w:lang w:val="en-AU" w:eastAsia="en-AU"/>
        </w:rPr>
        <w:t>Wet Tropics</w:t>
      </w:r>
      <w:r>
        <w:rPr>
          <w:lang w:val="en-AU" w:eastAsia="en-AU"/>
        </w:rPr>
        <w:t xml:space="preserve"> region encompasses eight catchment areas, covering approximately 2.2 million hectares </w:t>
      </w:r>
      <w:r w:rsidR="00C91BF5">
        <w:rPr>
          <w:lang w:val="en-AU" w:eastAsia="en-AU"/>
        </w:rPr>
        <w:fldChar w:fldCharType="begin"/>
      </w:r>
      <w:r w:rsidR="009D4492">
        <w:rPr>
          <w:lang w:val="en-AU" w:eastAsia="en-AU"/>
        </w:rPr>
        <w:instrText xml:space="preserve"> ADDIN EN.CITE &lt;EndNote&gt;&lt;Cite&gt;&lt;Author&gt;ABS&lt;/Author&gt;&lt;Year&gt;2010&lt;/Year&gt;&lt;RecNum&gt;21&lt;/RecNum&gt;&lt;DisplayText&gt;(ABS, 2010)&lt;/DisplayText&gt;&lt;record&gt;&lt;rec-number&gt;21&lt;/rec-number&gt;&lt;foreign-keys&gt;&lt;key app="EN" db-id="vvtrt2pt4xpx5teta99vvtwg50vzve2aexae" timestamp="1493157349"&gt;21&lt;/key&gt;&lt;/foreign-keys&gt;&lt;ref-type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C91BF5">
        <w:rPr>
          <w:lang w:val="en-AU" w:eastAsia="en-AU"/>
        </w:rPr>
        <w:fldChar w:fldCharType="separate"/>
      </w:r>
      <w:r w:rsidR="009D4492">
        <w:rPr>
          <w:noProof/>
          <w:lang w:val="en-AU" w:eastAsia="en-AU"/>
        </w:rPr>
        <w:t>(ABS, 2010)</w:t>
      </w:r>
      <w:r w:rsidR="00C91BF5">
        <w:rPr>
          <w:lang w:val="en-AU" w:eastAsia="en-AU"/>
        </w:rPr>
        <w:fldChar w:fldCharType="end"/>
      </w:r>
      <w:r>
        <w:rPr>
          <w:lang w:val="en-AU" w:eastAsia="en-AU"/>
        </w:rPr>
        <w:t>. Approximately 44 per cent of land is set aside as conservation and natural environment areas, however beef cattle grazing (30 per cent of total land use) and sugar cane (</w:t>
      </w:r>
      <w:r w:rsidR="007E4CA0">
        <w:rPr>
          <w:lang w:val="en-AU" w:eastAsia="en-AU"/>
        </w:rPr>
        <w:t>seven</w:t>
      </w:r>
      <w:r>
        <w:rPr>
          <w:lang w:val="en-AU" w:eastAsia="en-AU"/>
        </w:rPr>
        <w:t xml:space="preserve"> per cent of total land use) are the primary agricultural activities </w:t>
      </w:r>
      <w:r w:rsidR="00C91BF5">
        <w:rPr>
          <w:lang w:val="en-AU" w:eastAsia="en-AU"/>
        </w:rPr>
        <w:fldChar w:fldCharType="begin"/>
      </w:r>
      <w:r w:rsidR="009D4492">
        <w:rPr>
          <w:lang w:val="en-AU" w:eastAsia="en-AU"/>
        </w:rPr>
        <w:instrText xml:space="preserve"> ADDIN EN.CITE &lt;EndNote&gt;&lt;Cite&gt;&lt;Author&gt;DSITI&lt;/Author&gt;&lt;Year&gt;2012&lt;/Year&gt;&lt;RecNum&gt;22&lt;/RecNum&gt;&lt;DisplayText&gt;(DSITI, 2012b)&lt;/DisplayText&gt;&lt;record&gt;&lt;rec-number&gt;22&lt;/rec-number&gt;&lt;foreign-keys&gt;&lt;key app="EN" db-id="vvtrt2pt4xpx5teta99vvtwg50vzve2aexae" timestamp="1493157350"&gt;22&lt;/key&gt;&lt;/foreign-keys&gt;&lt;ref-type name="Report"&gt;27&lt;/ref-type&gt;&lt;contributors&gt;&lt;authors&gt;&lt;author&gt;DSITI&lt;/author&gt;&lt;/authors&gt;&lt;/contributors&gt;&lt;titles&gt;&lt;title&gt;Land use summary 1999–2009 for the Wet Tropics NRM region&lt;/title&gt;&lt;/titles&gt;&lt;dates&gt;&lt;year&gt;2012&lt;/year&gt;&lt;/dates&gt;&lt;pub-location&gt;Queensland Department of Science, Information Technology, Innovation and the Arts, Brisbane.&lt;/pub-location&gt;&lt;urls&gt;&lt;/urls&gt;&lt;/record&gt;&lt;/Cite&gt;&lt;/EndNote&gt;</w:instrText>
      </w:r>
      <w:r w:rsidR="00C91BF5">
        <w:rPr>
          <w:lang w:val="en-AU" w:eastAsia="en-AU"/>
        </w:rPr>
        <w:fldChar w:fldCharType="separate"/>
      </w:r>
      <w:r w:rsidR="009D4492">
        <w:rPr>
          <w:noProof/>
          <w:lang w:val="en-AU" w:eastAsia="en-AU"/>
        </w:rPr>
        <w:t>(DSITI, 2012b)</w:t>
      </w:r>
      <w:r w:rsidR="00C91BF5">
        <w:rPr>
          <w:lang w:val="en-AU" w:eastAsia="en-AU"/>
        </w:rPr>
        <w:fldChar w:fldCharType="end"/>
      </w:r>
      <w:r>
        <w:rPr>
          <w:lang w:val="en-AU" w:eastAsia="en-AU"/>
        </w:rPr>
        <w:t xml:space="preserve">. Fixed sampling sites in the Wet Tropics region in </w:t>
      </w:r>
      <w:r w:rsidR="00070AE2">
        <w:rPr>
          <w:lang w:val="en-AU" w:eastAsia="en-AU"/>
        </w:rPr>
        <w:t>2015-16</w:t>
      </w:r>
      <w:r>
        <w:rPr>
          <w:lang w:val="en-AU" w:eastAsia="en-AU"/>
        </w:rPr>
        <w:t xml:space="preserve"> were at Low Isles, High Island, Normanby Island, Dunk Island and Lucinda (</w:t>
      </w:r>
      <w:r w:rsidR="002A77E1">
        <w:fldChar w:fldCharType="begin"/>
      </w:r>
      <w:r w:rsidR="002A77E1">
        <w:instrText xml:space="preserve"> REF _Ref474319389 \h  \* MERGEFORMAT </w:instrText>
      </w:r>
      <w:r w:rsidR="002A77E1">
        <w:fldChar w:fldCharType="separate"/>
      </w:r>
      <w:r w:rsidR="00D12276" w:rsidRPr="00747824">
        <w:t xml:space="preserve">Figure </w:t>
      </w:r>
      <w:r w:rsidR="00D12276" w:rsidRPr="00D12276">
        <w:t>1</w:t>
      </w:r>
      <w:r w:rsidR="002A77E1">
        <w:fldChar w:fldCharType="end"/>
      </w:r>
      <w:r>
        <w:rPr>
          <w:lang w:val="en-AU" w:eastAsia="en-AU"/>
        </w:rPr>
        <w:t xml:space="preserve">). Low Isles and Normanby Island have been monitored since 2005, Dunk Island since 2008 (once in 2007), and Lucinda since 2014. High Island was monitored in 2006-2008 and then discontinued until recommencing </w:t>
      </w:r>
      <w:r w:rsidR="00801185">
        <w:rPr>
          <w:lang w:val="en-AU" w:eastAsia="en-AU"/>
        </w:rPr>
        <w:t>as part of the MMP pesticide program</w:t>
      </w:r>
      <w:r>
        <w:rPr>
          <w:lang w:val="en-AU" w:eastAsia="en-AU"/>
        </w:rPr>
        <w:t xml:space="preserve"> in the current year.</w:t>
      </w:r>
    </w:p>
    <w:p w14:paraId="15720D63" w14:textId="77777777" w:rsidR="004438CF" w:rsidRDefault="004438CF" w:rsidP="004438CF">
      <w:pPr>
        <w:spacing w:line="276" w:lineRule="auto"/>
        <w:rPr>
          <w:rFonts w:cs="Arial"/>
          <w:lang w:val="en-AU"/>
        </w:rPr>
      </w:pPr>
    </w:p>
    <w:p w14:paraId="15720D64" w14:textId="15CA37E6" w:rsidR="004438CF" w:rsidRDefault="004438CF" w:rsidP="004438CF">
      <w:pPr>
        <w:spacing w:line="276" w:lineRule="auto"/>
        <w:rPr>
          <w:rFonts w:cs="Arial"/>
          <w:lang w:val="en-AU"/>
        </w:rPr>
      </w:pPr>
      <w:r>
        <w:rPr>
          <w:lang w:val="en-AU" w:eastAsia="en-AU"/>
        </w:rPr>
        <w:t xml:space="preserve">The </w:t>
      </w:r>
      <w:r w:rsidRPr="00602BC4">
        <w:rPr>
          <w:b/>
          <w:lang w:val="en-AU" w:eastAsia="en-AU"/>
        </w:rPr>
        <w:t>Burdekin</w:t>
      </w:r>
      <w:r>
        <w:rPr>
          <w:lang w:val="en-AU" w:eastAsia="en-AU"/>
        </w:rPr>
        <w:t xml:space="preserve"> region spans five catchments and covers 14 million hectares, of which 90 per cent is used for agricultural purposes, with grazing primarily inland and some sugar cane and horticulture along the coast </w:t>
      </w:r>
      <w:r w:rsidR="00C91BF5">
        <w:rPr>
          <w:lang w:val="en-AU" w:eastAsia="en-AU"/>
        </w:rPr>
        <w:fldChar w:fldCharType="begin"/>
      </w:r>
      <w:r w:rsidR="009D4492">
        <w:rPr>
          <w:lang w:val="en-AU" w:eastAsia="en-AU"/>
        </w:rPr>
        <w:instrText xml:space="preserve"> ADDIN EN.CITE &lt;EndNote&gt;&lt;Cite&gt;&lt;Author&gt;DSITI&lt;/Author&gt;&lt;Year&gt;2012&lt;/Year&gt;&lt;RecNum&gt;23&lt;/RecNum&gt;&lt;DisplayText&gt;(ABS, 2010, DSITI, 2012c)&lt;/DisplayText&gt;&lt;record&gt;&lt;rec-number&gt;23&lt;/rec-number&gt;&lt;foreign-keys&gt;&lt;key app="EN" db-id="vvtrt2pt4xpx5teta99vvtwg50vzve2aexae" timestamp="1493157351"&gt;23&lt;/key&gt;&lt;/foreign-keys&gt;&lt;ref-type name="Report"&gt;27&lt;/ref-type&gt;&lt;contributors&gt;&lt;authors&gt;&lt;author&gt;DSITI&lt;/author&gt;&lt;/authors&gt;&lt;/contributors&gt;&lt;titles&gt;&lt;title&gt;Land use summary 1999–2009: Burdekin NRM region&lt;/title&gt;&lt;/titles&gt;&lt;dates&gt;&lt;year&gt;2012&lt;/year&gt;&lt;/dates&gt;&lt;pub-location&gt;Queensland Department of Science, Information Technology, Innovation and the Arts, Brisbane.&lt;/pub-location&gt;&lt;urls&gt;&lt;/urls&gt;&lt;/record&gt;&lt;/Cite&gt;&lt;Cite&gt;&lt;Author&gt;ABS&lt;/Author&gt;&lt;Year&gt;2010&lt;/Year&gt;&lt;RecNum&gt;21&lt;/RecNum&gt;&lt;record&gt;&lt;rec-number&gt;21&lt;/rec-number&gt;&lt;foreign-keys&gt;&lt;key app="EN" db-id="vvtrt2pt4xpx5teta99vvtwg50vzve2aexae" timestamp="1493157349"&gt;21&lt;/key&gt;&lt;/foreign-keys&gt;&lt;ref-type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C91BF5">
        <w:rPr>
          <w:lang w:val="en-AU" w:eastAsia="en-AU"/>
        </w:rPr>
        <w:fldChar w:fldCharType="separate"/>
      </w:r>
      <w:r w:rsidR="009D4492">
        <w:rPr>
          <w:noProof/>
          <w:lang w:val="en-AU" w:eastAsia="en-AU"/>
        </w:rPr>
        <w:t>(ABS, 2010, DSITI, 2012c)</w:t>
      </w:r>
      <w:r w:rsidR="00C91BF5">
        <w:rPr>
          <w:lang w:val="en-AU" w:eastAsia="en-AU"/>
        </w:rPr>
        <w:fldChar w:fldCharType="end"/>
      </w:r>
      <w:r>
        <w:rPr>
          <w:lang w:val="en-AU" w:eastAsia="en-AU"/>
        </w:rPr>
        <w:t xml:space="preserve">. </w:t>
      </w:r>
      <w:r w:rsidR="00580B88">
        <w:rPr>
          <w:lang w:val="en-AU" w:eastAsia="en-AU"/>
        </w:rPr>
        <w:t>The o</w:t>
      </w:r>
      <w:r w:rsidR="00801185">
        <w:rPr>
          <w:lang w:val="en-AU" w:eastAsia="en-AU"/>
        </w:rPr>
        <w:t>ne</w:t>
      </w:r>
      <w:r>
        <w:rPr>
          <w:lang w:val="en-AU" w:eastAsia="en-AU"/>
        </w:rPr>
        <w:t xml:space="preserve"> sampling site in the Burdekin region in </w:t>
      </w:r>
      <w:r w:rsidR="00070AE2">
        <w:rPr>
          <w:lang w:val="en-AU" w:eastAsia="en-AU"/>
        </w:rPr>
        <w:t>2015-16</w:t>
      </w:r>
      <w:r>
        <w:rPr>
          <w:lang w:val="en-AU" w:eastAsia="en-AU"/>
        </w:rPr>
        <w:t xml:space="preserve"> was </w:t>
      </w:r>
      <w:r w:rsidR="00801185">
        <w:rPr>
          <w:lang w:val="en-AU" w:eastAsia="en-AU"/>
        </w:rPr>
        <w:t xml:space="preserve">at </w:t>
      </w:r>
      <w:r>
        <w:rPr>
          <w:lang w:val="en-AU" w:eastAsia="en-AU"/>
        </w:rPr>
        <w:t>Barratta Creek mouth (Figure 2</w:t>
      </w:r>
      <w:r w:rsidR="006E69F4">
        <w:rPr>
          <w:lang w:val="en-AU" w:eastAsia="en-AU"/>
        </w:rPr>
        <w:t>)</w:t>
      </w:r>
      <w:r>
        <w:rPr>
          <w:lang w:val="en-AU" w:eastAsia="en-AU"/>
        </w:rPr>
        <w:t xml:space="preserve"> which was established in 2014</w:t>
      </w:r>
      <w:r w:rsidRPr="0090433A">
        <w:rPr>
          <w:lang w:val="en-AU" w:eastAsia="en-AU"/>
        </w:rPr>
        <w:t>.</w:t>
      </w:r>
      <w:r w:rsidRPr="003B0DF7">
        <w:rPr>
          <w:rFonts w:cs="Arial"/>
          <w:lang w:val="en-AU"/>
        </w:rPr>
        <w:t xml:space="preserve"> </w:t>
      </w:r>
    </w:p>
    <w:p w14:paraId="15720D65" w14:textId="77777777" w:rsidR="004438CF" w:rsidRPr="00747824" w:rsidRDefault="004438CF" w:rsidP="004438CF"/>
    <w:p w14:paraId="15720D66" w14:textId="47C17B7C" w:rsidR="004438CF" w:rsidRDefault="004438CF" w:rsidP="004438CF">
      <w:pPr>
        <w:spacing w:line="276" w:lineRule="auto"/>
        <w:rPr>
          <w:lang w:val="en-AU" w:eastAsia="en-AU"/>
        </w:rPr>
      </w:pPr>
      <w:r>
        <w:rPr>
          <w:lang w:val="en-AU" w:eastAsia="en-AU"/>
        </w:rPr>
        <w:t xml:space="preserve">The </w:t>
      </w:r>
      <w:r w:rsidRPr="00602BC4">
        <w:rPr>
          <w:b/>
          <w:lang w:val="en-AU" w:eastAsia="en-AU"/>
        </w:rPr>
        <w:t>Mackay Whitsunday</w:t>
      </w:r>
      <w:r>
        <w:rPr>
          <w:lang w:val="en-AU" w:eastAsia="en-AU"/>
        </w:rPr>
        <w:t xml:space="preserve"> region is the smallest NRM region, spanning four catchments with an area of approximately 900,000 hectares </w:t>
      </w:r>
      <w:r w:rsidR="00C91BF5">
        <w:rPr>
          <w:lang w:val="en-AU" w:eastAsia="en-AU"/>
        </w:rPr>
        <w:fldChar w:fldCharType="begin"/>
      </w:r>
      <w:r w:rsidR="009D4492">
        <w:rPr>
          <w:lang w:val="en-AU" w:eastAsia="en-AU"/>
        </w:rPr>
        <w:instrText xml:space="preserve"> ADDIN EN.CITE &lt;EndNote&gt;&lt;Cite&gt;&lt;Author&gt;ABS&lt;/Author&gt;&lt;Year&gt;2010&lt;/Year&gt;&lt;RecNum&gt;21&lt;/RecNum&gt;&lt;DisplayText&gt;(ABS, 2010)&lt;/DisplayText&gt;&lt;record&gt;&lt;rec-number&gt;21&lt;/rec-number&gt;&lt;foreign-keys&gt;&lt;key app="EN" db-id="vvtrt2pt4xpx5teta99vvtwg50vzve2aexae" timestamp="1493157349"&gt;21&lt;/key&gt;&lt;/foreign-keys&gt;&lt;ref-type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C91BF5">
        <w:rPr>
          <w:lang w:val="en-AU" w:eastAsia="en-AU"/>
        </w:rPr>
        <w:fldChar w:fldCharType="separate"/>
      </w:r>
      <w:r w:rsidR="009D4492">
        <w:rPr>
          <w:noProof/>
          <w:lang w:val="en-AU" w:eastAsia="en-AU"/>
        </w:rPr>
        <w:t>(ABS, 2010)</w:t>
      </w:r>
      <w:r w:rsidR="00C91BF5">
        <w:rPr>
          <w:lang w:val="en-AU" w:eastAsia="en-AU"/>
        </w:rPr>
        <w:fldChar w:fldCharType="end"/>
      </w:r>
      <w:r>
        <w:rPr>
          <w:lang w:val="en-AU" w:eastAsia="en-AU"/>
        </w:rPr>
        <w:t xml:space="preserve">. This region is dominated by </w:t>
      </w:r>
      <w:r w:rsidR="006C0AEC">
        <w:rPr>
          <w:lang w:val="en-AU" w:eastAsia="en-AU"/>
        </w:rPr>
        <w:t xml:space="preserve">grazing, which comprises </w:t>
      </w:r>
      <w:r w:rsidR="006C0AEC" w:rsidRPr="006C0AEC">
        <w:rPr>
          <w:lang w:val="en-AU" w:eastAsia="en-AU"/>
        </w:rPr>
        <w:t>30 –</w:t>
      </w:r>
      <w:r w:rsidR="006C0AEC">
        <w:rPr>
          <w:lang w:val="en-AU" w:eastAsia="en-AU"/>
        </w:rPr>
        <w:t xml:space="preserve"> 60 per cent of the region’s land use depending on the catchment basin, and </w:t>
      </w:r>
      <w:r>
        <w:rPr>
          <w:lang w:val="en-AU" w:eastAsia="en-AU"/>
        </w:rPr>
        <w:t xml:space="preserve">the sugar cane industry, which comprises </w:t>
      </w:r>
      <w:r w:rsidR="006C0AEC">
        <w:rPr>
          <w:lang w:val="en-AU" w:eastAsia="en-AU"/>
        </w:rPr>
        <w:t xml:space="preserve">6 – 50 </w:t>
      </w:r>
      <w:r>
        <w:rPr>
          <w:lang w:val="en-AU" w:eastAsia="en-AU"/>
        </w:rPr>
        <w:t xml:space="preserve">per cent of the region’s land use </w:t>
      </w:r>
      <w:r w:rsidR="00C91BF5">
        <w:rPr>
          <w:lang w:val="en-AU" w:eastAsia="en-AU"/>
        </w:rPr>
        <w:fldChar w:fldCharType="begin"/>
      </w:r>
      <w:r w:rsidR="009D4492">
        <w:rPr>
          <w:lang w:val="en-AU" w:eastAsia="en-AU"/>
        </w:rPr>
        <w:instrText xml:space="preserve"> ADDIN EN.CITE &lt;EndNote&gt;&lt;Cite&gt;&lt;Author&gt;DSITI&lt;/Author&gt;&lt;Year&gt;2012&lt;/Year&gt;&lt;RecNum&gt;24&lt;/RecNum&gt;&lt;DisplayText&gt;(DSITI, 2012e)&lt;/DisplayText&gt;&lt;record&gt;&lt;rec-number&gt;24&lt;/rec-number&gt;&lt;foreign-keys&gt;&lt;key app="EN" db-id="vvtrt2pt4xpx5teta99vvtwg50vzve2aexae" timestamp="1493157353"&gt;24&lt;/key&gt;&lt;/foreign-keys&gt;&lt;ref-type name="Report"&gt;27&lt;/ref-type&gt;&lt;contributors&gt;&lt;authors&gt;&lt;author&gt;DSITI&lt;/author&gt;&lt;/authors&gt;&lt;/contributors&gt;&lt;titles&gt;&lt;title&gt;Land use Summary 1999–2009: Mackay–Whitsunday NRM Region&lt;/title&gt;&lt;/titles&gt;&lt;dates&gt;&lt;year&gt;2012&lt;/year&gt;&lt;/dates&gt;&lt;pub-location&gt;Queensland Department of Science, Information Technology, Innovation and the Arts, Brisbane.&lt;/pub-location&gt;&lt;urls&gt;&lt;/urls&gt;&lt;/record&gt;&lt;/Cite&gt;&lt;/EndNote&gt;</w:instrText>
      </w:r>
      <w:r w:rsidR="00C91BF5">
        <w:rPr>
          <w:lang w:val="en-AU" w:eastAsia="en-AU"/>
        </w:rPr>
        <w:fldChar w:fldCharType="separate"/>
      </w:r>
      <w:r w:rsidR="009D4492">
        <w:rPr>
          <w:noProof/>
          <w:lang w:val="en-AU" w:eastAsia="en-AU"/>
        </w:rPr>
        <w:t>(DSITI, 2012e)</w:t>
      </w:r>
      <w:r w:rsidR="00C91BF5">
        <w:rPr>
          <w:lang w:val="en-AU" w:eastAsia="en-AU"/>
        </w:rPr>
        <w:fldChar w:fldCharType="end"/>
      </w:r>
      <w:r>
        <w:rPr>
          <w:lang w:val="en-AU" w:eastAsia="en-AU"/>
        </w:rPr>
        <w:t xml:space="preserve">. Sampling sites in the Mackay Whitsunday region in </w:t>
      </w:r>
      <w:r w:rsidR="00070AE2">
        <w:rPr>
          <w:lang w:val="en-AU" w:eastAsia="en-AU"/>
        </w:rPr>
        <w:t>2015-16</w:t>
      </w:r>
      <w:r w:rsidR="00580B88">
        <w:rPr>
          <w:lang w:val="en-AU" w:eastAsia="en-AU"/>
        </w:rPr>
        <w:t xml:space="preserve"> were Repulse Bay, </w:t>
      </w:r>
      <w:r w:rsidR="005A19C8">
        <w:rPr>
          <w:lang w:val="en-AU" w:eastAsia="en-AU"/>
        </w:rPr>
        <w:t>Round</w:t>
      </w:r>
      <w:r>
        <w:rPr>
          <w:lang w:val="en-AU" w:eastAsia="en-AU"/>
        </w:rPr>
        <w:t xml:space="preserve"> Top Island, Sandy Creek and Sarina Inlet (</w:t>
      </w:r>
      <w:r w:rsidR="002A77E1">
        <w:fldChar w:fldCharType="begin"/>
      </w:r>
      <w:r w:rsidR="002A77E1">
        <w:instrText xml:space="preserve"> REF _Ref474319389 \h  \* MERGEFORMAT </w:instrText>
      </w:r>
      <w:r w:rsidR="002A77E1">
        <w:fldChar w:fldCharType="separate"/>
      </w:r>
      <w:r w:rsidR="00D12276" w:rsidRPr="00747824">
        <w:t xml:space="preserve">Figure </w:t>
      </w:r>
      <w:r w:rsidR="00D12276" w:rsidRPr="00D12276">
        <w:t>1</w:t>
      </w:r>
      <w:r w:rsidR="002A77E1">
        <w:fldChar w:fldCharType="end"/>
      </w:r>
      <w:r>
        <w:rPr>
          <w:lang w:val="en-AU" w:eastAsia="en-AU"/>
        </w:rPr>
        <w:t xml:space="preserve">). The Sarina Inlet site was established in 2009 and the remaining sites were established in 2014. </w:t>
      </w:r>
    </w:p>
    <w:p w14:paraId="15720D67" w14:textId="77777777" w:rsidR="004438CF" w:rsidRDefault="004438CF" w:rsidP="004438CF">
      <w:pPr>
        <w:spacing w:line="276" w:lineRule="auto"/>
        <w:rPr>
          <w:lang w:val="en-AU" w:eastAsia="en-AU"/>
        </w:rPr>
      </w:pPr>
    </w:p>
    <w:p w14:paraId="15720D68" w14:textId="2035253D" w:rsidR="004438CF" w:rsidRDefault="004438CF" w:rsidP="004438CF">
      <w:pPr>
        <w:spacing w:line="276" w:lineRule="auto"/>
        <w:rPr>
          <w:lang w:val="en-AU" w:eastAsia="en-AU"/>
        </w:rPr>
      </w:pPr>
      <w:r>
        <w:rPr>
          <w:lang w:val="en-AU" w:eastAsia="en-AU"/>
        </w:rPr>
        <w:t xml:space="preserve">The </w:t>
      </w:r>
      <w:r w:rsidRPr="00602BC4">
        <w:rPr>
          <w:b/>
          <w:lang w:val="en-AU" w:eastAsia="en-AU"/>
        </w:rPr>
        <w:t>Fitzroy</w:t>
      </w:r>
      <w:r>
        <w:rPr>
          <w:lang w:val="en-AU" w:eastAsia="en-AU"/>
        </w:rPr>
        <w:t xml:space="preserve"> region spans six catchments and covers an area of 15.6 million hectares </w:t>
      </w:r>
      <w:r w:rsidR="00C91BF5">
        <w:rPr>
          <w:lang w:val="en-AU" w:eastAsia="en-AU"/>
        </w:rPr>
        <w:fldChar w:fldCharType="begin"/>
      </w:r>
      <w:r w:rsidR="009D4492">
        <w:rPr>
          <w:lang w:val="en-AU" w:eastAsia="en-AU"/>
        </w:rPr>
        <w:instrText xml:space="preserve"> ADDIN EN.CITE &lt;EndNote&gt;&lt;Cite&gt;&lt;Author&gt;ABS&lt;/Author&gt;&lt;Year&gt;2010&lt;/Year&gt;&lt;RecNum&gt;21&lt;/RecNum&gt;&lt;DisplayText&gt;(ABS, 2010)&lt;/DisplayText&gt;&lt;record&gt;&lt;rec-number&gt;21&lt;/rec-number&gt;&lt;foreign-keys&gt;&lt;key app="EN" db-id="vvtrt2pt4xpx5teta99vvtwg50vzve2aexae" timestamp="1493157349"&gt;21&lt;/key&gt;&lt;/foreign-keys&gt;&lt;ref-type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C91BF5">
        <w:rPr>
          <w:lang w:val="en-AU" w:eastAsia="en-AU"/>
        </w:rPr>
        <w:fldChar w:fldCharType="separate"/>
      </w:r>
      <w:r w:rsidR="009D4492">
        <w:rPr>
          <w:noProof/>
          <w:lang w:val="en-AU" w:eastAsia="en-AU"/>
        </w:rPr>
        <w:t>(ABS, 2010)</w:t>
      </w:r>
      <w:r w:rsidR="00C91BF5">
        <w:rPr>
          <w:lang w:val="en-AU" w:eastAsia="en-AU"/>
        </w:rPr>
        <w:fldChar w:fldCharType="end"/>
      </w:r>
      <w:r>
        <w:rPr>
          <w:lang w:val="en-AU" w:eastAsia="en-AU"/>
        </w:rPr>
        <w:t xml:space="preserve">. Cattle grazing is the most prevalent industry (78 per cent of the land use), with broad acre cropping (five per cent of the land use) and cotton farming also present </w:t>
      </w:r>
      <w:r w:rsidR="00C91BF5">
        <w:rPr>
          <w:lang w:val="en-AU" w:eastAsia="en-AU"/>
        </w:rPr>
        <w:fldChar w:fldCharType="begin"/>
      </w:r>
      <w:r w:rsidR="009D4492">
        <w:rPr>
          <w:lang w:val="en-AU" w:eastAsia="en-AU"/>
        </w:rPr>
        <w:instrText xml:space="preserve"> ADDIN EN.CITE &lt;EndNote&gt;&lt;Cite&gt;&lt;Author&gt;DSITI&lt;/Author&gt;&lt;Year&gt;2012&lt;/Year&gt;&lt;RecNum&gt;25&lt;/RecNum&gt;&lt;DisplayText&gt;(DSITI, 2012a)&lt;/DisplayText&gt;&lt;record&gt;&lt;rec-number&gt;25&lt;/rec-number&gt;&lt;foreign-keys&gt;&lt;key app="EN" db-id="vvtrt2pt4xpx5teta99vvtwg50vzve2aexae" timestamp="1493157354"&gt;25&lt;/key&gt;&lt;/foreign-keys&gt;&lt;ref-type name="Report"&gt;27&lt;/ref-type&gt;&lt;contributors&gt;&lt;authors&gt;&lt;author&gt;DSITI&lt;/author&gt;&lt;/authors&gt;&lt;/contributors&gt;&lt;titles&gt;&lt;title&gt;Land use summary 1999–2009 for the Fitzroy NRM region&lt;/title&gt;&lt;/titles&gt;&lt;dates&gt;&lt;year&gt;2012&lt;/year&gt;&lt;/dates&gt;&lt;pub-location&gt;Queensland Department of Science, Information Technology, Innovation and the Arts, Brisbane.&lt;/pub-location&gt;&lt;urls&gt;&lt;/urls&gt;&lt;/record&gt;&lt;/Cite&gt;&lt;/EndNote&gt;</w:instrText>
      </w:r>
      <w:r w:rsidR="00C91BF5">
        <w:rPr>
          <w:lang w:val="en-AU" w:eastAsia="en-AU"/>
        </w:rPr>
        <w:fldChar w:fldCharType="separate"/>
      </w:r>
      <w:r w:rsidR="009D4492">
        <w:rPr>
          <w:noProof/>
          <w:lang w:val="en-AU" w:eastAsia="en-AU"/>
        </w:rPr>
        <w:t>(DSITI, 2012a)</w:t>
      </w:r>
      <w:r w:rsidR="00C91BF5">
        <w:rPr>
          <w:lang w:val="en-AU" w:eastAsia="en-AU"/>
        </w:rPr>
        <w:fldChar w:fldCharType="end"/>
      </w:r>
      <w:r>
        <w:rPr>
          <w:lang w:val="en-AU" w:eastAsia="en-AU"/>
        </w:rPr>
        <w:t xml:space="preserve">. The only monitoring site in the </w:t>
      </w:r>
      <w:r w:rsidRPr="00602BC4">
        <w:rPr>
          <w:lang w:val="en-AU" w:eastAsia="en-AU"/>
        </w:rPr>
        <w:t>Fitzroy</w:t>
      </w:r>
      <w:r>
        <w:rPr>
          <w:lang w:val="en-AU" w:eastAsia="en-AU"/>
        </w:rPr>
        <w:t xml:space="preserve"> region is at North Keppel Island </w:t>
      </w:r>
      <w:r w:rsidRPr="00210B7C">
        <w:rPr>
          <w:lang w:val="en-AU" w:eastAsia="en-AU"/>
        </w:rPr>
        <w:t>(</w:t>
      </w:r>
      <w:r w:rsidR="002A77E1">
        <w:fldChar w:fldCharType="begin"/>
      </w:r>
      <w:r w:rsidR="002A77E1">
        <w:instrText xml:space="preserve"> REF _Ref474319389 \h  \* MERGEFORMAT </w:instrText>
      </w:r>
      <w:r w:rsidR="002A77E1">
        <w:fldChar w:fldCharType="separate"/>
      </w:r>
      <w:r w:rsidR="00D12276" w:rsidRPr="00747824">
        <w:t xml:space="preserve">Figure </w:t>
      </w:r>
      <w:r w:rsidR="00D12276" w:rsidRPr="00D12276">
        <w:t>1</w:t>
      </w:r>
      <w:r w:rsidR="002A77E1">
        <w:fldChar w:fldCharType="end"/>
      </w:r>
      <w:r>
        <w:rPr>
          <w:lang w:val="en-AU" w:eastAsia="en-AU"/>
        </w:rPr>
        <w:t>). This site has been monitored since 2005 although it has had broken periods of sampling throughout some years.</w:t>
      </w:r>
    </w:p>
    <w:p w14:paraId="15720D69" w14:textId="77777777" w:rsidR="004438CF" w:rsidRDefault="004438CF" w:rsidP="00015606">
      <w:pPr>
        <w:spacing w:line="276" w:lineRule="auto"/>
        <w:rPr>
          <w:rFonts w:cs="Arial"/>
          <w:lang w:val="en-AU"/>
        </w:rPr>
      </w:pPr>
    </w:p>
    <w:p w14:paraId="15720D6A" w14:textId="77777777" w:rsidR="0059608E" w:rsidRDefault="00056CEF" w:rsidP="00015606">
      <w:pPr>
        <w:spacing w:line="276" w:lineRule="auto"/>
        <w:jc w:val="center"/>
        <w:rPr>
          <w:rFonts w:cs="Arial"/>
          <w:lang w:val="en-AU"/>
        </w:rPr>
      </w:pPr>
      <w:r w:rsidRPr="001A53C4">
        <w:rPr>
          <w:noProof/>
          <w:lang w:val="en-AU" w:eastAsia="en-AU" w:bidi="ar-SA"/>
        </w:rPr>
        <w:lastRenderedPageBreak/>
        <w:drawing>
          <wp:inline distT="0" distB="0" distL="0" distR="0" wp14:anchorId="15721A51" wp14:editId="5FAD3AF4">
            <wp:extent cx="5838825" cy="8304088"/>
            <wp:effectExtent l="0" t="0" r="0" b="1905"/>
            <wp:docPr id="15" name="Picture 15" descr="Figure 1: Locations of current inshore Reef fixed monitoring sites where time-integrated sampling of pesticides occurred in 2015-16. Sites are overlaid on the 2015-16 flood plume frequency map (for more information see Section 3.5.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72625" cy="8352159"/>
                    </a:xfrm>
                    <a:prstGeom prst="rect">
                      <a:avLst/>
                    </a:prstGeom>
                    <a:noFill/>
                    <a:ln>
                      <a:noFill/>
                    </a:ln>
                  </pic:spPr>
                </pic:pic>
              </a:graphicData>
            </a:graphic>
          </wp:inline>
        </w:drawing>
      </w:r>
    </w:p>
    <w:p w14:paraId="15720D6B" w14:textId="13C252A1" w:rsidR="0059608E" w:rsidRDefault="0059608E" w:rsidP="00747824">
      <w:pPr>
        <w:pStyle w:val="Caption"/>
        <w:keepNext/>
        <w:spacing w:line="276" w:lineRule="auto"/>
        <w:rPr>
          <w:b w:val="0"/>
        </w:rPr>
      </w:pPr>
      <w:bookmarkStart w:id="35" w:name="_Ref474319389"/>
      <w:bookmarkStart w:id="36" w:name="_Toc502499931"/>
      <w:r w:rsidRPr="00747824">
        <w:rPr>
          <w:b w:val="0"/>
        </w:rPr>
        <w:t xml:space="preserve">Figure </w:t>
      </w:r>
      <w:r w:rsidR="00C91BF5" w:rsidRPr="00747824">
        <w:rPr>
          <w:b w:val="0"/>
        </w:rPr>
        <w:fldChar w:fldCharType="begin"/>
      </w:r>
      <w:r w:rsidRPr="00747824">
        <w:rPr>
          <w:b w:val="0"/>
        </w:rPr>
        <w:instrText xml:space="preserve"> SEQ Figure \* ARABIC </w:instrText>
      </w:r>
      <w:r w:rsidR="00C91BF5" w:rsidRPr="00747824">
        <w:rPr>
          <w:b w:val="0"/>
        </w:rPr>
        <w:fldChar w:fldCharType="separate"/>
      </w:r>
      <w:r w:rsidR="00D12276">
        <w:rPr>
          <w:b w:val="0"/>
          <w:noProof/>
        </w:rPr>
        <w:t>1</w:t>
      </w:r>
      <w:r w:rsidR="00C91BF5" w:rsidRPr="00747824">
        <w:rPr>
          <w:b w:val="0"/>
        </w:rPr>
        <w:fldChar w:fldCharType="end"/>
      </w:r>
      <w:bookmarkEnd w:id="35"/>
      <w:r w:rsidR="00747824">
        <w:rPr>
          <w:b w:val="0"/>
        </w:rPr>
        <w:t xml:space="preserve">: </w:t>
      </w:r>
      <w:r w:rsidRPr="00747824">
        <w:rPr>
          <w:b w:val="0"/>
        </w:rPr>
        <w:t xml:space="preserve">Locations of current inshore Reef fixed monitoring sites where time-integrated sampling of pesticides occurred in </w:t>
      </w:r>
      <w:r w:rsidR="00070AE2">
        <w:rPr>
          <w:b w:val="0"/>
        </w:rPr>
        <w:t>2015-16</w:t>
      </w:r>
      <w:r w:rsidR="008B15F3" w:rsidRPr="00747824">
        <w:rPr>
          <w:b w:val="0"/>
        </w:rPr>
        <w:t xml:space="preserve">. </w:t>
      </w:r>
      <w:r w:rsidR="006E69F4">
        <w:rPr>
          <w:b w:val="0"/>
        </w:rPr>
        <w:t xml:space="preserve">Sites are overlaid on the </w:t>
      </w:r>
      <w:r w:rsidR="00070AE2">
        <w:rPr>
          <w:b w:val="0"/>
        </w:rPr>
        <w:t>2015-16</w:t>
      </w:r>
      <w:r w:rsidR="006E69F4">
        <w:rPr>
          <w:b w:val="0"/>
        </w:rPr>
        <w:t xml:space="preserve"> flood plume frequency map (</w:t>
      </w:r>
      <w:r w:rsidR="00660E0C">
        <w:rPr>
          <w:b w:val="0"/>
        </w:rPr>
        <w:t xml:space="preserve">for more information </w:t>
      </w:r>
      <w:r w:rsidR="006E69F4">
        <w:rPr>
          <w:b w:val="0"/>
        </w:rPr>
        <w:t xml:space="preserve">see </w:t>
      </w:r>
      <w:r w:rsidR="00660E0C">
        <w:rPr>
          <w:b w:val="0"/>
        </w:rPr>
        <w:t xml:space="preserve">Section </w:t>
      </w:r>
      <w:r w:rsidR="00C91BF5">
        <w:rPr>
          <w:b w:val="0"/>
        </w:rPr>
        <w:fldChar w:fldCharType="begin"/>
      </w:r>
      <w:r w:rsidR="00660E0C">
        <w:rPr>
          <w:b w:val="0"/>
        </w:rPr>
        <w:instrText xml:space="preserve"> REF _Ref480911218 \n \h </w:instrText>
      </w:r>
      <w:r w:rsidR="00C91BF5">
        <w:rPr>
          <w:b w:val="0"/>
        </w:rPr>
      </w:r>
      <w:r w:rsidR="00C91BF5">
        <w:rPr>
          <w:b w:val="0"/>
        </w:rPr>
        <w:fldChar w:fldCharType="separate"/>
      </w:r>
      <w:r w:rsidR="00D12276">
        <w:rPr>
          <w:b w:val="0"/>
        </w:rPr>
        <w:t>3.5.5</w:t>
      </w:r>
      <w:r w:rsidR="00C91BF5">
        <w:rPr>
          <w:b w:val="0"/>
        </w:rPr>
        <w:fldChar w:fldCharType="end"/>
      </w:r>
      <w:r w:rsidR="00660E0C">
        <w:rPr>
          <w:b w:val="0"/>
        </w:rPr>
        <w:t xml:space="preserve">). </w:t>
      </w:r>
      <w:r w:rsidRPr="00747824">
        <w:rPr>
          <w:b w:val="0"/>
        </w:rPr>
        <w:t xml:space="preserve">Grey </w:t>
      </w:r>
      <w:r w:rsidR="00056CEF">
        <w:rPr>
          <w:b w:val="0"/>
        </w:rPr>
        <w:t>triangles</w:t>
      </w:r>
      <w:r w:rsidRPr="00747824">
        <w:rPr>
          <w:b w:val="0"/>
        </w:rPr>
        <w:t xml:space="preserve"> indicate towns. (Source – Dieter Tracy, James Cook University)</w:t>
      </w:r>
      <w:bookmarkEnd w:id="36"/>
    </w:p>
    <w:p w14:paraId="15720D6C" w14:textId="77777777" w:rsidR="00747824" w:rsidRPr="00747824" w:rsidRDefault="00747824" w:rsidP="00747824"/>
    <w:p w14:paraId="15720D6D" w14:textId="77777777" w:rsidR="0059608E" w:rsidRDefault="0059608E" w:rsidP="00220439">
      <w:pPr>
        <w:pStyle w:val="Heading30"/>
        <w:numPr>
          <w:ilvl w:val="2"/>
          <w:numId w:val="1"/>
        </w:numPr>
      </w:pPr>
      <w:bookmarkStart w:id="37" w:name="_Toc461457754"/>
      <w:bookmarkStart w:id="38" w:name="_Ref480606014"/>
      <w:bookmarkStart w:id="39" w:name="_Toc502499989"/>
      <w:r>
        <w:t xml:space="preserve">Flood plume </w:t>
      </w:r>
      <w:r w:rsidR="008E6B5E">
        <w:t>monitoring</w:t>
      </w:r>
      <w:r>
        <w:t xml:space="preserve"> (grab sampl</w:t>
      </w:r>
      <w:r w:rsidR="008E6B5E">
        <w:t>ing</w:t>
      </w:r>
      <w:r>
        <w:t>)</w:t>
      </w:r>
      <w:bookmarkEnd w:id="37"/>
      <w:bookmarkEnd w:id="38"/>
      <w:bookmarkEnd w:id="39"/>
    </w:p>
    <w:p w14:paraId="15720D6E" w14:textId="24A65B32" w:rsidR="00114646" w:rsidRDefault="00580B88" w:rsidP="00015606">
      <w:pPr>
        <w:spacing w:line="276" w:lineRule="auto"/>
        <w:rPr>
          <w:rFonts w:cs="Arial"/>
          <w:lang w:val="en-AU"/>
        </w:rPr>
      </w:pPr>
      <w:r>
        <w:rPr>
          <w:rFonts w:cs="Arial"/>
          <w:lang w:val="en-AU"/>
        </w:rPr>
        <w:t>Terrestrial run-off assessments, i.e. f</w:t>
      </w:r>
      <w:r w:rsidR="008E6B5E">
        <w:rPr>
          <w:rFonts w:cs="Arial"/>
          <w:lang w:val="en-AU"/>
        </w:rPr>
        <w:t>lood plume</w:t>
      </w:r>
      <w:r w:rsidR="008E6B5E" w:rsidRPr="008E6B5E">
        <w:rPr>
          <w:rFonts w:cs="Arial"/>
          <w:lang w:val="en-AU"/>
        </w:rPr>
        <w:t xml:space="preserve"> </w:t>
      </w:r>
      <w:r w:rsidR="008E6B5E">
        <w:rPr>
          <w:rFonts w:cs="Arial"/>
          <w:lang w:val="en-AU"/>
        </w:rPr>
        <w:t>monitoring</w:t>
      </w:r>
      <w:r>
        <w:rPr>
          <w:rFonts w:cs="Arial"/>
          <w:lang w:val="en-AU"/>
        </w:rPr>
        <w:t>,</w:t>
      </w:r>
      <w:r w:rsidR="008E6B5E" w:rsidRPr="008E6B5E">
        <w:rPr>
          <w:rFonts w:cs="Arial"/>
          <w:lang w:val="en-AU"/>
        </w:rPr>
        <w:t xml:space="preserve"> </w:t>
      </w:r>
      <w:r w:rsidR="00A228EA">
        <w:rPr>
          <w:rFonts w:cs="Arial"/>
          <w:lang w:val="en-AU"/>
        </w:rPr>
        <w:t>have been</w:t>
      </w:r>
      <w:r w:rsidR="008E6B5E">
        <w:rPr>
          <w:rFonts w:cs="Arial"/>
          <w:lang w:val="en-AU"/>
        </w:rPr>
        <w:t xml:space="preserve"> </w:t>
      </w:r>
      <w:r w:rsidR="008E6B5E" w:rsidRPr="008E6B5E">
        <w:rPr>
          <w:rFonts w:cs="Arial"/>
          <w:lang w:val="en-AU"/>
        </w:rPr>
        <w:t xml:space="preserve">conducted </w:t>
      </w:r>
      <w:r w:rsidR="00A228EA">
        <w:rPr>
          <w:rFonts w:cs="Arial"/>
          <w:lang w:val="en-AU"/>
        </w:rPr>
        <w:t xml:space="preserve">in past monitoring years </w:t>
      </w:r>
      <w:r w:rsidR="008E6B5E" w:rsidRPr="008E6B5E">
        <w:rPr>
          <w:rFonts w:cs="Arial"/>
          <w:lang w:val="en-AU"/>
        </w:rPr>
        <w:t xml:space="preserve">along transects extending from river mouths during discharge events in two </w:t>
      </w:r>
      <w:r w:rsidR="00A228EA">
        <w:rPr>
          <w:rFonts w:cs="Arial"/>
          <w:lang w:val="en-AU"/>
        </w:rPr>
        <w:t>or</w:t>
      </w:r>
      <w:r w:rsidR="00A228EA" w:rsidRPr="008E6B5E">
        <w:rPr>
          <w:rFonts w:cs="Arial"/>
          <w:lang w:val="en-AU"/>
        </w:rPr>
        <w:t xml:space="preserve"> </w:t>
      </w:r>
      <w:r w:rsidR="008E6B5E" w:rsidRPr="008E6B5E">
        <w:rPr>
          <w:rFonts w:cs="Arial"/>
          <w:lang w:val="en-AU"/>
        </w:rPr>
        <w:t xml:space="preserve">three </w:t>
      </w:r>
      <w:r w:rsidR="00A228EA">
        <w:rPr>
          <w:rFonts w:cs="Arial"/>
          <w:lang w:val="en-AU"/>
        </w:rPr>
        <w:t xml:space="preserve">NRM </w:t>
      </w:r>
      <w:r w:rsidR="008E6B5E" w:rsidRPr="008E6B5E">
        <w:rPr>
          <w:rFonts w:cs="Arial"/>
          <w:lang w:val="en-AU"/>
        </w:rPr>
        <w:t xml:space="preserve">regions </w:t>
      </w:r>
      <w:r w:rsidR="00A228EA">
        <w:rPr>
          <w:rFonts w:cs="Arial"/>
          <w:lang w:val="en-AU"/>
        </w:rPr>
        <w:t xml:space="preserve">with a </w:t>
      </w:r>
      <w:r w:rsidR="008E6B5E" w:rsidRPr="008E6B5E">
        <w:rPr>
          <w:rFonts w:cs="Arial"/>
          <w:lang w:val="en-AU"/>
        </w:rPr>
        <w:t xml:space="preserve">high risk </w:t>
      </w:r>
      <w:r w:rsidR="00A228EA">
        <w:rPr>
          <w:rFonts w:cs="Arial"/>
          <w:lang w:val="en-AU"/>
        </w:rPr>
        <w:t>from</w:t>
      </w:r>
      <w:r w:rsidR="00A228EA" w:rsidRPr="008E6B5E">
        <w:rPr>
          <w:rFonts w:cs="Arial"/>
          <w:lang w:val="en-AU"/>
        </w:rPr>
        <w:t xml:space="preserve"> </w:t>
      </w:r>
      <w:r w:rsidR="008E6B5E" w:rsidRPr="008E6B5E">
        <w:rPr>
          <w:rFonts w:cs="Arial"/>
          <w:lang w:val="en-AU"/>
        </w:rPr>
        <w:t>pesticide exposure</w:t>
      </w:r>
      <w:r w:rsidR="008E6B5E">
        <w:rPr>
          <w:rFonts w:cs="Arial"/>
          <w:lang w:val="en-AU"/>
        </w:rPr>
        <w:t>.</w:t>
      </w:r>
      <w:r w:rsidR="008E6B5E" w:rsidRPr="008E6B5E">
        <w:rPr>
          <w:rFonts w:cs="Arial"/>
          <w:lang w:val="en-AU"/>
        </w:rPr>
        <w:t xml:space="preserve"> </w:t>
      </w:r>
      <w:r w:rsidR="0059608E">
        <w:rPr>
          <w:rFonts w:cs="Arial"/>
          <w:lang w:val="en-AU"/>
        </w:rPr>
        <w:t xml:space="preserve">The locations and timing of the flood plume sampling </w:t>
      </w:r>
      <w:r w:rsidR="00A228EA">
        <w:rPr>
          <w:rFonts w:cs="Arial"/>
          <w:lang w:val="en-AU"/>
        </w:rPr>
        <w:t>changes annually,</w:t>
      </w:r>
      <w:r w:rsidR="0059608E">
        <w:rPr>
          <w:rFonts w:cs="Arial"/>
          <w:lang w:val="en-AU"/>
        </w:rPr>
        <w:t xml:space="preserve"> as it is largely event-driven and req</w:t>
      </w:r>
      <w:r w:rsidR="007E4CA0">
        <w:rPr>
          <w:rFonts w:cs="Arial"/>
          <w:lang w:val="en-AU"/>
        </w:rPr>
        <w:t>uires a rapid response. Flood plume sampling is</w:t>
      </w:r>
      <w:r w:rsidR="0059608E">
        <w:rPr>
          <w:rFonts w:cs="Arial"/>
          <w:lang w:val="en-AU"/>
        </w:rPr>
        <w:t xml:space="preserve"> also subject to sampling personnel safety and the a</w:t>
      </w:r>
      <w:r w:rsidR="007E4CA0">
        <w:rPr>
          <w:rFonts w:cs="Arial"/>
          <w:lang w:val="en-AU"/>
        </w:rPr>
        <w:t>vailability of sampling vessels</w:t>
      </w:r>
      <w:r w:rsidR="0059608E">
        <w:rPr>
          <w:rFonts w:cs="Arial"/>
          <w:lang w:val="en-AU"/>
        </w:rPr>
        <w:t xml:space="preserve">. </w:t>
      </w:r>
    </w:p>
    <w:p w14:paraId="15720D6F" w14:textId="77777777" w:rsidR="00114646" w:rsidRDefault="00114646" w:rsidP="00015606">
      <w:pPr>
        <w:spacing w:line="276" w:lineRule="auto"/>
        <w:rPr>
          <w:rFonts w:cs="Arial"/>
          <w:lang w:val="en-AU"/>
        </w:rPr>
      </w:pPr>
    </w:p>
    <w:p w14:paraId="15720D70" w14:textId="244A5BA6" w:rsidR="008E6B5E" w:rsidRDefault="0059608E" w:rsidP="00015606">
      <w:pPr>
        <w:spacing w:line="276" w:lineRule="auto"/>
        <w:rPr>
          <w:rFonts w:cs="Arial"/>
          <w:lang w:val="en-AU"/>
        </w:rPr>
      </w:pPr>
      <w:r w:rsidRPr="00D54D16">
        <w:rPr>
          <w:rFonts w:cs="Arial"/>
          <w:lang w:val="en-AU"/>
        </w:rPr>
        <w:t>In 201</w:t>
      </w:r>
      <w:r w:rsidR="00AF474A" w:rsidRPr="00D54D16">
        <w:rPr>
          <w:rFonts w:cs="Arial"/>
          <w:lang w:val="en-AU"/>
        </w:rPr>
        <w:t>5</w:t>
      </w:r>
      <w:r w:rsidR="00080CCC" w:rsidRPr="00D54D16">
        <w:rPr>
          <w:rFonts w:cs="Arial"/>
          <w:lang w:val="en-AU"/>
        </w:rPr>
        <w:t>-</w:t>
      </w:r>
      <w:r w:rsidRPr="00D54D16">
        <w:rPr>
          <w:rFonts w:cs="Arial"/>
          <w:lang w:val="en-AU"/>
        </w:rPr>
        <w:t>1</w:t>
      </w:r>
      <w:r w:rsidR="00AF474A" w:rsidRPr="00D54D16">
        <w:rPr>
          <w:rFonts w:cs="Arial"/>
          <w:lang w:val="en-AU"/>
        </w:rPr>
        <w:t>6</w:t>
      </w:r>
      <w:r w:rsidRPr="00D54D16">
        <w:rPr>
          <w:rFonts w:cs="Arial"/>
          <w:lang w:val="en-AU"/>
        </w:rPr>
        <w:t xml:space="preserve">, </w:t>
      </w:r>
      <w:r w:rsidR="00A228EA">
        <w:rPr>
          <w:rFonts w:cs="Arial"/>
          <w:lang w:val="en-AU"/>
        </w:rPr>
        <w:t>flood plume monitoring</w:t>
      </w:r>
      <w:r w:rsidR="00A228EA" w:rsidRPr="00D54D16">
        <w:rPr>
          <w:rFonts w:cs="Arial"/>
          <w:lang w:val="en-AU"/>
        </w:rPr>
        <w:t xml:space="preserve"> </w:t>
      </w:r>
      <w:r w:rsidRPr="00D54D16">
        <w:rPr>
          <w:rFonts w:cs="Arial"/>
          <w:lang w:val="en-AU"/>
        </w:rPr>
        <w:t xml:space="preserve">was undertaken </w:t>
      </w:r>
      <w:r w:rsidR="00A228EA">
        <w:rPr>
          <w:rFonts w:cs="Arial"/>
          <w:lang w:val="en-AU"/>
        </w:rPr>
        <w:t>along</w:t>
      </w:r>
      <w:r w:rsidR="00A228EA" w:rsidRPr="00D54D16">
        <w:rPr>
          <w:rFonts w:cs="Arial"/>
          <w:lang w:val="en-AU"/>
        </w:rPr>
        <w:t xml:space="preserve"> </w:t>
      </w:r>
      <w:r w:rsidRPr="00D54D16">
        <w:rPr>
          <w:rFonts w:cs="Arial"/>
          <w:lang w:val="en-AU"/>
        </w:rPr>
        <w:t xml:space="preserve">transects extending from </w:t>
      </w:r>
      <w:r w:rsidR="00A228EA">
        <w:rPr>
          <w:rFonts w:cs="Arial"/>
          <w:lang w:val="en-AU"/>
        </w:rPr>
        <w:t xml:space="preserve">the mouths of </w:t>
      </w:r>
      <w:r w:rsidRPr="00D54D16">
        <w:rPr>
          <w:rFonts w:cs="Arial"/>
          <w:lang w:val="en-AU"/>
        </w:rPr>
        <w:t xml:space="preserve">two rivers </w:t>
      </w:r>
      <w:r w:rsidR="003B6560" w:rsidRPr="00D54D16">
        <w:rPr>
          <w:rFonts w:cs="Arial"/>
          <w:lang w:val="en-AU"/>
        </w:rPr>
        <w:t xml:space="preserve">in the Wet Tropics region </w:t>
      </w:r>
      <w:r w:rsidRPr="00D54D16">
        <w:rPr>
          <w:rFonts w:cs="Arial"/>
          <w:lang w:val="en-AU"/>
        </w:rPr>
        <w:t>– the Tully Riv</w:t>
      </w:r>
      <w:r w:rsidR="003B6560" w:rsidRPr="00D54D16">
        <w:rPr>
          <w:rFonts w:cs="Arial"/>
          <w:lang w:val="en-AU"/>
        </w:rPr>
        <w:t xml:space="preserve">er and Russell-Mulgrave rivers </w:t>
      </w:r>
      <w:r w:rsidR="001F7866" w:rsidRPr="00D54D16">
        <w:rPr>
          <w:rFonts w:cs="Arial"/>
          <w:lang w:val="en-AU"/>
        </w:rPr>
        <w:t>(</w:t>
      </w:r>
      <w:r w:rsidR="002A77E1">
        <w:fldChar w:fldCharType="begin"/>
      </w:r>
      <w:r w:rsidR="002A77E1">
        <w:instrText xml:space="preserve"> REF _Ref480724492 \h  \* MERGEFORMAT </w:instrText>
      </w:r>
      <w:r w:rsidR="002A77E1">
        <w:fldChar w:fldCharType="separate"/>
      </w:r>
      <w:r w:rsidR="00D12276" w:rsidRPr="00D12276">
        <w:rPr>
          <w:rFonts w:cs="Arial"/>
          <w:lang w:val="en-AU"/>
        </w:rPr>
        <w:t>Table 2</w:t>
      </w:r>
      <w:r w:rsidR="002A77E1">
        <w:fldChar w:fldCharType="end"/>
      </w:r>
      <w:r w:rsidR="00A228EA">
        <w:t xml:space="preserve"> and </w:t>
      </w:r>
      <w:r w:rsidR="000D7725" w:rsidRPr="000D7725">
        <w:fldChar w:fldCharType="begin"/>
      </w:r>
      <w:r w:rsidR="000D7725" w:rsidRPr="000D7725">
        <w:instrText xml:space="preserve"> REF _Ref480731514 \h  \* MERGEFORMAT </w:instrText>
      </w:r>
      <w:r w:rsidR="000D7725" w:rsidRPr="000D7725">
        <w:fldChar w:fldCharType="separate"/>
      </w:r>
      <w:r w:rsidR="00D12276" w:rsidRPr="00A43338">
        <w:t xml:space="preserve">Figure </w:t>
      </w:r>
      <w:r w:rsidR="00D12276" w:rsidRPr="00D12276">
        <w:rPr>
          <w:noProof/>
        </w:rPr>
        <w:t>2</w:t>
      </w:r>
      <w:r w:rsidR="000D7725" w:rsidRPr="000D7725">
        <w:fldChar w:fldCharType="end"/>
      </w:r>
      <w:r w:rsidR="00D54D16" w:rsidRPr="00D54D16">
        <w:rPr>
          <w:rFonts w:cs="Arial"/>
          <w:lang w:val="en-AU"/>
        </w:rPr>
        <w:t>)</w:t>
      </w:r>
      <w:r>
        <w:rPr>
          <w:rFonts w:cs="Arial"/>
          <w:lang w:val="en-AU"/>
        </w:rPr>
        <w:t>. Both transects have been sampled in previous monitoring years, with the Russell-Mulgrave transect first sampled in 2013 and the Tully transect first sampled in 2010.</w:t>
      </w:r>
      <w:r w:rsidR="00D54D16">
        <w:rPr>
          <w:rFonts w:cs="Arial"/>
          <w:lang w:val="en-AU"/>
        </w:rPr>
        <w:t xml:space="preserve"> </w:t>
      </w:r>
      <w:r w:rsidR="00A73D63">
        <w:rPr>
          <w:rFonts w:cs="Arial"/>
          <w:lang w:val="en-AU"/>
        </w:rPr>
        <w:t xml:space="preserve">In addition to the transects, grab samples were collected from two river mouths within the Burdekin focus area (Burdekin River and Barratta Creek) during two </w:t>
      </w:r>
      <w:r w:rsidR="008F2AFB">
        <w:rPr>
          <w:rFonts w:cs="Arial"/>
          <w:lang w:val="en-AU"/>
        </w:rPr>
        <w:t xml:space="preserve">early season </w:t>
      </w:r>
      <w:r w:rsidR="00A73D63">
        <w:rPr>
          <w:rFonts w:cs="Arial"/>
          <w:lang w:val="en-AU"/>
        </w:rPr>
        <w:t>discharge events</w:t>
      </w:r>
      <w:r w:rsidR="00A228EA">
        <w:rPr>
          <w:rFonts w:cs="Arial"/>
          <w:lang w:val="en-AU"/>
        </w:rPr>
        <w:t xml:space="preserve"> (</w:t>
      </w:r>
      <w:r w:rsidR="000D7725">
        <w:fldChar w:fldCharType="begin"/>
      </w:r>
      <w:r w:rsidR="000D7725">
        <w:instrText xml:space="preserve"> REF _Ref480724492 \h  \* MERGEFORMAT </w:instrText>
      </w:r>
      <w:r w:rsidR="000D7725">
        <w:fldChar w:fldCharType="separate"/>
      </w:r>
      <w:r w:rsidR="00D12276" w:rsidRPr="00D12276">
        <w:rPr>
          <w:rFonts w:cs="Arial"/>
          <w:lang w:val="en-AU"/>
        </w:rPr>
        <w:t>Table 2</w:t>
      </w:r>
      <w:r w:rsidR="000D7725">
        <w:fldChar w:fldCharType="end"/>
      </w:r>
      <w:r w:rsidR="000D7725">
        <w:t xml:space="preserve"> </w:t>
      </w:r>
      <w:r w:rsidR="00A228EA">
        <w:rPr>
          <w:rFonts w:cs="Arial"/>
          <w:lang w:val="en-AU"/>
        </w:rPr>
        <w:t xml:space="preserve">and </w:t>
      </w:r>
      <w:r w:rsidR="000D7725" w:rsidRPr="000D7725">
        <w:fldChar w:fldCharType="begin"/>
      </w:r>
      <w:r w:rsidR="000D7725" w:rsidRPr="000D7725">
        <w:instrText xml:space="preserve"> REF _Ref480731514 \h  \* MERGEFORMAT </w:instrText>
      </w:r>
      <w:r w:rsidR="000D7725" w:rsidRPr="000D7725">
        <w:fldChar w:fldCharType="separate"/>
      </w:r>
      <w:r w:rsidR="00D12276" w:rsidRPr="00A43338">
        <w:t xml:space="preserve">Figure </w:t>
      </w:r>
      <w:r w:rsidR="00D12276" w:rsidRPr="00D12276">
        <w:rPr>
          <w:noProof/>
        </w:rPr>
        <w:t>2</w:t>
      </w:r>
      <w:r w:rsidR="000D7725" w:rsidRPr="000D7725">
        <w:fldChar w:fldCharType="end"/>
      </w:r>
      <w:r w:rsidR="00A228EA">
        <w:rPr>
          <w:rFonts w:cs="Arial"/>
          <w:lang w:val="en-AU"/>
        </w:rPr>
        <w:t>)</w:t>
      </w:r>
      <w:r w:rsidR="00A73D63">
        <w:rPr>
          <w:rFonts w:cs="Arial"/>
          <w:lang w:val="en-AU"/>
        </w:rPr>
        <w:t xml:space="preserve">. </w:t>
      </w:r>
      <w:r w:rsidR="008F2AFB">
        <w:rPr>
          <w:rFonts w:cs="Arial"/>
          <w:lang w:val="en-AU"/>
        </w:rPr>
        <w:t xml:space="preserve">These </w:t>
      </w:r>
      <w:r w:rsidR="003B6560">
        <w:rPr>
          <w:rFonts w:cs="Arial"/>
          <w:lang w:val="en-AU"/>
        </w:rPr>
        <w:t xml:space="preserve">sampling </w:t>
      </w:r>
      <w:r w:rsidR="008F2AFB">
        <w:rPr>
          <w:rFonts w:cs="Arial"/>
          <w:lang w:val="en-AU"/>
        </w:rPr>
        <w:t>sites are flood</w:t>
      </w:r>
      <w:r w:rsidR="00F46390">
        <w:rPr>
          <w:rFonts w:cs="Arial"/>
          <w:lang w:val="en-AU"/>
        </w:rPr>
        <w:t>-</w:t>
      </w:r>
      <w:r w:rsidR="008F2AFB">
        <w:rPr>
          <w:rFonts w:cs="Arial"/>
          <w:lang w:val="en-AU"/>
        </w:rPr>
        <w:t xml:space="preserve">response monitoring sites </w:t>
      </w:r>
      <w:r w:rsidR="003B6560">
        <w:rPr>
          <w:rFonts w:cs="Arial"/>
          <w:lang w:val="en-AU"/>
        </w:rPr>
        <w:t xml:space="preserve">established </w:t>
      </w:r>
      <w:r w:rsidR="008F2AFB">
        <w:rPr>
          <w:rFonts w:cs="Arial"/>
          <w:lang w:val="en-AU"/>
        </w:rPr>
        <w:t xml:space="preserve">by the JCU </w:t>
      </w:r>
      <w:r w:rsidR="008F2AFB" w:rsidRPr="008F2AFB">
        <w:rPr>
          <w:rFonts w:cs="Arial"/>
          <w:lang w:val="en-AU"/>
        </w:rPr>
        <w:t xml:space="preserve">Inshore Marine Water Quality </w:t>
      </w:r>
      <w:r w:rsidR="008F2AFB">
        <w:rPr>
          <w:rFonts w:cs="Arial"/>
          <w:lang w:val="en-AU"/>
        </w:rPr>
        <w:t>team.</w:t>
      </w:r>
    </w:p>
    <w:p w14:paraId="15720D71" w14:textId="77777777" w:rsidR="00C215E3" w:rsidRDefault="00C215E3" w:rsidP="00015606">
      <w:pPr>
        <w:spacing w:line="276" w:lineRule="auto"/>
        <w:rPr>
          <w:rFonts w:cs="Arial"/>
          <w:lang w:val="en-AU"/>
        </w:rPr>
      </w:pPr>
    </w:p>
    <w:p w14:paraId="15720D72" w14:textId="77777777" w:rsidR="00114646" w:rsidRPr="00A43338" w:rsidRDefault="00210B7C" w:rsidP="00210B7C">
      <w:pPr>
        <w:pStyle w:val="Caption"/>
        <w:spacing w:after="120"/>
      </w:pPr>
      <w:bookmarkStart w:id="40" w:name="_Ref480724492"/>
      <w:bookmarkStart w:id="41" w:name="_Ref474319256"/>
      <w:bookmarkStart w:id="42" w:name="_Toc502499860"/>
      <w:r w:rsidRPr="00210B7C">
        <w:rPr>
          <w:b w:val="0"/>
        </w:rPr>
        <w:t xml:space="preserve">Table </w:t>
      </w:r>
      <w:r w:rsidR="00C91BF5" w:rsidRPr="00210B7C">
        <w:rPr>
          <w:b w:val="0"/>
        </w:rPr>
        <w:fldChar w:fldCharType="begin"/>
      </w:r>
      <w:r w:rsidRPr="00210B7C">
        <w:rPr>
          <w:b w:val="0"/>
        </w:rPr>
        <w:instrText xml:space="preserve"> SEQ Table \* ARABIC </w:instrText>
      </w:r>
      <w:r w:rsidR="00C91BF5" w:rsidRPr="00210B7C">
        <w:rPr>
          <w:b w:val="0"/>
        </w:rPr>
        <w:fldChar w:fldCharType="separate"/>
      </w:r>
      <w:r w:rsidR="00D12276">
        <w:rPr>
          <w:b w:val="0"/>
          <w:noProof/>
        </w:rPr>
        <w:t>2</w:t>
      </w:r>
      <w:r w:rsidR="00C91BF5" w:rsidRPr="00210B7C">
        <w:rPr>
          <w:b w:val="0"/>
        </w:rPr>
        <w:fldChar w:fldCharType="end"/>
      </w:r>
      <w:bookmarkEnd w:id="40"/>
      <w:r w:rsidR="00A43338" w:rsidRPr="00210B7C">
        <w:rPr>
          <w:b w:val="0"/>
        </w:rPr>
        <w:t>:</w:t>
      </w:r>
      <w:r w:rsidR="00A43338">
        <w:rPr>
          <w:b w:val="0"/>
        </w:rPr>
        <w:t xml:space="preserve"> Sampling locations of grab samples for flood plume monitoring and relevant fixed </w:t>
      </w:r>
      <w:r w:rsidR="00A228EA">
        <w:rPr>
          <w:b w:val="0"/>
        </w:rPr>
        <w:t xml:space="preserve">(passive sampler) </w:t>
      </w:r>
      <w:r w:rsidR="00A43338">
        <w:rPr>
          <w:b w:val="0"/>
        </w:rPr>
        <w:t>monitoring sites in the plume vicinity</w:t>
      </w:r>
      <w:bookmarkEnd w:id="41"/>
      <w:r w:rsidR="00A228EA">
        <w:rPr>
          <w:b w:val="0"/>
        </w:rPr>
        <w:t>.</w:t>
      </w:r>
      <w:bookmarkEnd w:id="42"/>
    </w:p>
    <w:tbl>
      <w:tblPr>
        <w:tblW w:w="10598" w:type="dxa"/>
        <w:tblLook w:val="04A0" w:firstRow="1" w:lastRow="0" w:firstColumn="1" w:lastColumn="0" w:noHBand="0" w:noVBand="1"/>
      </w:tblPr>
      <w:tblGrid>
        <w:gridCol w:w="1668"/>
        <w:gridCol w:w="2976"/>
        <w:gridCol w:w="2127"/>
        <w:gridCol w:w="1984"/>
        <w:gridCol w:w="1843"/>
      </w:tblGrid>
      <w:tr w:rsidR="00114646" w:rsidRPr="00580B88" w14:paraId="15720D78" w14:textId="77777777" w:rsidTr="000D7725">
        <w:trPr>
          <w:trHeight w:val="685"/>
          <w:tblHeader/>
        </w:trPr>
        <w:tc>
          <w:tcPr>
            <w:tcW w:w="1668" w:type="dxa"/>
            <w:tcBorders>
              <w:top w:val="single" w:sz="4" w:space="0" w:color="auto"/>
              <w:bottom w:val="single" w:sz="4" w:space="0" w:color="auto"/>
            </w:tcBorders>
            <w:shd w:val="clear" w:color="auto" w:fill="F2F2F2" w:themeFill="background1" w:themeFillShade="F2"/>
            <w:noWrap/>
            <w:vAlign w:val="center"/>
            <w:hideMark/>
          </w:tcPr>
          <w:p w14:paraId="15720D73" w14:textId="77777777" w:rsidR="00114646" w:rsidRPr="00580B88" w:rsidRDefault="00E74192" w:rsidP="00114646">
            <w:pPr>
              <w:jc w:val="center"/>
              <w:rPr>
                <w:rFonts w:eastAsia="Times New Roman" w:cs="Arial"/>
                <w:b/>
                <w:bCs/>
                <w:color w:val="000000"/>
                <w:sz w:val="20"/>
                <w:szCs w:val="20"/>
                <w:lang w:val="en-AU" w:eastAsia="en-AU" w:bidi="ar-SA"/>
              </w:rPr>
            </w:pPr>
            <w:r w:rsidRPr="00E74192">
              <w:rPr>
                <w:rFonts w:cs="Arial"/>
                <w:i/>
                <w:lang w:val="en-AU"/>
              </w:rPr>
              <w:t xml:space="preserve"> </w:t>
            </w:r>
            <w:r w:rsidR="00114646" w:rsidRPr="00580B88">
              <w:rPr>
                <w:rFonts w:eastAsia="Times New Roman" w:cs="Arial"/>
                <w:b/>
                <w:bCs/>
                <w:color w:val="000000"/>
                <w:sz w:val="20"/>
                <w:szCs w:val="20"/>
                <w:lang w:val="en-AU" w:eastAsia="en-AU" w:bidi="ar-SA"/>
              </w:rPr>
              <w:t>Transect</w:t>
            </w:r>
          </w:p>
        </w:tc>
        <w:tc>
          <w:tcPr>
            <w:tcW w:w="2976" w:type="dxa"/>
            <w:tcBorders>
              <w:top w:val="single" w:sz="4" w:space="0" w:color="auto"/>
              <w:bottom w:val="single" w:sz="4" w:space="0" w:color="auto"/>
            </w:tcBorders>
            <w:shd w:val="clear" w:color="auto" w:fill="F2F2F2" w:themeFill="background1" w:themeFillShade="F2"/>
            <w:vAlign w:val="center"/>
            <w:hideMark/>
          </w:tcPr>
          <w:p w14:paraId="15720D74" w14:textId="77777777" w:rsidR="00114646" w:rsidRPr="00580B88" w:rsidRDefault="00114646" w:rsidP="00114646">
            <w:pPr>
              <w:jc w:val="center"/>
              <w:rPr>
                <w:rFonts w:eastAsia="Times New Roman" w:cs="Arial"/>
                <w:b/>
                <w:bCs/>
                <w:color w:val="000000"/>
                <w:sz w:val="20"/>
                <w:szCs w:val="20"/>
                <w:lang w:val="en-AU" w:eastAsia="en-AU" w:bidi="ar-SA"/>
              </w:rPr>
            </w:pPr>
            <w:r w:rsidRPr="00580B88">
              <w:rPr>
                <w:rFonts w:eastAsia="Times New Roman" w:cs="Arial"/>
                <w:b/>
                <w:bCs/>
                <w:color w:val="000000"/>
                <w:sz w:val="20"/>
                <w:szCs w:val="20"/>
                <w:lang w:val="en-AU" w:eastAsia="en-AU" w:bidi="ar-SA"/>
              </w:rPr>
              <w:t>Sampling site</w:t>
            </w:r>
          </w:p>
        </w:tc>
        <w:tc>
          <w:tcPr>
            <w:tcW w:w="2127" w:type="dxa"/>
            <w:tcBorders>
              <w:top w:val="single" w:sz="4" w:space="0" w:color="auto"/>
              <w:bottom w:val="single" w:sz="4" w:space="0" w:color="auto"/>
            </w:tcBorders>
            <w:shd w:val="clear" w:color="auto" w:fill="F2F2F2" w:themeFill="background1" w:themeFillShade="F2"/>
            <w:vAlign w:val="center"/>
            <w:hideMark/>
          </w:tcPr>
          <w:p w14:paraId="15720D75" w14:textId="77777777" w:rsidR="00114646" w:rsidRPr="00580B88" w:rsidRDefault="00114646" w:rsidP="00114646">
            <w:pPr>
              <w:jc w:val="center"/>
              <w:rPr>
                <w:rFonts w:eastAsia="Times New Roman" w:cs="Arial"/>
                <w:b/>
                <w:bCs/>
                <w:color w:val="000000"/>
                <w:sz w:val="20"/>
                <w:szCs w:val="20"/>
                <w:lang w:val="en-AU" w:eastAsia="en-AU" w:bidi="ar-SA"/>
              </w:rPr>
            </w:pPr>
            <w:r w:rsidRPr="00580B88">
              <w:rPr>
                <w:rFonts w:eastAsia="Times New Roman" w:cs="Arial"/>
                <w:b/>
                <w:bCs/>
                <w:color w:val="000000"/>
                <w:sz w:val="20"/>
                <w:szCs w:val="20"/>
                <w:lang w:val="en-AU" w:eastAsia="en-AU" w:bidi="ar-SA"/>
              </w:rPr>
              <w:t>Sample type</w:t>
            </w:r>
          </w:p>
        </w:tc>
        <w:tc>
          <w:tcPr>
            <w:tcW w:w="1984" w:type="dxa"/>
            <w:tcBorders>
              <w:top w:val="single" w:sz="4" w:space="0" w:color="auto"/>
              <w:bottom w:val="single" w:sz="4" w:space="0" w:color="auto"/>
            </w:tcBorders>
            <w:shd w:val="clear" w:color="auto" w:fill="F2F2F2" w:themeFill="background1" w:themeFillShade="F2"/>
            <w:noWrap/>
            <w:vAlign w:val="center"/>
            <w:hideMark/>
          </w:tcPr>
          <w:p w14:paraId="15720D76" w14:textId="77777777" w:rsidR="00114646" w:rsidRPr="00580B88" w:rsidRDefault="00114646" w:rsidP="00114646">
            <w:pPr>
              <w:jc w:val="center"/>
              <w:rPr>
                <w:rFonts w:eastAsia="Times New Roman" w:cs="Arial"/>
                <w:b/>
                <w:bCs/>
                <w:color w:val="000000"/>
                <w:sz w:val="20"/>
                <w:szCs w:val="20"/>
                <w:lang w:val="en-AU" w:eastAsia="en-AU" w:bidi="ar-SA"/>
              </w:rPr>
            </w:pPr>
            <w:r w:rsidRPr="00580B88">
              <w:rPr>
                <w:rFonts w:eastAsia="Times New Roman" w:cs="Arial"/>
                <w:b/>
                <w:bCs/>
                <w:color w:val="000000"/>
                <w:sz w:val="20"/>
                <w:szCs w:val="20"/>
                <w:lang w:val="en-AU" w:eastAsia="en-AU" w:bidi="ar-SA"/>
              </w:rPr>
              <w:t>Latitude</w:t>
            </w:r>
          </w:p>
        </w:tc>
        <w:tc>
          <w:tcPr>
            <w:tcW w:w="1843" w:type="dxa"/>
            <w:tcBorders>
              <w:top w:val="single" w:sz="4" w:space="0" w:color="auto"/>
              <w:bottom w:val="single" w:sz="4" w:space="0" w:color="auto"/>
            </w:tcBorders>
            <w:shd w:val="clear" w:color="auto" w:fill="F2F2F2" w:themeFill="background1" w:themeFillShade="F2"/>
            <w:noWrap/>
            <w:vAlign w:val="center"/>
            <w:hideMark/>
          </w:tcPr>
          <w:p w14:paraId="15720D77" w14:textId="77777777" w:rsidR="00114646" w:rsidRPr="00580B88" w:rsidRDefault="00114646" w:rsidP="00114646">
            <w:pPr>
              <w:jc w:val="center"/>
              <w:rPr>
                <w:rFonts w:eastAsia="Times New Roman" w:cs="Arial"/>
                <w:b/>
                <w:bCs/>
                <w:color w:val="000000"/>
                <w:sz w:val="20"/>
                <w:szCs w:val="20"/>
                <w:lang w:val="en-AU" w:eastAsia="en-AU" w:bidi="ar-SA"/>
              </w:rPr>
            </w:pPr>
            <w:r w:rsidRPr="00580B88">
              <w:rPr>
                <w:rFonts w:eastAsia="Times New Roman" w:cs="Arial"/>
                <w:b/>
                <w:bCs/>
                <w:color w:val="000000"/>
                <w:sz w:val="20"/>
                <w:szCs w:val="20"/>
                <w:lang w:val="en-AU" w:eastAsia="en-AU" w:bidi="ar-SA"/>
              </w:rPr>
              <w:t>Longtitude</w:t>
            </w:r>
          </w:p>
        </w:tc>
      </w:tr>
      <w:tr w:rsidR="00114646" w:rsidRPr="00580B88" w14:paraId="15720D7E" w14:textId="77777777" w:rsidTr="000D7725">
        <w:trPr>
          <w:trHeight w:val="375"/>
        </w:trPr>
        <w:tc>
          <w:tcPr>
            <w:tcW w:w="1668" w:type="dxa"/>
            <w:vMerge w:val="restart"/>
            <w:tcBorders>
              <w:top w:val="single" w:sz="4" w:space="0" w:color="auto"/>
            </w:tcBorders>
            <w:shd w:val="clear" w:color="auto" w:fill="auto"/>
            <w:vAlign w:val="center"/>
            <w:hideMark/>
          </w:tcPr>
          <w:p w14:paraId="15720D79" w14:textId="77777777" w:rsidR="00114646" w:rsidRPr="00580B88" w:rsidRDefault="00114646" w:rsidP="000D7725">
            <w:pPr>
              <w:jc w:val="left"/>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Russell-Mulgrave River</w:t>
            </w:r>
          </w:p>
        </w:tc>
        <w:tc>
          <w:tcPr>
            <w:tcW w:w="2976" w:type="dxa"/>
            <w:tcBorders>
              <w:top w:val="single" w:sz="4" w:space="0" w:color="auto"/>
            </w:tcBorders>
            <w:shd w:val="clear" w:color="auto" w:fill="auto"/>
            <w:noWrap/>
            <w:vAlign w:val="center"/>
            <w:hideMark/>
          </w:tcPr>
          <w:p w14:paraId="15720D7A" w14:textId="77777777" w:rsidR="00114646" w:rsidRPr="00580B88" w:rsidRDefault="00114646" w:rsidP="000D7725">
            <w:pPr>
              <w:jc w:val="left"/>
              <w:rPr>
                <w:rFonts w:eastAsia="Times New Roman" w:cs="Arial"/>
                <w:sz w:val="20"/>
                <w:szCs w:val="20"/>
                <w:lang w:val="en-AU" w:eastAsia="en-AU" w:bidi="ar-SA"/>
              </w:rPr>
            </w:pPr>
            <w:r w:rsidRPr="00580B88">
              <w:rPr>
                <w:rFonts w:eastAsia="Times New Roman" w:cs="Arial"/>
                <w:sz w:val="20"/>
                <w:szCs w:val="20"/>
                <w:lang w:val="en-AU" w:eastAsia="en-AU" w:bidi="ar-SA"/>
              </w:rPr>
              <w:t>Russell-Mulgrave mouth</w:t>
            </w:r>
          </w:p>
        </w:tc>
        <w:tc>
          <w:tcPr>
            <w:tcW w:w="2127" w:type="dxa"/>
            <w:tcBorders>
              <w:top w:val="single" w:sz="4" w:space="0" w:color="auto"/>
            </w:tcBorders>
            <w:shd w:val="clear" w:color="auto" w:fill="auto"/>
            <w:noWrap/>
            <w:vAlign w:val="center"/>
            <w:hideMark/>
          </w:tcPr>
          <w:p w14:paraId="15720D7B" w14:textId="77777777" w:rsidR="00114646" w:rsidRPr="00580B88" w:rsidRDefault="00114646" w:rsidP="00580B88">
            <w:pPr>
              <w:jc w:val="center"/>
              <w:rPr>
                <w:rFonts w:eastAsia="Times New Roman" w:cs="Arial"/>
                <w:sz w:val="20"/>
                <w:szCs w:val="20"/>
                <w:lang w:val="en-AU" w:eastAsia="en-AU" w:bidi="ar-SA"/>
              </w:rPr>
            </w:pPr>
            <w:r w:rsidRPr="00580B88">
              <w:rPr>
                <w:rFonts w:eastAsia="Times New Roman" w:cs="Arial"/>
                <w:sz w:val="20"/>
                <w:szCs w:val="20"/>
                <w:lang w:val="en-AU" w:eastAsia="en-AU" w:bidi="ar-SA"/>
              </w:rPr>
              <w:t>Grab</w:t>
            </w:r>
          </w:p>
        </w:tc>
        <w:tc>
          <w:tcPr>
            <w:tcW w:w="1984" w:type="dxa"/>
            <w:tcBorders>
              <w:top w:val="single" w:sz="4" w:space="0" w:color="auto"/>
            </w:tcBorders>
            <w:shd w:val="clear" w:color="auto" w:fill="auto"/>
            <w:vAlign w:val="center"/>
            <w:hideMark/>
          </w:tcPr>
          <w:p w14:paraId="15720D7C"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-17.2231</w:t>
            </w:r>
          </w:p>
        </w:tc>
        <w:tc>
          <w:tcPr>
            <w:tcW w:w="1843" w:type="dxa"/>
            <w:tcBorders>
              <w:top w:val="single" w:sz="4" w:space="0" w:color="auto"/>
            </w:tcBorders>
            <w:shd w:val="clear" w:color="auto" w:fill="auto"/>
            <w:vAlign w:val="center"/>
            <w:hideMark/>
          </w:tcPr>
          <w:p w14:paraId="15720D7D"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145.9688</w:t>
            </w:r>
          </w:p>
        </w:tc>
      </w:tr>
      <w:tr w:rsidR="00114646" w:rsidRPr="00580B88" w14:paraId="15720D84" w14:textId="77777777" w:rsidTr="000D7725">
        <w:trPr>
          <w:trHeight w:val="375"/>
        </w:trPr>
        <w:tc>
          <w:tcPr>
            <w:tcW w:w="1668" w:type="dxa"/>
            <w:vMerge/>
            <w:tcBorders>
              <w:top w:val="nil"/>
            </w:tcBorders>
            <w:shd w:val="clear" w:color="auto" w:fill="auto"/>
            <w:vAlign w:val="center"/>
            <w:hideMark/>
          </w:tcPr>
          <w:p w14:paraId="15720D7F" w14:textId="77777777" w:rsidR="00114646" w:rsidRPr="00580B88" w:rsidRDefault="00114646" w:rsidP="000D7725">
            <w:pPr>
              <w:jc w:val="left"/>
              <w:rPr>
                <w:rFonts w:eastAsia="Times New Roman" w:cs="Arial"/>
                <w:color w:val="000000"/>
                <w:sz w:val="20"/>
                <w:szCs w:val="20"/>
                <w:lang w:val="en-AU" w:eastAsia="en-AU" w:bidi="ar-SA"/>
              </w:rPr>
            </w:pPr>
          </w:p>
        </w:tc>
        <w:tc>
          <w:tcPr>
            <w:tcW w:w="2976" w:type="dxa"/>
            <w:tcBorders>
              <w:top w:val="nil"/>
            </w:tcBorders>
            <w:shd w:val="clear" w:color="auto" w:fill="auto"/>
            <w:noWrap/>
            <w:vAlign w:val="center"/>
            <w:hideMark/>
          </w:tcPr>
          <w:p w14:paraId="15720D80" w14:textId="77777777" w:rsidR="00114646" w:rsidRPr="00580B88" w:rsidRDefault="00114646" w:rsidP="000D7725">
            <w:pPr>
              <w:jc w:val="left"/>
              <w:rPr>
                <w:rFonts w:eastAsia="Times New Roman" w:cs="Arial"/>
                <w:sz w:val="20"/>
                <w:szCs w:val="20"/>
                <w:lang w:val="en-AU" w:eastAsia="en-AU" w:bidi="ar-SA"/>
              </w:rPr>
            </w:pPr>
            <w:r w:rsidRPr="00580B88">
              <w:rPr>
                <w:rFonts w:eastAsia="Times New Roman" w:cs="Arial"/>
                <w:sz w:val="20"/>
                <w:szCs w:val="20"/>
                <w:lang w:val="en-AU" w:eastAsia="en-AU" w:bidi="ar-SA"/>
              </w:rPr>
              <w:t>Normanby Island</w:t>
            </w:r>
          </w:p>
        </w:tc>
        <w:tc>
          <w:tcPr>
            <w:tcW w:w="2127" w:type="dxa"/>
            <w:tcBorders>
              <w:top w:val="nil"/>
            </w:tcBorders>
            <w:shd w:val="clear" w:color="auto" w:fill="auto"/>
            <w:noWrap/>
            <w:vAlign w:val="center"/>
            <w:hideMark/>
          </w:tcPr>
          <w:p w14:paraId="15720D81" w14:textId="77777777" w:rsidR="00114646" w:rsidRPr="00580B88" w:rsidRDefault="00114646" w:rsidP="00580B88">
            <w:pPr>
              <w:jc w:val="center"/>
              <w:rPr>
                <w:rFonts w:eastAsia="Times New Roman" w:cs="Arial"/>
                <w:sz w:val="20"/>
                <w:szCs w:val="20"/>
                <w:lang w:val="en-AU" w:eastAsia="en-AU" w:bidi="ar-SA"/>
              </w:rPr>
            </w:pPr>
            <w:r w:rsidRPr="00580B88">
              <w:rPr>
                <w:rFonts w:eastAsia="Times New Roman" w:cs="Arial"/>
                <w:sz w:val="20"/>
                <w:szCs w:val="20"/>
                <w:lang w:val="en-AU" w:eastAsia="en-AU" w:bidi="ar-SA"/>
              </w:rPr>
              <w:t>Passive sampler</w:t>
            </w:r>
          </w:p>
        </w:tc>
        <w:tc>
          <w:tcPr>
            <w:tcW w:w="1984" w:type="dxa"/>
            <w:tcBorders>
              <w:top w:val="nil"/>
            </w:tcBorders>
            <w:shd w:val="clear" w:color="auto" w:fill="auto"/>
            <w:vAlign w:val="center"/>
            <w:hideMark/>
          </w:tcPr>
          <w:p w14:paraId="15720D82"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-17.2048</w:t>
            </w:r>
          </w:p>
        </w:tc>
        <w:tc>
          <w:tcPr>
            <w:tcW w:w="1843" w:type="dxa"/>
            <w:tcBorders>
              <w:top w:val="nil"/>
            </w:tcBorders>
            <w:shd w:val="clear" w:color="auto" w:fill="auto"/>
            <w:vAlign w:val="center"/>
            <w:hideMark/>
          </w:tcPr>
          <w:p w14:paraId="15720D83"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146.0743</w:t>
            </w:r>
          </w:p>
        </w:tc>
      </w:tr>
      <w:tr w:rsidR="00114646" w:rsidRPr="00580B88" w14:paraId="15720D8A" w14:textId="77777777" w:rsidTr="000D7725">
        <w:trPr>
          <w:trHeight w:val="360"/>
        </w:trPr>
        <w:tc>
          <w:tcPr>
            <w:tcW w:w="1668" w:type="dxa"/>
            <w:vMerge/>
            <w:tcBorders>
              <w:top w:val="nil"/>
            </w:tcBorders>
            <w:shd w:val="clear" w:color="auto" w:fill="auto"/>
            <w:vAlign w:val="center"/>
            <w:hideMark/>
          </w:tcPr>
          <w:p w14:paraId="15720D85" w14:textId="77777777" w:rsidR="00114646" w:rsidRPr="00580B88" w:rsidRDefault="00114646" w:rsidP="000D7725">
            <w:pPr>
              <w:jc w:val="left"/>
              <w:rPr>
                <w:rFonts w:eastAsia="Times New Roman" w:cs="Arial"/>
                <w:color w:val="000000"/>
                <w:sz w:val="20"/>
                <w:szCs w:val="20"/>
                <w:lang w:val="en-AU" w:eastAsia="en-AU" w:bidi="ar-SA"/>
              </w:rPr>
            </w:pPr>
          </w:p>
        </w:tc>
        <w:tc>
          <w:tcPr>
            <w:tcW w:w="2976" w:type="dxa"/>
            <w:tcBorders>
              <w:top w:val="nil"/>
            </w:tcBorders>
            <w:shd w:val="clear" w:color="auto" w:fill="auto"/>
            <w:noWrap/>
            <w:vAlign w:val="center"/>
            <w:hideMark/>
          </w:tcPr>
          <w:p w14:paraId="15720D86" w14:textId="77777777" w:rsidR="00114646" w:rsidRPr="00580B88" w:rsidRDefault="00114646" w:rsidP="000D7725">
            <w:pPr>
              <w:jc w:val="left"/>
              <w:rPr>
                <w:rFonts w:eastAsia="Times New Roman" w:cs="Arial"/>
                <w:sz w:val="20"/>
                <w:szCs w:val="20"/>
                <w:lang w:val="en-AU" w:eastAsia="en-AU" w:bidi="ar-SA"/>
              </w:rPr>
            </w:pPr>
            <w:r w:rsidRPr="00580B88">
              <w:rPr>
                <w:rFonts w:eastAsia="Times New Roman" w:cs="Arial"/>
                <w:sz w:val="20"/>
                <w:szCs w:val="20"/>
                <w:lang w:val="en-AU" w:eastAsia="en-AU" w:bidi="ar-SA"/>
              </w:rPr>
              <w:t>High Island</w:t>
            </w:r>
          </w:p>
        </w:tc>
        <w:tc>
          <w:tcPr>
            <w:tcW w:w="2127" w:type="dxa"/>
            <w:tcBorders>
              <w:top w:val="nil"/>
            </w:tcBorders>
            <w:shd w:val="clear" w:color="auto" w:fill="auto"/>
            <w:noWrap/>
            <w:vAlign w:val="center"/>
            <w:hideMark/>
          </w:tcPr>
          <w:p w14:paraId="15720D87" w14:textId="77777777" w:rsidR="00114646" w:rsidRPr="00580B88" w:rsidRDefault="00114646" w:rsidP="00580B88">
            <w:pPr>
              <w:jc w:val="center"/>
              <w:rPr>
                <w:rFonts w:eastAsia="Times New Roman" w:cs="Arial"/>
                <w:sz w:val="20"/>
                <w:szCs w:val="20"/>
                <w:lang w:val="en-AU" w:eastAsia="en-AU" w:bidi="ar-SA"/>
              </w:rPr>
            </w:pPr>
            <w:r w:rsidRPr="00580B88">
              <w:rPr>
                <w:rFonts w:eastAsia="Times New Roman" w:cs="Arial"/>
                <w:sz w:val="20"/>
                <w:szCs w:val="20"/>
                <w:lang w:val="en-AU" w:eastAsia="en-AU" w:bidi="ar-SA"/>
              </w:rPr>
              <w:t>Grab</w:t>
            </w:r>
          </w:p>
        </w:tc>
        <w:tc>
          <w:tcPr>
            <w:tcW w:w="1984" w:type="dxa"/>
            <w:tcBorders>
              <w:top w:val="nil"/>
            </w:tcBorders>
            <w:shd w:val="clear" w:color="auto" w:fill="auto"/>
            <w:vAlign w:val="center"/>
            <w:hideMark/>
          </w:tcPr>
          <w:p w14:paraId="15720D88"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-17.1599</w:t>
            </w:r>
          </w:p>
        </w:tc>
        <w:tc>
          <w:tcPr>
            <w:tcW w:w="1843" w:type="dxa"/>
            <w:tcBorders>
              <w:top w:val="nil"/>
            </w:tcBorders>
            <w:shd w:val="clear" w:color="auto" w:fill="auto"/>
            <w:vAlign w:val="center"/>
            <w:hideMark/>
          </w:tcPr>
          <w:p w14:paraId="15720D89"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146.0008</w:t>
            </w:r>
          </w:p>
        </w:tc>
      </w:tr>
      <w:tr w:rsidR="00114646" w:rsidRPr="00580B88" w14:paraId="15720D90" w14:textId="77777777" w:rsidTr="000D7725">
        <w:trPr>
          <w:trHeight w:val="360"/>
        </w:trPr>
        <w:tc>
          <w:tcPr>
            <w:tcW w:w="1668" w:type="dxa"/>
            <w:vMerge/>
            <w:tcBorders>
              <w:top w:val="nil"/>
              <w:bottom w:val="single" w:sz="4" w:space="0" w:color="auto"/>
            </w:tcBorders>
            <w:shd w:val="clear" w:color="auto" w:fill="auto"/>
            <w:vAlign w:val="center"/>
            <w:hideMark/>
          </w:tcPr>
          <w:p w14:paraId="15720D8B" w14:textId="77777777" w:rsidR="00114646" w:rsidRPr="00580B88" w:rsidRDefault="00114646" w:rsidP="000D7725">
            <w:pPr>
              <w:jc w:val="left"/>
              <w:rPr>
                <w:rFonts w:eastAsia="Times New Roman" w:cs="Arial"/>
                <w:color w:val="000000"/>
                <w:sz w:val="20"/>
                <w:szCs w:val="20"/>
                <w:lang w:val="en-AU" w:eastAsia="en-AU" w:bidi="ar-SA"/>
              </w:rPr>
            </w:pPr>
          </w:p>
        </w:tc>
        <w:tc>
          <w:tcPr>
            <w:tcW w:w="2976" w:type="dxa"/>
            <w:tcBorders>
              <w:top w:val="nil"/>
              <w:bottom w:val="single" w:sz="4" w:space="0" w:color="auto"/>
            </w:tcBorders>
            <w:shd w:val="clear" w:color="auto" w:fill="auto"/>
            <w:noWrap/>
            <w:vAlign w:val="center"/>
            <w:hideMark/>
          </w:tcPr>
          <w:p w14:paraId="15720D8C" w14:textId="77777777" w:rsidR="00114646" w:rsidRPr="00580B88" w:rsidRDefault="00114646" w:rsidP="000D7725">
            <w:pPr>
              <w:jc w:val="left"/>
              <w:rPr>
                <w:rFonts w:eastAsia="Times New Roman" w:cs="Arial"/>
                <w:sz w:val="20"/>
                <w:szCs w:val="20"/>
                <w:lang w:val="en-AU" w:eastAsia="en-AU" w:bidi="ar-SA"/>
              </w:rPr>
            </w:pPr>
            <w:r w:rsidRPr="00580B88">
              <w:rPr>
                <w:rFonts w:eastAsia="Times New Roman" w:cs="Arial"/>
                <w:sz w:val="20"/>
                <w:szCs w:val="20"/>
                <w:lang w:val="en-AU" w:eastAsia="en-AU" w:bidi="ar-SA"/>
              </w:rPr>
              <w:t>High Island</w:t>
            </w:r>
          </w:p>
        </w:tc>
        <w:tc>
          <w:tcPr>
            <w:tcW w:w="2127" w:type="dxa"/>
            <w:tcBorders>
              <w:top w:val="nil"/>
              <w:bottom w:val="single" w:sz="4" w:space="0" w:color="auto"/>
            </w:tcBorders>
            <w:shd w:val="clear" w:color="auto" w:fill="auto"/>
            <w:noWrap/>
            <w:vAlign w:val="center"/>
            <w:hideMark/>
          </w:tcPr>
          <w:p w14:paraId="15720D8D" w14:textId="77777777" w:rsidR="00114646" w:rsidRPr="00580B88" w:rsidRDefault="00114646" w:rsidP="00580B88">
            <w:pPr>
              <w:jc w:val="center"/>
              <w:rPr>
                <w:rFonts w:eastAsia="Times New Roman" w:cs="Arial"/>
                <w:sz w:val="20"/>
                <w:szCs w:val="20"/>
                <w:lang w:val="en-AU" w:eastAsia="en-AU" w:bidi="ar-SA"/>
              </w:rPr>
            </w:pPr>
            <w:r w:rsidRPr="00580B88">
              <w:rPr>
                <w:rFonts w:eastAsia="Times New Roman" w:cs="Arial"/>
                <w:sz w:val="20"/>
                <w:szCs w:val="20"/>
                <w:lang w:val="en-AU" w:eastAsia="en-AU" w:bidi="ar-SA"/>
              </w:rPr>
              <w:t>Passive sampler</w:t>
            </w:r>
          </w:p>
        </w:tc>
        <w:tc>
          <w:tcPr>
            <w:tcW w:w="1984" w:type="dxa"/>
            <w:tcBorders>
              <w:top w:val="nil"/>
              <w:bottom w:val="single" w:sz="4" w:space="0" w:color="auto"/>
            </w:tcBorders>
            <w:shd w:val="clear" w:color="auto" w:fill="auto"/>
            <w:vAlign w:val="center"/>
            <w:hideMark/>
          </w:tcPr>
          <w:p w14:paraId="15720D8E"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-17.1599</w:t>
            </w:r>
          </w:p>
        </w:tc>
        <w:tc>
          <w:tcPr>
            <w:tcW w:w="1843" w:type="dxa"/>
            <w:tcBorders>
              <w:top w:val="nil"/>
              <w:bottom w:val="single" w:sz="4" w:space="0" w:color="auto"/>
            </w:tcBorders>
            <w:shd w:val="clear" w:color="auto" w:fill="auto"/>
            <w:vAlign w:val="center"/>
            <w:hideMark/>
          </w:tcPr>
          <w:p w14:paraId="15720D8F"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146.0008</w:t>
            </w:r>
          </w:p>
        </w:tc>
      </w:tr>
      <w:tr w:rsidR="00114646" w:rsidRPr="00580B88" w14:paraId="15720D96" w14:textId="77777777" w:rsidTr="000D7725">
        <w:trPr>
          <w:trHeight w:val="375"/>
        </w:trPr>
        <w:tc>
          <w:tcPr>
            <w:tcW w:w="1668" w:type="dxa"/>
            <w:vMerge w:val="restart"/>
            <w:tcBorders>
              <w:top w:val="single" w:sz="4" w:space="0" w:color="auto"/>
            </w:tcBorders>
            <w:shd w:val="clear" w:color="auto" w:fill="auto"/>
            <w:noWrap/>
            <w:vAlign w:val="center"/>
            <w:hideMark/>
          </w:tcPr>
          <w:p w14:paraId="15720D91" w14:textId="77777777" w:rsidR="00114646" w:rsidRPr="00580B88" w:rsidRDefault="00114646" w:rsidP="000D7725">
            <w:pPr>
              <w:jc w:val="left"/>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lastRenderedPageBreak/>
              <w:t>Tully River</w:t>
            </w:r>
          </w:p>
        </w:tc>
        <w:tc>
          <w:tcPr>
            <w:tcW w:w="2976" w:type="dxa"/>
            <w:tcBorders>
              <w:top w:val="single" w:sz="4" w:space="0" w:color="auto"/>
            </w:tcBorders>
            <w:shd w:val="clear" w:color="auto" w:fill="auto"/>
            <w:noWrap/>
            <w:vAlign w:val="center"/>
            <w:hideMark/>
          </w:tcPr>
          <w:p w14:paraId="15720D92" w14:textId="77777777" w:rsidR="00114646" w:rsidRPr="00580B88" w:rsidRDefault="00114646" w:rsidP="000D7725">
            <w:pPr>
              <w:jc w:val="left"/>
              <w:rPr>
                <w:rFonts w:eastAsia="Times New Roman" w:cs="Arial"/>
                <w:sz w:val="20"/>
                <w:szCs w:val="20"/>
                <w:lang w:val="en-AU" w:eastAsia="en-AU" w:bidi="ar-SA"/>
              </w:rPr>
            </w:pPr>
            <w:r w:rsidRPr="00580B88">
              <w:rPr>
                <w:rFonts w:eastAsia="Times New Roman" w:cs="Arial"/>
                <w:sz w:val="20"/>
                <w:szCs w:val="20"/>
                <w:lang w:val="en-AU" w:eastAsia="en-AU" w:bidi="ar-SA"/>
              </w:rPr>
              <w:t>Tully River mouth</w:t>
            </w:r>
            <w:r w:rsidR="008F2AFB">
              <w:rPr>
                <w:rFonts w:eastAsia="Times New Roman" w:cs="Arial"/>
                <w:sz w:val="20"/>
                <w:szCs w:val="20"/>
                <w:lang w:val="en-AU" w:eastAsia="en-AU" w:bidi="ar-SA"/>
              </w:rPr>
              <w:t xml:space="preserve"> mooring</w:t>
            </w:r>
          </w:p>
        </w:tc>
        <w:tc>
          <w:tcPr>
            <w:tcW w:w="2127" w:type="dxa"/>
            <w:tcBorders>
              <w:top w:val="single" w:sz="4" w:space="0" w:color="auto"/>
            </w:tcBorders>
            <w:shd w:val="clear" w:color="auto" w:fill="auto"/>
            <w:noWrap/>
            <w:vAlign w:val="center"/>
            <w:hideMark/>
          </w:tcPr>
          <w:p w14:paraId="15720D93" w14:textId="77777777" w:rsidR="00114646" w:rsidRPr="00580B88" w:rsidRDefault="00114646" w:rsidP="00580B88">
            <w:pPr>
              <w:jc w:val="center"/>
              <w:rPr>
                <w:rFonts w:eastAsia="Times New Roman" w:cs="Arial"/>
                <w:sz w:val="20"/>
                <w:szCs w:val="20"/>
                <w:lang w:val="en-AU" w:eastAsia="en-AU" w:bidi="ar-SA"/>
              </w:rPr>
            </w:pPr>
            <w:r w:rsidRPr="00580B88">
              <w:rPr>
                <w:rFonts w:eastAsia="Times New Roman" w:cs="Arial"/>
                <w:sz w:val="20"/>
                <w:szCs w:val="20"/>
                <w:lang w:val="en-AU" w:eastAsia="en-AU" w:bidi="ar-SA"/>
              </w:rPr>
              <w:t>Grab</w:t>
            </w:r>
          </w:p>
        </w:tc>
        <w:tc>
          <w:tcPr>
            <w:tcW w:w="1984" w:type="dxa"/>
            <w:tcBorders>
              <w:top w:val="single" w:sz="4" w:space="0" w:color="auto"/>
            </w:tcBorders>
            <w:shd w:val="clear" w:color="auto" w:fill="auto"/>
            <w:vAlign w:val="center"/>
            <w:hideMark/>
          </w:tcPr>
          <w:p w14:paraId="15720D94"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-18.0295</w:t>
            </w:r>
          </w:p>
        </w:tc>
        <w:tc>
          <w:tcPr>
            <w:tcW w:w="1843" w:type="dxa"/>
            <w:tcBorders>
              <w:top w:val="single" w:sz="4" w:space="0" w:color="auto"/>
            </w:tcBorders>
            <w:shd w:val="clear" w:color="auto" w:fill="auto"/>
            <w:vAlign w:val="center"/>
            <w:hideMark/>
          </w:tcPr>
          <w:p w14:paraId="15720D95"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146.0609</w:t>
            </w:r>
          </w:p>
        </w:tc>
      </w:tr>
      <w:tr w:rsidR="00114646" w:rsidRPr="00580B88" w14:paraId="15720D9C" w14:textId="77777777" w:rsidTr="000D7725">
        <w:trPr>
          <w:trHeight w:val="375"/>
        </w:trPr>
        <w:tc>
          <w:tcPr>
            <w:tcW w:w="1668" w:type="dxa"/>
            <w:vMerge/>
            <w:tcBorders>
              <w:bottom w:val="single" w:sz="4" w:space="0" w:color="000000"/>
            </w:tcBorders>
            <w:shd w:val="clear" w:color="auto" w:fill="auto"/>
            <w:vAlign w:val="center"/>
            <w:hideMark/>
          </w:tcPr>
          <w:p w14:paraId="15720D97" w14:textId="77777777" w:rsidR="00114646" w:rsidRPr="00580B88" w:rsidRDefault="00114646" w:rsidP="000D7725">
            <w:pPr>
              <w:jc w:val="left"/>
              <w:rPr>
                <w:rFonts w:eastAsia="Times New Roman" w:cs="Arial"/>
                <w:color w:val="000000"/>
                <w:sz w:val="20"/>
                <w:szCs w:val="20"/>
                <w:lang w:val="en-AU" w:eastAsia="en-AU" w:bidi="ar-SA"/>
              </w:rPr>
            </w:pPr>
          </w:p>
        </w:tc>
        <w:tc>
          <w:tcPr>
            <w:tcW w:w="2976" w:type="dxa"/>
            <w:shd w:val="clear" w:color="auto" w:fill="auto"/>
            <w:noWrap/>
            <w:vAlign w:val="center"/>
            <w:hideMark/>
          </w:tcPr>
          <w:p w14:paraId="15720D98" w14:textId="77777777" w:rsidR="00114646" w:rsidRPr="00580B88" w:rsidRDefault="00114646" w:rsidP="000D7725">
            <w:pPr>
              <w:jc w:val="left"/>
              <w:rPr>
                <w:rFonts w:eastAsia="Times New Roman" w:cs="Arial"/>
                <w:sz w:val="20"/>
                <w:szCs w:val="20"/>
                <w:lang w:val="en-AU" w:eastAsia="en-AU" w:bidi="ar-SA"/>
              </w:rPr>
            </w:pPr>
            <w:r w:rsidRPr="00580B88">
              <w:rPr>
                <w:rFonts w:eastAsia="Times New Roman" w:cs="Arial"/>
                <w:sz w:val="20"/>
                <w:szCs w:val="20"/>
                <w:lang w:val="en-AU" w:eastAsia="en-AU" w:bidi="ar-SA"/>
              </w:rPr>
              <w:t>Bedarra Island</w:t>
            </w:r>
          </w:p>
        </w:tc>
        <w:tc>
          <w:tcPr>
            <w:tcW w:w="2127" w:type="dxa"/>
            <w:shd w:val="clear" w:color="auto" w:fill="auto"/>
            <w:noWrap/>
            <w:vAlign w:val="center"/>
            <w:hideMark/>
          </w:tcPr>
          <w:p w14:paraId="15720D99" w14:textId="77777777" w:rsidR="00114646" w:rsidRPr="00580B88" w:rsidRDefault="00114646" w:rsidP="00580B88">
            <w:pPr>
              <w:jc w:val="center"/>
              <w:rPr>
                <w:rFonts w:eastAsia="Times New Roman" w:cs="Arial"/>
                <w:sz w:val="20"/>
                <w:szCs w:val="20"/>
                <w:lang w:val="en-AU" w:eastAsia="en-AU" w:bidi="ar-SA"/>
              </w:rPr>
            </w:pPr>
            <w:r w:rsidRPr="00580B88">
              <w:rPr>
                <w:rFonts w:eastAsia="Times New Roman" w:cs="Arial"/>
                <w:sz w:val="20"/>
                <w:szCs w:val="20"/>
                <w:lang w:val="en-AU" w:eastAsia="en-AU" w:bidi="ar-SA"/>
              </w:rPr>
              <w:t>Grab</w:t>
            </w:r>
          </w:p>
        </w:tc>
        <w:tc>
          <w:tcPr>
            <w:tcW w:w="1984" w:type="dxa"/>
            <w:shd w:val="clear" w:color="auto" w:fill="auto"/>
            <w:vAlign w:val="center"/>
            <w:hideMark/>
          </w:tcPr>
          <w:p w14:paraId="15720D9A"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-18.0020</w:t>
            </w:r>
          </w:p>
        </w:tc>
        <w:tc>
          <w:tcPr>
            <w:tcW w:w="1843" w:type="dxa"/>
            <w:shd w:val="clear" w:color="auto" w:fill="auto"/>
            <w:vAlign w:val="center"/>
            <w:hideMark/>
          </w:tcPr>
          <w:p w14:paraId="15720D9B"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146.1414</w:t>
            </w:r>
          </w:p>
        </w:tc>
      </w:tr>
      <w:tr w:rsidR="00114646" w:rsidRPr="00580B88" w14:paraId="15720DA2" w14:textId="77777777" w:rsidTr="000D7725">
        <w:trPr>
          <w:trHeight w:val="375"/>
        </w:trPr>
        <w:tc>
          <w:tcPr>
            <w:tcW w:w="1668" w:type="dxa"/>
            <w:vMerge/>
            <w:tcBorders>
              <w:top w:val="nil"/>
              <w:bottom w:val="single" w:sz="4" w:space="0" w:color="auto"/>
            </w:tcBorders>
            <w:shd w:val="clear" w:color="auto" w:fill="auto"/>
            <w:vAlign w:val="center"/>
            <w:hideMark/>
          </w:tcPr>
          <w:p w14:paraId="15720D9D" w14:textId="77777777" w:rsidR="00114646" w:rsidRPr="00580B88" w:rsidRDefault="00114646" w:rsidP="000D7725">
            <w:pPr>
              <w:jc w:val="left"/>
              <w:rPr>
                <w:rFonts w:eastAsia="Times New Roman" w:cs="Arial"/>
                <w:color w:val="000000"/>
                <w:sz w:val="20"/>
                <w:szCs w:val="20"/>
                <w:lang w:val="en-AU" w:eastAsia="en-AU" w:bidi="ar-SA"/>
              </w:rPr>
            </w:pPr>
          </w:p>
        </w:tc>
        <w:tc>
          <w:tcPr>
            <w:tcW w:w="2976" w:type="dxa"/>
            <w:tcBorders>
              <w:top w:val="nil"/>
            </w:tcBorders>
            <w:shd w:val="clear" w:color="auto" w:fill="auto"/>
            <w:noWrap/>
            <w:vAlign w:val="center"/>
            <w:hideMark/>
          </w:tcPr>
          <w:p w14:paraId="15720D9E" w14:textId="77777777" w:rsidR="00114646" w:rsidRPr="00580B88" w:rsidRDefault="00114646" w:rsidP="000D7725">
            <w:pPr>
              <w:jc w:val="left"/>
              <w:rPr>
                <w:rFonts w:eastAsia="Times New Roman" w:cs="Arial"/>
                <w:sz w:val="20"/>
                <w:szCs w:val="20"/>
                <w:lang w:val="en-AU" w:eastAsia="en-AU" w:bidi="ar-SA"/>
              </w:rPr>
            </w:pPr>
            <w:r w:rsidRPr="00580B88">
              <w:rPr>
                <w:rFonts w:eastAsia="Times New Roman" w:cs="Arial"/>
                <w:sz w:val="20"/>
                <w:szCs w:val="20"/>
                <w:lang w:val="en-AU" w:eastAsia="en-AU" w:bidi="ar-SA"/>
              </w:rPr>
              <w:t>Dunk Island north</w:t>
            </w:r>
          </w:p>
        </w:tc>
        <w:tc>
          <w:tcPr>
            <w:tcW w:w="2127" w:type="dxa"/>
            <w:tcBorders>
              <w:top w:val="nil"/>
            </w:tcBorders>
            <w:shd w:val="clear" w:color="auto" w:fill="auto"/>
            <w:noWrap/>
            <w:vAlign w:val="center"/>
            <w:hideMark/>
          </w:tcPr>
          <w:p w14:paraId="15720D9F" w14:textId="77777777" w:rsidR="00114646" w:rsidRPr="00580B88" w:rsidRDefault="00114646" w:rsidP="00580B88">
            <w:pPr>
              <w:jc w:val="center"/>
              <w:rPr>
                <w:rFonts w:eastAsia="Times New Roman" w:cs="Arial"/>
                <w:sz w:val="20"/>
                <w:szCs w:val="20"/>
                <w:lang w:val="en-AU" w:eastAsia="en-AU" w:bidi="ar-SA"/>
              </w:rPr>
            </w:pPr>
            <w:r w:rsidRPr="00580B88">
              <w:rPr>
                <w:rFonts w:eastAsia="Times New Roman" w:cs="Arial"/>
                <w:sz w:val="20"/>
                <w:szCs w:val="20"/>
                <w:lang w:val="en-AU" w:eastAsia="en-AU" w:bidi="ar-SA"/>
              </w:rPr>
              <w:t>Grab</w:t>
            </w:r>
          </w:p>
        </w:tc>
        <w:tc>
          <w:tcPr>
            <w:tcW w:w="1984" w:type="dxa"/>
            <w:tcBorders>
              <w:top w:val="nil"/>
            </w:tcBorders>
            <w:shd w:val="clear" w:color="auto" w:fill="auto"/>
            <w:vAlign w:val="center"/>
            <w:hideMark/>
          </w:tcPr>
          <w:p w14:paraId="15720DA0"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-17.9272</w:t>
            </w:r>
          </w:p>
        </w:tc>
        <w:tc>
          <w:tcPr>
            <w:tcW w:w="1843" w:type="dxa"/>
            <w:tcBorders>
              <w:top w:val="nil"/>
            </w:tcBorders>
            <w:shd w:val="clear" w:color="auto" w:fill="auto"/>
            <w:vAlign w:val="center"/>
            <w:hideMark/>
          </w:tcPr>
          <w:p w14:paraId="15720DA1"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146.1416</w:t>
            </w:r>
          </w:p>
        </w:tc>
      </w:tr>
      <w:tr w:rsidR="00114646" w:rsidRPr="00580B88" w14:paraId="15720DA8" w14:textId="77777777" w:rsidTr="000D7725">
        <w:trPr>
          <w:trHeight w:val="375"/>
        </w:trPr>
        <w:tc>
          <w:tcPr>
            <w:tcW w:w="1668" w:type="dxa"/>
            <w:vMerge/>
            <w:tcBorders>
              <w:top w:val="single" w:sz="4" w:space="0" w:color="auto"/>
              <w:bottom w:val="single" w:sz="4" w:space="0" w:color="auto"/>
            </w:tcBorders>
            <w:shd w:val="clear" w:color="auto" w:fill="auto"/>
            <w:vAlign w:val="center"/>
            <w:hideMark/>
          </w:tcPr>
          <w:p w14:paraId="15720DA3" w14:textId="77777777" w:rsidR="00114646" w:rsidRPr="00580B88" w:rsidRDefault="00114646" w:rsidP="000D7725">
            <w:pPr>
              <w:jc w:val="left"/>
              <w:rPr>
                <w:rFonts w:eastAsia="Times New Roman" w:cs="Arial"/>
                <w:color w:val="000000"/>
                <w:sz w:val="20"/>
                <w:szCs w:val="20"/>
                <w:lang w:val="en-AU" w:eastAsia="en-AU" w:bidi="ar-SA"/>
              </w:rPr>
            </w:pPr>
          </w:p>
        </w:tc>
        <w:tc>
          <w:tcPr>
            <w:tcW w:w="2976" w:type="dxa"/>
            <w:tcBorders>
              <w:bottom w:val="single" w:sz="4" w:space="0" w:color="auto"/>
            </w:tcBorders>
            <w:shd w:val="clear" w:color="auto" w:fill="auto"/>
            <w:noWrap/>
            <w:vAlign w:val="center"/>
            <w:hideMark/>
          </w:tcPr>
          <w:p w14:paraId="15720DA4" w14:textId="77777777" w:rsidR="00114646" w:rsidRPr="00580B88" w:rsidRDefault="00114646" w:rsidP="000D7725">
            <w:pPr>
              <w:jc w:val="left"/>
              <w:rPr>
                <w:rFonts w:eastAsia="Times New Roman" w:cs="Arial"/>
                <w:sz w:val="20"/>
                <w:szCs w:val="20"/>
                <w:lang w:val="en-AU" w:eastAsia="en-AU" w:bidi="ar-SA"/>
              </w:rPr>
            </w:pPr>
            <w:r w:rsidRPr="00580B88">
              <w:rPr>
                <w:rFonts w:eastAsia="Times New Roman" w:cs="Arial"/>
                <w:sz w:val="20"/>
                <w:szCs w:val="20"/>
                <w:lang w:val="en-AU" w:eastAsia="en-AU" w:bidi="ar-SA"/>
              </w:rPr>
              <w:t>Dunk Island north</w:t>
            </w:r>
          </w:p>
        </w:tc>
        <w:tc>
          <w:tcPr>
            <w:tcW w:w="2127" w:type="dxa"/>
            <w:tcBorders>
              <w:bottom w:val="single" w:sz="4" w:space="0" w:color="auto"/>
            </w:tcBorders>
            <w:shd w:val="clear" w:color="auto" w:fill="auto"/>
            <w:noWrap/>
            <w:vAlign w:val="center"/>
            <w:hideMark/>
          </w:tcPr>
          <w:p w14:paraId="15720DA5" w14:textId="77777777" w:rsidR="00114646" w:rsidRPr="00580B88" w:rsidRDefault="00114646" w:rsidP="00580B88">
            <w:pPr>
              <w:jc w:val="center"/>
              <w:rPr>
                <w:rFonts w:eastAsia="Times New Roman" w:cs="Arial"/>
                <w:sz w:val="20"/>
                <w:szCs w:val="20"/>
                <w:lang w:val="en-AU" w:eastAsia="en-AU" w:bidi="ar-SA"/>
              </w:rPr>
            </w:pPr>
            <w:r w:rsidRPr="00580B88">
              <w:rPr>
                <w:rFonts w:eastAsia="Times New Roman" w:cs="Arial"/>
                <w:sz w:val="20"/>
                <w:szCs w:val="20"/>
                <w:lang w:val="en-AU" w:eastAsia="en-AU" w:bidi="ar-SA"/>
              </w:rPr>
              <w:t>Passive sampler</w:t>
            </w:r>
          </w:p>
        </w:tc>
        <w:tc>
          <w:tcPr>
            <w:tcW w:w="1984" w:type="dxa"/>
            <w:tcBorders>
              <w:bottom w:val="single" w:sz="4" w:space="0" w:color="auto"/>
            </w:tcBorders>
            <w:shd w:val="clear" w:color="auto" w:fill="auto"/>
            <w:vAlign w:val="center"/>
            <w:hideMark/>
          </w:tcPr>
          <w:p w14:paraId="15720DA6"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-17.9272</w:t>
            </w:r>
          </w:p>
        </w:tc>
        <w:tc>
          <w:tcPr>
            <w:tcW w:w="1843" w:type="dxa"/>
            <w:tcBorders>
              <w:bottom w:val="single" w:sz="4" w:space="0" w:color="auto"/>
            </w:tcBorders>
            <w:shd w:val="clear" w:color="auto" w:fill="auto"/>
            <w:vAlign w:val="center"/>
            <w:hideMark/>
          </w:tcPr>
          <w:p w14:paraId="15720DA7" w14:textId="77777777" w:rsidR="00114646" w:rsidRPr="00580B88" w:rsidRDefault="00114646" w:rsidP="00580B88">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146.1416</w:t>
            </w:r>
          </w:p>
        </w:tc>
      </w:tr>
      <w:tr w:rsidR="0096739F" w:rsidRPr="00580B88" w14:paraId="15720DAE" w14:textId="77777777" w:rsidTr="000D7725">
        <w:trPr>
          <w:trHeight w:val="375"/>
        </w:trPr>
        <w:tc>
          <w:tcPr>
            <w:tcW w:w="1668" w:type="dxa"/>
            <w:vMerge w:val="restart"/>
            <w:tcBorders>
              <w:top w:val="single" w:sz="4" w:space="0" w:color="auto"/>
            </w:tcBorders>
            <w:shd w:val="clear" w:color="auto" w:fill="auto"/>
            <w:vAlign w:val="center"/>
            <w:hideMark/>
          </w:tcPr>
          <w:p w14:paraId="15720DA9" w14:textId="77777777" w:rsidR="0096739F" w:rsidRPr="00580B88" w:rsidRDefault="0096739F" w:rsidP="000D7725">
            <w:pPr>
              <w:jc w:val="left"/>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Burdekin River</w:t>
            </w:r>
          </w:p>
        </w:tc>
        <w:tc>
          <w:tcPr>
            <w:tcW w:w="2976" w:type="dxa"/>
            <w:tcBorders>
              <w:top w:val="single" w:sz="4" w:space="0" w:color="auto"/>
            </w:tcBorders>
            <w:shd w:val="clear" w:color="000000" w:fill="FFFFFF"/>
            <w:noWrap/>
            <w:vAlign w:val="center"/>
            <w:hideMark/>
          </w:tcPr>
          <w:p w14:paraId="15720DAA" w14:textId="77777777" w:rsidR="0096739F" w:rsidRPr="00580B88" w:rsidRDefault="0096739F" w:rsidP="000D7725">
            <w:pPr>
              <w:jc w:val="left"/>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Barratta Creek mouth</w:t>
            </w:r>
          </w:p>
        </w:tc>
        <w:tc>
          <w:tcPr>
            <w:tcW w:w="2127" w:type="dxa"/>
            <w:tcBorders>
              <w:top w:val="single" w:sz="4" w:space="0" w:color="auto"/>
            </w:tcBorders>
            <w:shd w:val="clear" w:color="000000" w:fill="FFFFFF"/>
            <w:noWrap/>
            <w:vAlign w:val="center"/>
            <w:hideMark/>
          </w:tcPr>
          <w:p w14:paraId="15720DAB"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Grab</w:t>
            </w:r>
          </w:p>
        </w:tc>
        <w:tc>
          <w:tcPr>
            <w:tcW w:w="1984" w:type="dxa"/>
            <w:tcBorders>
              <w:top w:val="single" w:sz="4" w:space="0" w:color="auto"/>
            </w:tcBorders>
            <w:shd w:val="clear" w:color="000000" w:fill="FFFFFF"/>
            <w:noWrap/>
            <w:vAlign w:val="center"/>
            <w:hideMark/>
          </w:tcPr>
          <w:p w14:paraId="15720DAC"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-19.4088</w:t>
            </w:r>
          </w:p>
        </w:tc>
        <w:tc>
          <w:tcPr>
            <w:tcW w:w="1843" w:type="dxa"/>
            <w:tcBorders>
              <w:top w:val="single" w:sz="4" w:space="0" w:color="auto"/>
            </w:tcBorders>
            <w:shd w:val="clear" w:color="000000" w:fill="FFFFFF"/>
            <w:noWrap/>
            <w:vAlign w:val="center"/>
            <w:hideMark/>
          </w:tcPr>
          <w:p w14:paraId="15720DAD"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147.2495</w:t>
            </w:r>
          </w:p>
        </w:tc>
      </w:tr>
      <w:tr w:rsidR="0096739F" w:rsidRPr="00580B88" w14:paraId="15720DB4" w14:textId="77777777" w:rsidTr="000D7725">
        <w:trPr>
          <w:trHeight w:val="375"/>
        </w:trPr>
        <w:tc>
          <w:tcPr>
            <w:tcW w:w="1668" w:type="dxa"/>
            <w:vMerge/>
            <w:tcBorders>
              <w:top w:val="nil"/>
            </w:tcBorders>
            <w:vAlign w:val="center"/>
            <w:hideMark/>
          </w:tcPr>
          <w:p w14:paraId="15720DAF" w14:textId="77777777" w:rsidR="0096739F" w:rsidRPr="00580B88" w:rsidRDefault="0096739F" w:rsidP="009B2AF2">
            <w:pPr>
              <w:jc w:val="center"/>
              <w:rPr>
                <w:rFonts w:eastAsia="Times New Roman" w:cs="Arial"/>
                <w:color w:val="000000"/>
                <w:sz w:val="20"/>
                <w:szCs w:val="20"/>
                <w:lang w:val="en-AU" w:eastAsia="en-AU" w:bidi="ar-SA"/>
              </w:rPr>
            </w:pPr>
          </w:p>
        </w:tc>
        <w:tc>
          <w:tcPr>
            <w:tcW w:w="2976" w:type="dxa"/>
            <w:tcBorders>
              <w:top w:val="nil"/>
            </w:tcBorders>
            <w:shd w:val="clear" w:color="000000" w:fill="FFFFFF"/>
            <w:noWrap/>
            <w:vAlign w:val="center"/>
            <w:hideMark/>
          </w:tcPr>
          <w:p w14:paraId="15720DB0" w14:textId="77777777" w:rsidR="0096739F" w:rsidRPr="00580B88" w:rsidRDefault="0096739F" w:rsidP="000D7725">
            <w:pPr>
              <w:jc w:val="left"/>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Barratta Creek mouth</w:t>
            </w:r>
          </w:p>
        </w:tc>
        <w:tc>
          <w:tcPr>
            <w:tcW w:w="2127" w:type="dxa"/>
            <w:tcBorders>
              <w:top w:val="nil"/>
            </w:tcBorders>
            <w:shd w:val="clear" w:color="000000" w:fill="FFFFFF"/>
            <w:noWrap/>
            <w:vAlign w:val="center"/>
            <w:hideMark/>
          </w:tcPr>
          <w:p w14:paraId="15720DB1"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Passive sampler</w:t>
            </w:r>
          </w:p>
        </w:tc>
        <w:tc>
          <w:tcPr>
            <w:tcW w:w="1984" w:type="dxa"/>
            <w:tcBorders>
              <w:top w:val="nil"/>
            </w:tcBorders>
            <w:shd w:val="clear" w:color="000000" w:fill="FFFFFF"/>
            <w:noWrap/>
            <w:vAlign w:val="center"/>
            <w:hideMark/>
          </w:tcPr>
          <w:p w14:paraId="15720DB2"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-19.4088</w:t>
            </w:r>
          </w:p>
        </w:tc>
        <w:tc>
          <w:tcPr>
            <w:tcW w:w="1843" w:type="dxa"/>
            <w:tcBorders>
              <w:top w:val="nil"/>
            </w:tcBorders>
            <w:shd w:val="clear" w:color="000000" w:fill="FFFFFF"/>
            <w:noWrap/>
            <w:vAlign w:val="center"/>
            <w:hideMark/>
          </w:tcPr>
          <w:p w14:paraId="15720DB3"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147.2495</w:t>
            </w:r>
          </w:p>
        </w:tc>
      </w:tr>
      <w:tr w:rsidR="0096739F" w:rsidRPr="00580B88" w14:paraId="15720DBA" w14:textId="77777777" w:rsidTr="000D7725">
        <w:trPr>
          <w:trHeight w:val="375"/>
        </w:trPr>
        <w:tc>
          <w:tcPr>
            <w:tcW w:w="1668" w:type="dxa"/>
            <w:vMerge/>
            <w:tcBorders>
              <w:top w:val="nil"/>
            </w:tcBorders>
            <w:vAlign w:val="center"/>
            <w:hideMark/>
          </w:tcPr>
          <w:p w14:paraId="15720DB5" w14:textId="77777777" w:rsidR="0096739F" w:rsidRPr="00580B88" w:rsidRDefault="0096739F" w:rsidP="009B2AF2">
            <w:pPr>
              <w:jc w:val="center"/>
              <w:rPr>
                <w:rFonts w:eastAsia="Times New Roman" w:cs="Arial"/>
                <w:color w:val="000000"/>
                <w:sz w:val="20"/>
                <w:szCs w:val="20"/>
                <w:lang w:val="en-AU" w:eastAsia="en-AU" w:bidi="ar-SA"/>
              </w:rPr>
            </w:pPr>
          </w:p>
        </w:tc>
        <w:tc>
          <w:tcPr>
            <w:tcW w:w="2976" w:type="dxa"/>
            <w:tcBorders>
              <w:top w:val="nil"/>
            </w:tcBorders>
            <w:shd w:val="clear" w:color="000000" w:fill="FFFFFF"/>
            <w:noWrap/>
            <w:vAlign w:val="center"/>
            <w:hideMark/>
          </w:tcPr>
          <w:p w14:paraId="15720DB6" w14:textId="3D20F5F7" w:rsidR="0096739F" w:rsidRPr="008F2AFB" w:rsidRDefault="0096739F" w:rsidP="000D7725">
            <w:pPr>
              <w:jc w:val="left"/>
              <w:rPr>
                <w:rFonts w:eastAsia="Times New Roman" w:cs="Arial"/>
                <w:color w:val="000000"/>
                <w:sz w:val="20"/>
                <w:szCs w:val="20"/>
                <w:lang w:val="en-AU" w:eastAsia="en-AU" w:bidi="ar-SA"/>
              </w:rPr>
            </w:pPr>
            <w:r w:rsidRPr="008F2AFB">
              <w:rPr>
                <w:rFonts w:cs="Arial"/>
                <w:color w:val="000000"/>
                <w:sz w:val="20"/>
                <w:szCs w:val="18"/>
                <w:lang w:eastAsia="en-AU"/>
              </w:rPr>
              <w:t xml:space="preserve">Burdekin </w:t>
            </w:r>
            <w:r w:rsidR="00A228EA">
              <w:rPr>
                <w:rFonts w:cs="Arial"/>
                <w:color w:val="000000"/>
                <w:sz w:val="20"/>
                <w:szCs w:val="18"/>
                <w:lang w:eastAsia="en-AU"/>
              </w:rPr>
              <w:t>River m</w:t>
            </w:r>
            <w:r w:rsidR="00A228EA" w:rsidRPr="008F2AFB">
              <w:rPr>
                <w:rFonts w:cs="Arial"/>
                <w:color w:val="000000"/>
                <w:sz w:val="20"/>
                <w:szCs w:val="18"/>
                <w:lang w:eastAsia="en-AU"/>
              </w:rPr>
              <w:t xml:space="preserve">outh </w:t>
            </w:r>
            <w:r w:rsidRPr="008F2AFB">
              <w:rPr>
                <w:rFonts w:cs="Arial"/>
                <w:color w:val="000000"/>
                <w:sz w:val="20"/>
                <w:szCs w:val="18"/>
                <w:lang w:eastAsia="en-AU"/>
              </w:rPr>
              <w:t>2</w:t>
            </w:r>
          </w:p>
        </w:tc>
        <w:tc>
          <w:tcPr>
            <w:tcW w:w="2127" w:type="dxa"/>
            <w:tcBorders>
              <w:top w:val="nil"/>
            </w:tcBorders>
            <w:shd w:val="clear" w:color="000000" w:fill="FFFFFF"/>
            <w:noWrap/>
            <w:vAlign w:val="center"/>
            <w:hideMark/>
          </w:tcPr>
          <w:p w14:paraId="15720DB7"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Grab</w:t>
            </w:r>
          </w:p>
        </w:tc>
        <w:tc>
          <w:tcPr>
            <w:tcW w:w="1984" w:type="dxa"/>
            <w:tcBorders>
              <w:top w:val="nil"/>
            </w:tcBorders>
            <w:shd w:val="clear" w:color="000000" w:fill="FFFFFF"/>
            <w:noWrap/>
            <w:vAlign w:val="center"/>
            <w:hideMark/>
          </w:tcPr>
          <w:p w14:paraId="15720DB8"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-19.6366</w:t>
            </w:r>
          </w:p>
        </w:tc>
        <w:tc>
          <w:tcPr>
            <w:tcW w:w="1843" w:type="dxa"/>
            <w:tcBorders>
              <w:top w:val="nil"/>
            </w:tcBorders>
            <w:shd w:val="clear" w:color="000000" w:fill="FFFFFF"/>
            <w:noWrap/>
            <w:vAlign w:val="center"/>
            <w:hideMark/>
          </w:tcPr>
          <w:p w14:paraId="15720DB9"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147.5973</w:t>
            </w:r>
          </w:p>
        </w:tc>
      </w:tr>
      <w:tr w:rsidR="0096739F" w:rsidRPr="00580B88" w14:paraId="15720DC0" w14:textId="77777777" w:rsidTr="000D7725">
        <w:trPr>
          <w:trHeight w:val="375"/>
        </w:trPr>
        <w:tc>
          <w:tcPr>
            <w:tcW w:w="1668" w:type="dxa"/>
            <w:vMerge/>
            <w:tcBorders>
              <w:top w:val="nil"/>
            </w:tcBorders>
            <w:vAlign w:val="center"/>
            <w:hideMark/>
          </w:tcPr>
          <w:p w14:paraId="15720DBB" w14:textId="77777777" w:rsidR="0096739F" w:rsidRPr="00580B88" w:rsidRDefault="0096739F" w:rsidP="009B2AF2">
            <w:pPr>
              <w:jc w:val="center"/>
              <w:rPr>
                <w:rFonts w:eastAsia="Times New Roman" w:cs="Arial"/>
                <w:color w:val="000000"/>
                <w:sz w:val="20"/>
                <w:szCs w:val="20"/>
                <w:lang w:val="en-AU" w:eastAsia="en-AU" w:bidi="ar-SA"/>
              </w:rPr>
            </w:pPr>
          </w:p>
        </w:tc>
        <w:tc>
          <w:tcPr>
            <w:tcW w:w="2976" w:type="dxa"/>
            <w:tcBorders>
              <w:top w:val="nil"/>
            </w:tcBorders>
            <w:shd w:val="clear" w:color="000000" w:fill="FFFFFF"/>
            <w:noWrap/>
            <w:vAlign w:val="center"/>
            <w:hideMark/>
          </w:tcPr>
          <w:p w14:paraId="15720DBC" w14:textId="4584D151" w:rsidR="0096739F" w:rsidRPr="008F2AFB" w:rsidRDefault="0096739F" w:rsidP="000D7725">
            <w:pPr>
              <w:jc w:val="left"/>
              <w:rPr>
                <w:rFonts w:eastAsia="Times New Roman" w:cs="Arial"/>
                <w:color w:val="000000"/>
                <w:sz w:val="20"/>
                <w:szCs w:val="20"/>
                <w:lang w:val="en-AU" w:eastAsia="en-AU" w:bidi="ar-SA"/>
              </w:rPr>
            </w:pPr>
            <w:r w:rsidRPr="008F2AFB">
              <w:rPr>
                <w:rFonts w:cs="Arial"/>
                <w:color w:val="000000"/>
                <w:sz w:val="20"/>
                <w:szCs w:val="18"/>
                <w:lang w:eastAsia="en-AU"/>
              </w:rPr>
              <w:t xml:space="preserve">Burdekin </w:t>
            </w:r>
            <w:r w:rsidR="00A228EA">
              <w:rPr>
                <w:rFonts w:cs="Arial"/>
                <w:color w:val="000000"/>
                <w:sz w:val="20"/>
                <w:szCs w:val="18"/>
                <w:lang w:eastAsia="en-AU"/>
              </w:rPr>
              <w:t>River m</w:t>
            </w:r>
            <w:r w:rsidR="00A228EA" w:rsidRPr="008F2AFB">
              <w:rPr>
                <w:rFonts w:cs="Arial"/>
                <w:color w:val="000000"/>
                <w:sz w:val="20"/>
                <w:szCs w:val="18"/>
                <w:lang w:eastAsia="en-AU"/>
              </w:rPr>
              <w:t xml:space="preserve">outh </w:t>
            </w:r>
            <w:r w:rsidRPr="008F2AFB">
              <w:rPr>
                <w:rFonts w:cs="Arial"/>
                <w:color w:val="000000"/>
                <w:sz w:val="20"/>
                <w:szCs w:val="18"/>
                <w:lang w:eastAsia="en-AU"/>
              </w:rPr>
              <w:t>3</w:t>
            </w:r>
          </w:p>
        </w:tc>
        <w:tc>
          <w:tcPr>
            <w:tcW w:w="2127" w:type="dxa"/>
            <w:tcBorders>
              <w:top w:val="nil"/>
            </w:tcBorders>
            <w:shd w:val="clear" w:color="000000" w:fill="FFFFFF"/>
            <w:noWrap/>
            <w:vAlign w:val="center"/>
            <w:hideMark/>
          </w:tcPr>
          <w:p w14:paraId="15720DBD"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Grab</w:t>
            </w:r>
          </w:p>
        </w:tc>
        <w:tc>
          <w:tcPr>
            <w:tcW w:w="1984" w:type="dxa"/>
            <w:tcBorders>
              <w:top w:val="nil"/>
            </w:tcBorders>
            <w:shd w:val="clear" w:color="000000" w:fill="FFFFFF"/>
            <w:noWrap/>
            <w:vAlign w:val="center"/>
            <w:hideMark/>
          </w:tcPr>
          <w:p w14:paraId="15720DBE"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-19.7185</w:t>
            </w:r>
          </w:p>
        </w:tc>
        <w:tc>
          <w:tcPr>
            <w:tcW w:w="1843" w:type="dxa"/>
            <w:tcBorders>
              <w:top w:val="nil"/>
            </w:tcBorders>
            <w:shd w:val="clear" w:color="000000" w:fill="FFFFFF"/>
            <w:noWrap/>
            <w:vAlign w:val="center"/>
            <w:hideMark/>
          </w:tcPr>
          <w:p w14:paraId="15720DBF"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147.6226</w:t>
            </w:r>
          </w:p>
        </w:tc>
      </w:tr>
      <w:tr w:rsidR="0096739F" w:rsidRPr="00580B88" w14:paraId="15720DC6" w14:textId="77777777" w:rsidTr="000D7725">
        <w:trPr>
          <w:trHeight w:val="375"/>
        </w:trPr>
        <w:tc>
          <w:tcPr>
            <w:tcW w:w="1668" w:type="dxa"/>
            <w:vMerge/>
            <w:tcBorders>
              <w:top w:val="nil"/>
              <w:bottom w:val="single" w:sz="4" w:space="0" w:color="auto"/>
            </w:tcBorders>
            <w:vAlign w:val="center"/>
            <w:hideMark/>
          </w:tcPr>
          <w:p w14:paraId="15720DC1" w14:textId="77777777" w:rsidR="0096739F" w:rsidRPr="00580B88" w:rsidRDefault="0096739F" w:rsidP="009B2AF2">
            <w:pPr>
              <w:jc w:val="center"/>
              <w:rPr>
                <w:rFonts w:eastAsia="Times New Roman" w:cs="Arial"/>
                <w:color w:val="000000"/>
                <w:sz w:val="20"/>
                <w:szCs w:val="20"/>
                <w:lang w:val="en-AU" w:eastAsia="en-AU" w:bidi="ar-SA"/>
              </w:rPr>
            </w:pPr>
          </w:p>
        </w:tc>
        <w:tc>
          <w:tcPr>
            <w:tcW w:w="2976" w:type="dxa"/>
            <w:tcBorders>
              <w:top w:val="nil"/>
              <w:bottom w:val="single" w:sz="4" w:space="0" w:color="auto"/>
            </w:tcBorders>
            <w:shd w:val="clear" w:color="auto" w:fill="auto"/>
            <w:noWrap/>
            <w:vAlign w:val="center"/>
            <w:hideMark/>
          </w:tcPr>
          <w:p w14:paraId="15720DC2" w14:textId="77777777" w:rsidR="0096739F" w:rsidRPr="00580B88" w:rsidRDefault="0096739F" w:rsidP="000D7725">
            <w:pPr>
              <w:jc w:val="left"/>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Burdekin River mouth</w:t>
            </w:r>
            <w:r>
              <w:rPr>
                <w:rFonts w:eastAsia="Times New Roman" w:cs="Arial"/>
                <w:color w:val="000000"/>
                <w:sz w:val="20"/>
                <w:szCs w:val="20"/>
                <w:lang w:val="en-AU" w:eastAsia="en-AU" w:bidi="ar-SA"/>
              </w:rPr>
              <w:t xml:space="preserve"> mooring</w:t>
            </w:r>
          </w:p>
        </w:tc>
        <w:tc>
          <w:tcPr>
            <w:tcW w:w="2127" w:type="dxa"/>
            <w:tcBorders>
              <w:top w:val="nil"/>
              <w:bottom w:val="single" w:sz="4" w:space="0" w:color="auto"/>
            </w:tcBorders>
            <w:shd w:val="clear" w:color="auto" w:fill="auto"/>
            <w:noWrap/>
            <w:vAlign w:val="center"/>
            <w:hideMark/>
          </w:tcPr>
          <w:p w14:paraId="15720DC3"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Grab</w:t>
            </w:r>
          </w:p>
        </w:tc>
        <w:tc>
          <w:tcPr>
            <w:tcW w:w="1984" w:type="dxa"/>
            <w:tcBorders>
              <w:top w:val="nil"/>
              <w:bottom w:val="single" w:sz="4" w:space="0" w:color="auto"/>
            </w:tcBorders>
            <w:shd w:val="clear" w:color="auto" w:fill="auto"/>
            <w:noWrap/>
            <w:vAlign w:val="center"/>
            <w:hideMark/>
          </w:tcPr>
          <w:p w14:paraId="15720DC4"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-19.6440</w:t>
            </w:r>
          </w:p>
        </w:tc>
        <w:tc>
          <w:tcPr>
            <w:tcW w:w="1843" w:type="dxa"/>
            <w:tcBorders>
              <w:top w:val="nil"/>
              <w:bottom w:val="single" w:sz="4" w:space="0" w:color="auto"/>
            </w:tcBorders>
            <w:shd w:val="clear" w:color="auto" w:fill="auto"/>
            <w:noWrap/>
            <w:vAlign w:val="center"/>
            <w:hideMark/>
          </w:tcPr>
          <w:p w14:paraId="15720DC5" w14:textId="77777777" w:rsidR="0096739F" w:rsidRPr="00580B88" w:rsidRDefault="0096739F" w:rsidP="009B2AF2">
            <w:pPr>
              <w:jc w:val="center"/>
              <w:rPr>
                <w:rFonts w:eastAsia="Times New Roman" w:cs="Arial"/>
                <w:color w:val="000000"/>
                <w:sz w:val="20"/>
                <w:szCs w:val="20"/>
                <w:lang w:val="en-AU" w:eastAsia="en-AU" w:bidi="ar-SA"/>
              </w:rPr>
            </w:pPr>
            <w:r w:rsidRPr="00580B88">
              <w:rPr>
                <w:rFonts w:eastAsia="Times New Roman" w:cs="Arial"/>
                <w:color w:val="000000"/>
                <w:sz w:val="20"/>
                <w:szCs w:val="20"/>
                <w:lang w:val="en-AU" w:eastAsia="en-AU" w:bidi="ar-SA"/>
              </w:rPr>
              <w:t>147.6068</w:t>
            </w:r>
          </w:p>
        </w:tc>
      </w:tr>
    </w:tbl>
    <w:p w14:paraId="15720DC7" w14:textId="77777777" w:rsidR="00883FD5" w:rsidRDefault="0026178F" w:rsidP="00883FD5">
      <w:pPr>
        <w:pStyle w:val="Caption"/>
        <w:spacing w:after="60"/>
        <w:jc w:val="center"/>
        <w:rPr>
          <w:b w:val="0"/>
        </w:rPr>
      </w:pPr>
      <w:bookmarkStart w:id="43" w:name="_Ref474319413"/>
      <w:r>
        <w:rPr>
          <w:b w:val="0"/>
          <w:noProof/>
          <w:lang w:val="en-AU" w:eastAsia="en-AU" w:bidi="ar-SA"/>
        </w:rPr>
        <w:drawing>
          <wp:inline distT="0" distB="0" distL="0" distR="0" wp14:anchorId="15721A53" wp14:editId="214B8558">
            <wp:extent cx="5961380" cy="8523912"/>
            <wp:effectExtent l="0" t="0" r="1270" b="0"/>
            <wp:docPr id="291" name="Picture 291" descr="Figure 2: Locations of grab (flood plume monitoring) and passive samplers (fixed monitoring) collected on the (A) Russell-Mulgrave River transect, (B) Tully River transect, and (C) Barratta Creek/Burdekin River region. Sampling sites are overlaid on a colour-scale representing the frequency of flood plumes for 2003-2016. The water quality/coral/seagrass sites relate to other MMP program monitoring sites (see (McKenzie et al., 2017, Thompson et al., 2017, Waterhouse et al., 2017b).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63454" cy="8526877"/>
                    </a:xfrm>
                    <a:prstGeom prst="rect">
                      <a:avLst/>
                    </a:prstGeom>
                    <a:noFill/>
                  </pic:spPr>
                </pic:pic>
              </a:graphicData>
            </a:graphic>
          </wp:inline>
        </w:drawing>
      </w:r>
    </w:p>
    <w:p w14:paraId="15720DC8" w14:textId="4815DC9C" w:rsidR="007E597B" w:rsidRPr="00747824" w:rsidRDefault="007E597B" w:rsidP="007E597B">
      <w:pPr>
        <w:pStyle w:val="Caption"/>
        <w:rPr>
          <w:b w:val="0"/>
        </w:rPr>
      </w:pPr>
      <w:bookmarkStart w:id="44" w:name="_Ref480731514"/>
      <w:bookmarkStart w:id="45" w:name="_Toc502499932"/>
      <w:r w:rsidRPr="00A43338">
        <w:rPr>
          <w:b w:val="0"/>
        </w:rPr>
        <w:t xml:space="preserve">Figure </w:t>
      </w:r>
      <w:r w:rsidR="00C91BF5" w:rsidRPr="00A43338">
        <w:rPr>
          <w:b w:val="0"/>
        </w:rPr>
        <w:fldChar w:fldCharType="begin"/>
      </w:r>
      <w:r w:rsidRPr="00A43338">
        <w:rPr>
          <w:b w:val="0"/>
        </w:rPr>
        <w:instrText xml:space="preserve"> SEQ Figure \* ARABIC </w:instrText>
      </w:r>
      <w:r w:rsidR="00C91BF5" w:rsidRPr="00A43338">
        <w:rPr>
          <w:b w:val="0"/>
        </w:rPr>
        <w:fldChar w:fldCharType="separate"/>
      </w:r>
      <w:r w:rsidR="00D12276">
        <w:rPr>
          <w:b w:val="0"/>
          <w:noProof/>
        </w:rPr>
        <w:t>2</w:t>
      </w:r>
      <w:r w:rsidR="00C91BF5" w:rsidRPr="00A43338">
        <w:rPr>
          <w:b w:val="0"/>
        </w:rPr>
        <w:fldChar w:fldCharType="end"/>
      </w:r>
      <w:bookmarkEnd w:id="44"/>
      <w:r w:rsidRPr="00A43338">
        <w:rPr>
          <w:b w:val="0"/>
        </w:rPr>
        <w:t>:</w:t>
      </w:r>
      <w:r w:rsidRPr="00747824">
        <w:t xml:space="preserve"> </w:t>
      </w:r>
      <w:r w:rsidRPr="00747824">
        <w:rPr>
          <w:b w:val="0"/>
        </w:rPr>
        <w:t xml:space="preserve">Locations of grab </w:t>
      </w:r>
      <w:r w:rsidR="00A228EA">
        <w:rPr>
          <w:b w:val="0"/>
        </w:rPr>
        <w:t xml:space="preserve">(flood plume monitoring) </w:t>
      </w:r>
      <w:r w:rsidRPr="00747824">
        <w:rPr>
          <w:b w:val="0"/>
        </w:rPr>
        <w:t xml:space="preserve">and passive samplers </w:t>
      </w:r>
      <w:r w:rsidR="00A228EA">
        <w:rPr>
          <w:b w:val="0"/>
        </w:rPr>
        <w:t xml:space="preserve">(fixed monitoring) </w:t>
      </w:r>
      <w:r w:rsidRPr="00747824">
        <w:rPr>
          <w:b w:val="0"/>
        </w:rPr>
        <w:t xml:space="preserve">collected on the </w:t>
      </w:r>
      <w:r>
        <w:rPr>
          <w:b w:val="0"/>
        </w:rPr>
        <w:t xml:space="preserve">(A) </w:t>
      </w:r>
      <w:r w:rsidRPr="00747824">
        <w:rPr>
          <w:b w:val="0"/>
        </w:rPr>
        <w:t>R</w:t>
      </w:r>
      <w:r>
        <w:rPr>
          <w:b w:val="0"/>
        </w:rPr>
        <w:t>ussell-Mulgrave River transect,</w:t>
      </w:r>
      <w:r w:rsidRPr="00747824">
        <w:rPr>
          <w:b w:val="0"/>
        </w:rPr>
        <w:t xml:space="preserve"> </w:t>
      </w:r>
      <w:r>
        <w:rPr>
          <w:b w:val="0"/>
        </w:rPr>
        <w:t>(B) Tully River transect,</w:t>
      </w:r>
      <w:r w:rsidR="0026178F">
        <w:rPr>
          <w:b w:val="0"/>
        </w:rPr>
        <w:t xml:space="preserve"> and</w:t>
      </w:r>
      <w:r>
        <w:rPr>
          <w:b w:val="0"/>
        </w:rPr>
        <w:t xml:space="preserve"> (C) </w:t>
      </w:r>
      <w:r w:rsidR="00030BBA">
        <w:rPr>
          <w:b w:val="0"/>
        </w:rPr>
        <w:t>Barratta Creek/Burdekin River region</w:t>
      </w:r>
      <w:r w:rsidR="00A228EA">
        <w:rPr>
          <w:b w:val="0"/>
        </w:rPr>
        <w:t>.</w:t>
      </w:r>
      <w:r>
        <w:rPr>
          <w:b w:val="0"/>
        </w:rPr>
        <w:t xml:space="preserve"> Sampling sites are overlaid on</w:t>
      </w:r>
      <w:r w:rsidRPr="00747824">
        <w:rPr>
          <w:b w:val="0"/>
        </w:rPr>
        <w:t xml:space="preserve"> </w:t>
      </w:r>
      <w:r w:rsidR="008740BA">
        <w:rPr>
          <w:b w:val="0"/>
        </w:rPr>
        <w:t>a</w:t>
      </w:r>
      <w:r w:rsidR="008740BA" w:rsidRPr="00747824">
        <w:rPr>
          <w:b w:val="0"/>
        </w:rPr>
        <w:t xml:space="preserve"> </w:t>
      </w:r>
      <w:r w:rsidR="008740BA">
        <w:rPr>
          <w:b w:val="0"/>
        </w:rPr>
        <w:t xml:space="preserve">colour-scale representing the </w:t>
      </w:r>
      <w:r w:rsidRPr="00747824">
        <w:rPr>
          <w:b w:val="0"/>
        </w:rPr>
        <w:t xml:space="preserve">frequency of flood plumes </w:t>
      </w:r>
      <w:r>
        <w:rPr>
          <w:b w:val="0"/>
        </w:rPr>
        <w:t>for 2003-2016</w:t>
      </w:r>
      <w:r w:rsidRPr="00747824">
        <w:rPr>
          <w:b w:val="0"/>
        </w:rPr>
        <w:t xml:space="preserve">. </w:t>
      </w:r>
      <w:r w:rsidR="00080088">
        <w:rPr>
          <w:b w:val="0"/>
        </w:rPr>
        <w:t xml:space="preserve">The water quality/coral/seagrass sites relate to other MMP program monitoring sites (see </w:t>
      </w:r>
      <w:r w:rsidR="00080088">
        <w:rPr>
          <w:b w:val="0"/>
        </w:rPr>
        <w:fldChar w:fldCharType="begin">
          <w:fldData xml:space="preserve">PEVuZE5vdGU+PENpdGU+PEF1dGhvcj5NY0tlbnppZTwvQXV0aG9yPjxZZWFyPjIwMTc8L1llYXI+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</w:fldData>
        </w:fldChar>
      </w:r>
      <w:r w:rsidR="00216883">
        <w:rPr>
          <w:b w:val="0"/>
        </w:rPr>
        <w:instrText xml:space="preserve"> ADDIN EN.CITE </w:instrText>
      </w:r>
      <w:r w:rsidR="00216883">
        <w:rPr>
          <w:b w:val="0"/>
        </w:rPr>
        <w:fldChar w:fldCharType="begin">
          <w:fldData xml:space="preserve">PEVuZE5vdGU+PENpdGU+PEF1dGhvcj5NY0tlbnppZTwvQXV0aG9yPjxZZWFyPjIwMTc8L1llYXI+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</w:fldData>
        </w:fldChar>
      </w:r>
      <w:r w:rsidR="00216883">
        <w:rPr>
          <w:b w:val="0"/>
        </w:rPr>
        <w:instrText xml:space="preserve"> ADDIN EN.CITE.DATA </w:instrText>
      </w:r>
      <w:r w:rsidR="00216883">
        <w:rPr>
          <w:b w:val="0"/>
        </w:rPr>
      </w:r>
      <w:r w:rsidR="00216883">
        <w:rPr>
          <w:b w:val="0"/>
        </w:rPr>
        <w:fldChar w:fldCharType="end"/>
      </w:r>
      <w:r w:rsidR="00080088">
        <w:rPr>
          <w:b w:val="0"/>
        </w:rPr>
      </w:r>
      <w:r w:rsidR="00080088">
        <w:rPr>
          <w:b w:val="0"/>
        </w:rPr>
        <w:fldChar w:fldCharType="separate"/>
      </w:r>
      <w:r w:rsidR="00216883">
        <w:rPr>
          <w:b w:val="0"/>
          <w:noProof/>
        </w:rPr>
        <w:t>(McKenzie et al., 2017, Thompson et al., 2017, Waterhouse et al., 2017b)</w:t>
      </w:r>
      <w:r w:rsidR="00080088">
        <w:rPr>
          <w:b w:val="0"/>
        </w:rPr>
        <w:fldChar w:fldCharType="end"/>
      </w:r>
      <w:r w:rsidR="00080088">
        <w:rPr>
          <w:b w:val="0"/>
        </w:rPr>
        <w:t xml:space="preserve">. </w:t>
      </w:r>
      <w:r w:rsidRPr="00747824">
        <w:rPr>
          <w:b w:val="0"/>
        </w:rPr>
        <w:t>Maps provided by Dieter Tracey, James Cook University</w:t>
      </w:r>
      <w:r w:rsidR="0023161A">
        <w:rPr>
          <w:b w:val="0"/>
        </w:rPr>
        <w:t xml:space="preserve"> (JCU)</w:t>
      </w:r>
      <w:r w:rsidR="00A228EA">
        <w:rPr>
          <w:b w:val="0"/>
        </w:rPr>
        <w:t>.</w:t>
      </w:r>
      <w:bookmarkEnd w:id="45"/>
    </w:p>
    <w:p w14:paraId="15720DCA" w14:textId="77777777" w:rsidR="003B6560" w:rsidRDefault="003B6560" w:rsidP="00220439">
      <w:pPr>
        <w:pStyle w:val="Heading2"/>
        <w:keepNext/>
        <w:keepLines/>
        <w:numPr>
          <w:ilvl w:val="1"/>
          <w:numId w:val="1"/>
        </w:numPr>
        <w:pBdr>
          <w:bottom w:val="none" w:sz="0" w:space="0" w:color="auto"/>
        </w:pBdr>
        <w:spacing w:before="240" w:after="120"/>
        <w:rPr>
          <w:bCs/>
          <w:sz w:val="26"/>
          <w:szCs w:val="26"/>
          <w:lang w:val="en-AU" w:eastAsia="en-US" w:bidi="ar-SA"/>
        </w:rPr>
      </w:pPr>
      <w:bookmarkStart w:id="46" w:name="_Toc455069240"/>
      <w:bookmarkStart w:id="47" w:name="_Toc455069890"/>
      <w:bookmarkStart w:id="48" w:name="_Toc455070162"/>
      <w:bookmarkStart w:id="49" w:name="_Toc455151559"/>
      <w:bookmarkStart w:id="50" w:name="_Toc455069242"/>
      <w:bookmarkStart w:id="51" w:name="_Toc455069892"/>
      <w:bookmarkStart w:id="52" w:name="_Toc455070164"/>
      <w:bookmarkStart w:id="53" w:name="_Toc455151561"/>
      <w:bookmarkStart w:id="54" w:name="_Toc455069259"/>
      <w:bookmarkStart w:id="55" w:name="_Toc455069909"/>
      <w:bookmarkStart w:id="56" w:name="_Toc455070181"/>
      <w:bookmarkStart w:id="57" w:name="_Toc455151578"/>
      <w:bookmarkStart w:id="58" w:name="_Toc406329891"/>
      <w:bookmarkStart w:id="59" w:name="_Toc406329985"/>
      <w:bookmarkStart w:id="60" w:name="_Toc406770613"/>
      <w:bookmarkStart w:id="61" w:name="_Toc406329892"/>
      <w:bookmarkStart w:id="62" w:name="_Toc406329986"/>
      <w:bookmarkStart w:id="63" w:name="_Toc406770614"/>
      <w:bookmarkStart w:id="64" w:name="_Toc406329893"/>
      <w:bookmarkStart w:id="65" w:name="_Toc406329987"/>
      <w:bookmarkStart w:id="66" w:name="_Toc406770615"/>
      <w:bookmarkStart w:id="67" w:name="_Toc405835394"/>
      <w:bookmarkStart w:id="68" w:name="_Toc406329894"/>
      <w:bookmarkStart w:id="69" w:name="_Toc406329988"/>
      <w:bookmarkStart w:id="70" w:name="_Toc406770616"/>
      <w:bookmarkStart w:id="71" w:name="_Toc405835395"/>
      <w:bookmarkStart w:id="72" w:name="_Toc406329895"/>
      <w:bookmarkStart w:id="73" w:name="_Toc406329989"/>
      <w:bookmarkStart w:id="74" w:name="_Toc406770617"/>
      <w:bookmarkStart w:id="75" w:name="_Toc405835396"/>
      <w:bookmarkStart w:id="76" w:name="_Toc406329896"/>
      <w:bookmarkStart w:id="77" w:name="_Toc406329990"/>
      <w:bookmarkStart w:id="78" w:name="_Toc406770618"/>
      <w:bookmarkStart w:id="79" w:name="_Toc405835397"/>
      <w:bookmarkStart w:id="80" w:name="_Toc406329897"/>
      <w:bookmarkStart w:id="81" w:name="_Toc406329991"/>
      <w:bookmarkStart w:id="82" w:name="_Toc406770619"/>
      <w:bookmarkStart w:id="83" w:name="_Toc405835398"/>
      <w:bookmarkStart w:id="84" w:name="_Toc406329898"/>
      <w:bookmarkStart w:id="85" w:name="_Toc406329992"/>
      <w:bookmarkStart w:id="86" w:name="_Toc406770620"/>
      <w:bookmarkStart w:id="87" w:name="_Toc347908766"/>
      <w:bookmarkStart w:id="88" w:name="_Toc347908865"/>
      <w:bookmarkStart w:id="89" w:name="_Toc347908954"/>
      <w:bookmarkStart w:id="90" w:name="_Toc502499990"/>
      <w:bookmarkStart w:id="91" w:name="_Toc461457755"/>
      <w:bookmarkEnd w:id="43"/>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r>
        <w:rPr>
          <w:bCs/>
          <w:sz w:val="26"/>
          <w:szCs w:val="26"/>
          <w:lang w:val="en-AU" w:eastAsia="en-US" w:bidi="ar-SA"/>
        </w:rPr>
        <w:t xml:space="preserve">Sampling </w:t>
      </w:r>
      <w:r w:rsidR="003F7121">
        <w:rPr>
          <w:bCs/>
          <w:sz w:val="26"/>
          <w:szCs w:val="26"/>
          <w:lang w:val="en-AU" w:eastAsia="en-US" w:bidi="ar-SA"/>
        </w:rPr>
        <w:t>approaches</w:t>
      </w:r>
      <w:bookmarkEnd w:id="90"/>
    </w:p>
    <w:p w14:paraId="15720DCB" w14:textId="4B9704EA" w:rsidR="0006041C" w:rsidRPr="0006041C" w:rsidRDefault="0006041C" w:rsidP="0006041C">
      <w:pPr>
        <w:spacing w:line="276" w:lineRule="auto"/>
        <w:rPr>
          <w:lang w:val="en-AU" w:bidi="ar-SA"/>
        </w:rPr>
      </w:pPr>
      <w:r>
        <w:rPr>
          <w:lang w:val="en-AU" w:bidi="ar-SA"/>
        </w:rPr>
        <w:t xml:space="preserve">Full details of the techniques for passive and grab sampling are given in </w:t>
      </w:r>
      <w:r w:rsidRPr="005F48EA">
        <w:rPr>
          <w:lang w:val="en-AU"/>
        </w:rPr>
        <w:t xml:space="preserve">the </w:t>
      </w:r>
      <w:r w:rsidRPr="003F4EDD">
        <w:rPr>
          <w:i/>
          <w:lang w:val="en-AU"/>
        </w:rPr>
        <w:t>Ma</w:t>
      </w:r>
      <w:r w:rsidRPr="00214F05">
        <w:rPr>
          <w:i/>
          <w:lang w:val="en-AU"/>
        </w:rPr>
        <w:t>rine monitoring program quality assurance and quality control manual 201</w:t>
      </w:r>
      <w:r>
        <w:rPr>
          <w:i/>
          <w:lang w:val="en-AU"/>
        </w:rPr>
        <w:t>5</w:t>
      </w:r>
      <w:r w:rsidRPr="00214F05">
        <w:rPr>
          <w:i/>
          <w:lang w:val="en-AU"/>
        </w:rPr>
        <w:t>/201</w:t>
      </w:r>
      <w:r>
        <w:rPr>
          <w:i/>
          <w:lang w:val="en-AU"/>
        </w:rPr>
        <w:t xml:space="preserve">6 </w:t>
      </w:r>
      <w:r w:rsidR="00C91BF5" w:rsidRPr="00610CA4">
        <w:rPr>
          <w:lang w:val="en-AU"/>
        </w:rPr>
        <w:fldChar w:fldCharType="begin"/>
      </w:r>
      <w:r w:rsidR="009D4492">
        <w:rPr>
          <w:lang w:val="en-AU"/>
        </w:rPr>
        <w:instrText xml:space="preserve"> ADDIN EN.CITE &lt;EndNote&gt;&lt;Cite&gt;&lt;Author&gt;GBRMPA&lt;/Author&gt;&lt;Year&gt;2016&lt;/Year&gt;&lt;RecNum&gt;15&lt;/RecNum&gt;&lt;DisplayText&gt;(GBRMPA, 2016)&lt;/DisplayText&gt;&lt;record&gt;&lt;rec-number&gt;15&lt;/rec-number&gt;&lt;foreign-keys&gt;&lt;key app="EN" db-id="vvtrt2pt4xpx5teta99vvtwg50vzve2aexae" timestamp="1493157343"&gt;15&lt;/key&gt;&lt;/foreign-keys&gt;&lt;ref-type name="Report"&gt;27&lt;/ref-type&gt;&lt;contributors&gt;&lt;authors&gt;&lt;author&gt;GBRMPA,&lt;/author&gt;&lt;/authors&gt;&lt;/contributors&gt;&lt;titles&gt;&lt;title&gt;Marine Monitoring Program: Quality Assurance and Quality Control Manual 2015-2016&lt;/title&gt;&lt;/titles&gt;&lt;dates&gt;&lt;year&gt;2016&lt;/year&gt;&lt;/dates&gt;&lt;pub-location&gt;Townsville&lt;/pub-location&gt;&lt;publisher&gt;Great Barrier Reef Marine Park Authority&lt;/publisher&gt;&lt;urls&gt;&lt;/urls&gt;&lt;/record&gt;&lt;/Cite&gt;&lt;/EndNote&gt;</w:instrText>
      </w:r>
      <w:r w:rsidR="00C91BF5" w:rsidRPr="00610CA4">
        <w:rPr>
          <w:lang w:val="en-AU"/>
        </w:rPr>
        <w:fldChar w:fldCharType="separate"/>
      </w:r>
      <w:r w:rsidR="009D4492">
        <w:rPr>
          <w:noProof/>
          <w:lang w:val="en-AU"/>
        </w:rPr>
        <w:t>(GBRMPA, 2016)</w:t>
      </w:r>
      <w:r w:rsidR="00C91BF5" w:rsidRPr="00610CA4">
        <w:rPr>
          <w:lang w:val="en-AU"/>
        </w:rPr>
        <w:fldChar w:fldCharType="end"/>
      </w:r>
      <w:r>
        <w:rPr>
          <w:lang w:val="en-AU"/>
        </w:rPr>
        <w:t>. An overview of the sampling periods and types of samples collected is given below.</w:t>
      </w:r>
    </w:p>
    <w:p w14:paraId="15720DCC" w14:textId="33D83577" w:rsidR="0006041C" w:rsidRPr="0006041C" w:rsidRDefault="003B6560" w:rsidP="00220439">
      <w:pPr>
        <w:pStyle w:val="Heading30"/>
        <w:numPr>
          <w:ilvl w:val="2"/>
          <w:numId w:val="1"/>
        </w:numPr>
      </w:pPr>
      <w:bookmarkStart w:id="92" w:name="_Toc502499991"/>
      <w:bookmarkEnd w:id="91"/>
      <w:r w:rsidRPr="003B6560">
        <w:t>Passive sampling</w:t>
      </w:r>
      <w:r w:rsidR="004A66EE">
        <w:t xml:space="preserve"> (fixed monitoring sites</w:t>
      </w:r>
      <w:r w:rsidR="008740BA">
        <w:t>)</w:t>
      </w:r>
      <w:r w:rsidR="00A43338">
        <w:t xml:space="preserve"> </w:t>
      </w:r>
      <w:r w:rsidRPr="003B6560">
        <w:t>to establish long</w:t>
      </w:r>
      <w:r w:rsidR="008740BA">
        <w:t>-</w:t>
      </w:r>
      <w:r w:rsidRPr="003B6560">
        <w:t>term trends</w:t>
      </w:r>
      <w:bookmarkEnd w:id="92"/>
    </w:p>
    <w:p w14:paraId="15720DCD" w14:textId="5AEDCBFA" w:rsidR="0059608E" w:rsidRDefault="00C36509" w:rsidP="00A7757C">
      <w:pPr>
        <w:spacing w:line="276" w:lineRule="auto"/>
        <w:rPr>
          <w:lang w:val="en-AU" w:eastAsia="en-AU"/>
        </w:rPr>
      </w:pPr>
      <w:r>
        <w:rPr>
          <w:lang w:val="en-AU" w:eastAsia="en-AU"/>
        </w:rPr>
        <w:t>P</w:t>
      </w:r>
      <w:r w:rsidR="0059608E" w:rsidRPr="008C1D6A">
        <w:rPr>
          <w:lang w:val="en-AU" w:eastAsia="en-AU"/>
        </w:rPr>
        <w:t xml:space="preserve">esticide </w:t>
      </w:r>
      <w:r w:rsidR="0059608E">
        <w:rPr>
          <w:lang w:val="en-AU" w:eastAsia="en-AU"/>
        </w:rPr>
        <w:t xml:space="preserve">monitoring at fixed </w:t>
      </w:r>
      <w:r w:rsidR="00A43338">
        <w:rPr>
          <w:lang w:val="en-AU" w:eastAsia="en-AU"/>
        </w:rPr>
        <w:t xml:space="preserve">monitoring </w:t>
      </w:r>
      <w:r w:rsidR="0059608E">
        <w:rPr>
          <w:lang w:val="en-AU" w:eastAsia="en-AU"/>
        </w:rPr>
        <w:t>sites</w:t>
      </w:r>
      <w:r w:rsidR="0059608E" w:rsidRPr="008C1D6A">
        <w:rPr>
          <w:lang w:val="en-AU" w:eastAsia="en-AU"/>
        </w:rPr>
        <w:t xml:space="preserve"> is </w:t>
      </w:r>
      <w:r>
        <w:rPr>
          <w:lang w:val="en-AU" w:eastAsia="en-AU"/>
        </w:rPr>
        <w:t xml:space="preserve">reported for the year to </w:t>
      </w:r>
      <w:r w:rsidR="009B2AF2">
        <w:rPr>
          <w:lang w:val="en-AU" w:eastAsia="en-AU"/>
        </w:rPr>
        <w:t>30</w:t>
      </w:r>
      <w:r>
        <w:rPr>
          <w:lang w:val="en-AU" w:eastAsia="en-AU"/>
        </w:rPr>
        <w:t xml:space="preserve"> </w:t>
      </w:r>
      <w:r w:rsidR="004438CF">
        <w:rPr>
          <w:lang w:val="en-AU" w:eastAsia="en-AU"/>
        </w:rPr>
        <w:t>April</w:t>
      </w:r>
      <w:r>
        <w:rPr>
          <w:lang w:val="en-AU" w:eastAsia="en-AU"/>
        </w:rPr>
        <w:t xml:space="preserve"> </w:t>
      </w:r>
      <w:r w:rsidR="0059608E" w:rsidRPr="008C1D6A">
        <w:rPr>
          <w:lang w:val="en-AU" w:eastAsia="en-AU"/>
        </w:rPr>
        <w:t>201</w:t>
      </w:r>
      <w:r w:rsidR="004438CF">
        <w:rPr>
          <w:lang w:val="en-AU" w:eastAsia="en-AU"/>
        </w:rPr>
        <w:t>6</w:t>
      </w:r>
      <w:r w:rsidR="0059608E" w:rsidRPr="008C1D6A">
        <w:rPr>
          <w:lang w:val="en-AU" w:eastAsia="en-AU"/>
        </w:rPr>
        <w:t xml:space="preserve">. The year is divided into “Dry </w:t>
      </w:r>
      <w:r w:rsidR="009C47C7">
        <w:rPr>
          <w:lang w:val="en-AU" w:eastAsia="en-AU"/>
        </w:rPr>
        <w:t>20</w:t>
      </w:r>
      <w:r w:rsidR="0059608E" w:rsidRPr="008C1D6A">
        <w:rPr>
          <w:lang w:val="en-AU" w:eastAsia="en-AU"/>
        </w:rPr>
        <w:t>1</w:t>
      </w:r>
      <w:r w:rsidR="004438CF">
        <w:rPr>
          <w:lang w:val="en-AU" w:eastAsia="en-AU"/>
        </w:rPr>
        <w:t>5</w:t>
      </w:r>
      <w:r w:rsidR="0059608E" w:rsidRPr="008C1D6A">
        <w:rPr>
          <w:lang w:val="en-AU" w:eastAsia="en-AU"/>
        </w:rPr>
        <w:t>” (May 201</w:t>
      </w:r>
      <w:r w:rsidR="004438CF">
        <w:rPr>
          <w:lang w:val="en-AU" w:eastAsia="en-AU"/>
        </w:rPr>
        <w:t>5 to October 2015</w:t>
      </w:r>
      <w:r w:rsidR="0059608E" w:rsidRPr="008C1D6A">
        <w:rPr>
          <w:lang w:val="en-AU" w:eastAsia="en-AU"/>
        </w:rPr>
        <w:t xml:space="preserve">) and “Wet </w:t>
      </w:r>
      <w:r w:rsidR="009B2AF2">
        <w:rPr>
          <w:lang w:val="en-AU" w:eastAsia="en-AU"/>
        </w:rPr>
        <w:t>20</w:t>
      </w:r>
      <w:r w:rsidR="0059608E" w:rsidRPr="008C1D6A">
        <w:rPr>
          <w:lang w:val="en-AU" w:eastAsia="en-AU"/>
        </w:rPr>
        <w:t>1</w:t>
      </w:r>
      <w:r w:rsidR="004438CF">
        <w:rPr>
          <w:lang w:val="en-AU" w:eastAsia="en-AU"/>
        </w:rPr>
        <w:t>5</w:t>
      </w:r>
      <w:r w:rsidR="0059608E" w:rsidRPr="008C1D6A">
        <w:rPr>
          <w:lang w:val="en-AU" w:eastAsia="en-AU"/>
        </w:rPr>
        <w:t>-1</w:t>
      </w:r>
      <w:r w:rsidR="004438CF">
        <w:rPr>
          <w:lang w:val="en-AU" w:eastAsia="en-AU"/>
        </w:rPr>
        <w:t>6</w:t>
      </w:r>
      <w:r w:rsidR="0059608E" w:rsidRPr="008C1D6A">
        <w:rPr>
          <w:lang w:val="en-AU" w:eastAsia="en-AU"/>
        </w:rPr>
        <w:t>” (November 201</w:t>
      </w:r>
      <w:r w:rsidR="004438CF">
        <w:rPr>
          <w:lang w:val="en-AU" w:eastAsia="en-AU"/>
        </w:rPr>
        <w:t>5</w:t>
      </w:r>
      <w:r w:rsidR="0059608E" w:rsidRPr="008C1D6A">
        <w:rPr>
          <w:lang w:val="en-AU" w:eastAsia="en-AU"/>
        </w:rPr>
        <w:t xml:space="preserve"> </w:t>
      </w:r>
      <w:r w:rsidR="006A415F">
        <w:rPr>
          <w:lang w:val="en-AU" w:eastAsia="en-AU"/>
        </w:rPr>
        <w:t>to</w:t>
      </w:r>
      <w:r w:rsidR="0059608E" w:rsidRPr="008C1D6A">
        <w:rPr>
          <w:lang w:val="en-AU" w:eastAsia="en-AU"/>
        </w:rPr>
        <w:t xml:space="preserve"> April 201</w:t>
      </w:r>
      <w:r w:rsidR="004438CF">
        <w:rPr>
          <w:lang w:val="en-AU" w:eastAsia="en-AU"/>
        </w:rPr>
        <w:t>6</w:t>
      </w:r>
      <w:r w:rsidR="0059608E" w:rsidRPr="008C1D6A">
        <w:rPr>
          <w:lang w:val="en-AU" w:eastAsia="en-AU"/>
        </w:rPr>
        <w:t xml:space="preserve">) sampling periods for reporting purposes. </w:t>
      </w:r>
      <w:r w:rsidR="009B2AF2">
        <w:rPr>
          <w:lang w:val="en-AU" w:eastAsia="en-AU"/>
        </w:rPr>
        <w:t xml:space="preserve">During dry </w:t>
      </w:r>
      <w:r w:rsidR="008740BA">
        <w:rPr>
          <w:lang w:val="en-AU" w:eastAsia="en-AU"/>
        </w:rPr>
        <w:t>sampling period</w:t>
      </w:r>
      <w:r w:rsidR="00961015">
        <w:rPr>
          <w:lang w:val="en-AU" w:eastAsia="en-AU"/>
        </w:rPr>
        <w:t>s</w:t>
      </w:r>
      <w:r w:rsidR="0059608E" w:rsidRPr="008C1D6A">
        <w:rPr>
          <w:lang w:val="en-AU" w:eastAsia="en-AU"/>
        </w:rPr>
        <w:t xml:space="preserve">, </w:t>
      </w:r>
      <w:r w:rsidR="00961015">
        <w:rPr>
          <w:lang w:val="en-AU" w:eastAsia="en-AU"/>
        </w:rPr>
        <w:t xml:space="preserve">passive </w:t>
      </w:r>
      <w:r w:rsidR="0059608E" w:rsidRPr="008C1D6A">
        <w:rPr>
          <w:lang w:val="en-AU" w:eastAsia="en-AU"/>
        </w:rPr>
        <w:t xml:space="preserve">samplers are typically deployed for two months </w:t>
      </w:r>
      <w:r w:rsidR="008740BA">
        <w:rPr>
          <w:lang w:val="en-AU" w:eastAsia="en-AU"/>
        </w:rPr>
        <w:t xml:space="preserve">at a time </w:t>
      </w:r>
      <w:r w:rsidR="0059608E" w:rsidRPr="008C1D6A">
        <w:rPr>
          <w:lang w:val="en-AU" w:eastAsia="en-AU"/>
        </w:rPr>
        <w:t>(maximum of three deployment periods each monitoring year)</w:t>
      </w:r>
      <w:r w:rsidR="008740BA">
        <w:rPr>
          <w:lang w:val="en-AU" w:eastAsia="en-AU"/>
        </w:rPr>
        <w:t>,</w:t>
      </w:r>
      <w:r w:rsidR="0059608E" w:rsidRPr="008C1D6A">
        <w:rPr>
          <w:lang w:val="en-AU" w:eastAsia="en-AU"/>
        </w:rPr>
        <w:t xml:space="preserve"> and </w:t>
      </w:r>
      <w:r w:rsidR="009B2AF2" w:rsidRPr="008C1D6A">
        <w:rPr>
          <w:lang w:val="en-AU" w:eastAsia="en-AU"/>
        </w:rPr>
        <w:t xml:space="preserve">for one month </w:t>
      </w:r>
      <w:r w:rsidR="008740BA">
        <w:rPr>
          <w:lang w:val="en-AU" w:eastAsia="en-AU"/>
        </w:rPr>
        <w:t xml:space="preserve">at a time </w:t>
      </w:r>
      <w:r w:rsidR="009B2AF2">
        <w:rPr>
          <w:lang w:val="en-AU" w:eastAsia="en-AU"/>
        </w:rPr>
        <w:t xml:space="preserve">during </w:t>
      </w:r>
      <w:r w:rsidR="0059608E" w:rsidRPr="008C1D6A">
        <w:rPr>
          <w:lang w:val="en-AU" w:eastAsia="en-AU"/>
        </w:rPr>
        <w:t xml:space="preserve">wet </w:t>
      </w:r>
      <w:r w:rsidR="008740BA">
        <w:rPr>
          <w:lang w:val="en-AU" w:eastAsia="en-AU"/>
        </w:rPr>
        <w:lastRenderedPageBreak/>
        <w:t>sampling period</w:t>
      </w:r>
      <w:r w:rsidR="00961015">
        <w:rPr>
          <w:lang w:val="en-AU" w:eastAsia="en-AU"/>
        </w:rPr>
        <w:t>s</w:t>
      </w:r>
      <w:r w:rsidR="008740BA">
        <w:rPr>
          <w:lang w:val="en-AU" w:eastAsia="en-AU"/>
        </w:rPr>
        <w:t xml:space="preserve"> </w:t>
      </w:r>
      <w:r w:rsidR="0059608E" w:rsidRPr="008C1D6A">
        <w:rPr>
          <w:lang w:val="en-AU" w:eastAsia="en-AU"/>
        </w:rPr>
        <w:t>(maximum of six deployment periods within each monitoring year). The maximum number of samples obtained from each locati</w:t>
      </w:r>
      <w:r w:rsidR="009B2AF2">
        <w:rPr>
          <w:lang w:val="en-AU" w:eastAsia="en-AU"/>
        </w:rPr>
        <w:t>on in the monitoring year i</w:t>
      </w:r>
      <w:r w:rsidR="0059608E" w:rsidRPr="008C1D6A">
        <w:rPr>
          <w:lang w:val="en-AU" w:eastAsia="en-AU"/>
        </w:rPr>
        <w:t>s nine</w:t>
      </w:r>
      <w:r w:rsidR="002D66EC">
        <w:rPr>
          <w:lang w:val="en-AU" w:eastAsia="en-AU"/>
        </w:rPr>
        <w:t>.</w:t>
      </w:r>
    </w:p>
    <w:p w14:paraId="15720DCE" w14:textId="77777777" w:rsidR="0059608E" w:rsidRPr="00A43338" w:rsidRDefault="0059608E" w:rsidP="00015606">
      <w:pPr>
        <w:spacing w:line="276" w:lineRule="auto"/>
        <w:rPr>
          <w:lang w:val="en-AU" w:eastAsia="en-AU"/>
        </w:rPr>
      </w:pPr>
    </w:p>
    <w:p w14:paraId="15720DCF" w14:textId="4AD5D3AD" w:rsidR="0059608E" w:rsidRDefault="0059608E" w:rsidP="00A7757C">
      <w:pPr>
        <w:spacing w:line="276" w:lineRule="auto"/>
        <w:rPr>
          <w:lang w:val="en-AU"/>
        </w:rPr>
      </w:pPr>
      <w:r w:rsidRPr="00A43338">
        <w:rPr>
          <w:lang w:val="en-AU"/>
        </w:rPr>
        <w:t xml:space="preserve">All </w:t>
      </w:r>
      <w:r w:rsidR="004438CF" w:rsidRPr="00A43338">
        <w:rPr>
          <w:lang w:val="en-AU"/>
        </w:rPr>
        <w:t>eleven</w:t>
      </w:r>
      <w:r w:rsidRPr="00A43338">
        <w:rPr>
          <w:lang w:val="en-AU"/>
        </w:rPr>
        <w:t xml:space="preserve"> fixed sites </w:t>
      </w:r>
      <w:r w:rsidR="004438CF" w:rsidRPr="00A43338">
        <w:rPr>
          <w:lang w:val="en-AU"/>
        </w:rPr>
        <w:t>were</w:t>
      </w:r>
      <w:r w:rsidRPr="00A43338">
        <w:rPr>
          <w:lang w:val="en-AU"/>
        </w:rPr>
        <w:t xml:space="preserve"> monitored in both the </w:t>
      </w:r>
      <w:r w:rsidR="00961015">
        <w:rPr>
          <w:lang w:val="en-AU"/>
        </w:rPr>
        <w:t>D</w:t>
      </w:r>
      <w:r w:rsidR="00961015" w:rsidRPr="00A43338">
        <w:rPr>
          <w:lang w:val="en-AU"/>
        </w:rPr>
        <w:t xml:space="preserve">ry </w:t>
      </w:r>
      <w:r w:rsidR="00961015">
        <w:rPr>
          <w:lang w:val="en-AU"/>
        </w:rPr>
        <w:t xml:space="preserve">2015 </w:t>
      </w:r>
      <w:r w:rsidRPr="00A43338">
        <w:rPr>
          <w:lang w:val="en-AU"/>
        </w:rPr>
        <w:t xml:space="preserve">and </w:t>
      </w:r>
      <w:r w:rsidR="00961015">
        <w:rPr>
          <w:lang w:val="en-AU"/>
        </w:rPr>
        <w:t>W</w:t>
      </w:r>
      <w:r w:rsidR="00961015" w:rsidRPr="00A43338">
        <w:rPr>
          <w:lang w:val="en-AU"/>
        </w:rPr>
        <w:t xml:space="preserve">et </w:t>
      </w:r>
      <w:r w:rsidR="00961015">
        <w:rPr>
          <w:lang w:val="en-AU"/>
        </w:rPr>
        <w:t>2015-16</w:t>
      </w:r>
      <w:r w:rsidR="000670EA">
        <w:rPr>
          <w:lang w:val="en-AU"/>
        </w:rPr>
        <w:t xml:space="preserve"> </w:t>
      </w:r>
      <w:r w:rsidR="008740BA">
        <w:rPr>
          <w:lang w:val="en-AU"/>
        </w:rPr>
        <w:t>sampling periods</w:t>
      </w:r>
      <w:r w:rsidR="008740BA" w:rsidRPr="00A43338">
        <w:rPr>
          <w:lang w:val="en-AU"/>
        </w:rPr>
        <w:t xml:space="preserve"> </w:t>
      </w:r>
      <w:r w:rsidRPr="00A43338">
        <w:rPr>
          <w:lang w:val="en-AU"/>
        </w:rPr>
        <w:t xml:space="preserve">using </w:t>
      </w:r>
      <w:r w:rsidR="003664EA">
        <w:rPr>
          <w:lang w:val="en-AU"/>
        </w:rPr>
        <w:t>EDs</w:t>
      </w:r>
      <w:r w:rsidRPr="00A43338">
        <w:rPr>
          <w:lang w:val="en-AU"/>
        </w:rPr>
        <w:t xml:space="preserve"> (</w:t>
      </w:r>
      <w:r w:rsidR="002A77E1">
        <w:fldChar w:fldCharType="begin"/>
      </w:r>
      <w:r w:rsidR="002A77E1">
        <w:instrText xml:space="preserve"> REF _Ref480724906 \h  \* MERGEFORMAT </w:instrText>
      </w:r>
      <w:r w:rsidR="002A77E1">
        <w:fldChar w:fldCharType="separate"/>
      </w:r>
      <w:r w:rsidR="00D12276" w:rsidRPr="00210B7C">
        <w:t xml:space="preserve">Table </w:t>
      </w:r>
      <w:r w:rsidR="00D12276">
        <w:rPr>
          <w:b/>
        </w:rPr>
        <w:t>3</w:t>
      </w:r>
      <w:r w:rsidR="002A77E1">
        <w:fldChar w:fldCharType="end"/>
      </w:r>
      <w:r>
        <w:rPr>
          <w:lang w:val="en-AU"/>
        </w:rPr>
        <w:t xml:space="preserve">), </w:t>
      </w:r>
      <w:r w:rsidR="00961015">
        <w:rPr>
          <w:lang w:val="en-AU"/>
        </w:rPr>
        <w:t>targeting</w:t>
      </w:r>
      <w:r>
        <w:rPr>
          <w:lang w:val="en-AU"/>
        </w:rPr>
        <w:t xml:space="preserve"> polar pesticides (</w:t>
      </w:r>
      <w:r w:rsidR="000670EA" w:rsidRPr="00523FC3">
        <w:rPr>
          <w:lang w:val="en-AU"/>
        </w:rPr>
        <w:t xml:space="preserve">see </w:t>
      </w:r>
      <w:r w:rsidR="000670EA">
        <w:rPr>
          <w:lang w:val="en-AU"/>
        </w:rPr>
        <w:fldChar w:fldCharType="begin"/>
      </w:r>
      <w:r w:rsidR="000670EA">
        <w:rPr>
          <w:lang w:val="en-AU"/>
        </w:rPr>
        <w:instrText xml:space="preserve"> REF _Ref480725306 \n \h </w:instrText>
      </w:r>
      <w:r w:rsidR="00275FDB">
        <w:rPr>
          <w:lang w:val="en-AU"/>
        </w:rPr>
        <w:instrText xml:space="preserve"> \* MERGEFORMAT </w:instrText>
      </w:r>
      <w:r w:rsidR="000670EA">
        <w:rPr>
          <w:lang w:val="en-AU"/>
        </w:rPr>
      </w:r>
      <w:r w:rsidR="000670EA">
        <w:rPr>
          <w:lang w:val="en-AU"/>
        </w:rPr>
        <w:fldChar w:fldCharType="separate"/>
      </w:r>
      <w:r w:rsidR="00D12276">
        <w:rPr>
          <w:lang w:val="en-AU"/>
        </w:rPr>
        <w:t xml:space="preserve">Appendix A </w:t>
      </w:r>
      <w:r w:rsidR="000670EA">
        <w:rPr>
          <w:lang w:val="en-AU"/>
        </w:rPr>
        <w:fldChar w:fldCharType="end"/>
      </w:r>
      <w:r w:rsidR="000670EA">
        <w:rPr>
          <w:lang w:val="en-AU"/>
        </w:rPr>
        <w:fldChar w:fldCharType="begin"/>
      </w:r>
      <w:r w:rsidR="000670EA">
        <w:rPr>
          <w:lang w:val="en-AU"/>
        </w:rPr>
        <w:instrText xml:space="preserve"> REF _Ref480725485 \h </w:instrText>
      </w:r>
      <w:r w:rsidR="007E0DC5">
        <w:rPr>
          <w:lang w:val="en-AU"/>
        </w:rPr>
        <w:instrText xml:space="preserve"> \* MERGEFORMAT </w:instrText>
      </w:r>
      <w:r w:rsidR="000670EA">
        <w:rPr>
          <w:lang w:val="en-AU"/>
        </w:rPr>
      </w:r>
      <w:r w:rsidR="000670EA">
        <w:rPr>
          <w:lang w:val="en-AU"/>
        </w:rPr>
        <w:fldChar w:fldCharType="separate"/>
      </w:r>
      <w:r w:rsidR="00D12276">
        <w:t xml:space="preserve">Table </w:t>
      </w:r>
      <w:r w:rsidR="00D12276">
        <w:rPr>
          <w:noProof/>
        </w:rPr>
        <w:t>A</w:t>
      </w:r>
      <w:r w:rsidR="00D12276">
        <w:rPr>
          <w:noProof/>
        </w:rPr>
        <w:noBreakHyphen/>
        <w:t>2</w:t>
      </w:r>
      <w:r w:rsidR="000670EA">
        <w:rPr>
          <w:lang w:val="en-AU"/>
        </w:rPr>
        <w:fldChar w:fldCharType="end"/>
      </w:r>
      <w:r w:rsidR="000670EA">
        <w:rPr>
          <w:lang w:val="en-AU"/>
        </w:rPr>
        <w:t xml:space="preserve"> </w:t>
      </w:r>
      <w:r w:rsidR="009B2AF2">
        <w:rPr>
          <w:lang w:val="en-AU"/>
        </w:rPr>
        <w:t xml:space="preserve">for </w:t>
      </w:r>
      <w:r w:rsidR="000670EA">
        <w:rPr>
          <w:lang w:val="en-AU"/>
        </w:rPr>
        <w:t xml:space="preserve">a </w:t>
      </w:r>
      <w:r w:rsidR="009B2AF2">
        <w:rPr>
          <w:lang w:val="en-AU"/>
        </w:rPr>
        <w:t xml:space="preserve">list of </w:t>
      </w:r>
      <w:r w:rsidR="000670EA">
        <w:rPr>
          <w:lang w:val="en-AU"/>
        </w:rPr>
        <w:t xml:space="preserve">the </w:t>
      </w:r>
      <w:r w:rsidR="009B2AF2">
        <w:rPr>
          <w:lang w:val="en-AU"/>
        </w:rPr>
        <w:t xml:space="preserve">polar pesticides </w:t>
      </w:r>
      <w:r w:rsidR="000670EA">
        <w:rPr>
          <w:lang w:val="en-AU"/>
        </w:rPr>
        <w:t>in the passive sampler analysis suite</w:t>
      </w:r>
      <w:r w:rsidRPr="00523FC3">
        <w:rPr>
          <w:lang w:val="en-AU"/>
        </w:rPr>
        <w:t xml:space="preserve">). </w:t>
      </w:r>
      <w:r w:rsidR="006A415F" w:rsidRPr="00523FC3">
        <w:rPr>
          <w:lang w:val="en-AU"/>
        </w:rPr>
        <w:t>Four</w:t>
      </w:r>
      <w:r>
        <w:rPr>
          <w:lang w:val="en-AU"/>
        </w:rPr>
        <w:t xml:space="preserve"> sites </w:t>
      </w:r>
      <w:r w:rsidR="00961015">
        <w:rPr>
          <w:lang w:val="en-AU"/>
        </w:rPr>
        <w:t xml:space="preserve">also </w:t>
      </w:r>
      <w:r>
        <w:rPr>
          <w:lang w:val="en-AU"/>
        </w:rPr>
        <w:t xml:space="preserve">had PDMS samplers deployed during the </w:t>
      </w:r>
      <w:r w:rsidR="00961015">
        <w:rPr>
          <w:lang w:val="en-AU"/>
        </w:rPr>
        <w:t>W</w:t>
      </w:r>
      <w:r w:rsidR="00961015" w:rsidRPr="00A43338">
        <w:rPr>
          <w:lang w:val="en-AU"/>
        </w:rPr>
        <w:t xml:space="preserve">et </w:t>
      </w:r>
      <w:r w:rsidR="00961015">
        <w:rPr>
          <w:lang w:val="en-AU"/>
        </w:rPr>
        <w:t>2015-16</w:t>
      </w:r>
      <w:r w:rsidR="00961015" w:rsidDel="00961015">
        <w:rPr>
          <w:lang w:val="en-AU"/>
        </w:rPr>
        <w:t xml:space="preserve"> </w:t>
      </w:r>
      <w:r w:rsidR="00961015">
        <w:rPr>
          <w:lang w:val="en-AU"/>
        </w:rPr>
        <w:t xml:space="preserve">sampling period </w:t>
      </w:r>
      <w:r w:rsidRPr="00A43338">
        <w:rPr>
          <w:lang w:val="en-AU"/>
        </w:rPr>
        <w:t>(</w:t>
      </w:r>
      <w:r w:rsidR="002A77E1">
        <w:fldChar w:fldCharType="begin"/>
      </w:r>
      <w:r w:rsidR="002A77E1">
        <w:instrText xml:space="preserve"> REF _Ref480724906 \h  \* MERGEFORMAT </w:instrText>
      </w:r>
      <w:r w:rsidR="002A77E1">
        <w:fldChar w:fldCharType="separate"/>
      </w:r>
      <w:r w:rsidR="00D12276" w:rsidRPr="00210B7C">
        <w:t xml:space="preserve">Table </w:t>
      </w:r>
      <w:r w:rsidR="00D12276">
        <w:rPr>
          <w:b/>
        </w:rPr>
        <w:t>3</w:t>
      </w:r>
      <w:r w:rsidR="002A77E1">
        <w:fldChar w:fldCharType="end"/>
      </w:r>
      <w:r w:rsidR="00C215E3">
        <w:rPr>
          <w:lang w:val="en-AU"/>
        </w:rPr>
        <w:t>)</w:t>
      </w:r>
      <w:r w:rsidR="00997B02">
        <w:rPr>
          <w:lang w:val="en-AU"/>
        </w:rPr>
        <w:t>,</w:t>
      </w:r>
      <w:r>
        <w:rPr>
          <w:lang w:val="en-AU"/>
        </w:rPr>
        <w:t xml:space="preserve"> target</w:t>
      </w:r>
      <w:r w:rsidR="00961015">
        <w:rPr>
          <w:lang w:val="en-AU"/>
        </w:rPr>
        <w:t>ing</w:t>
      </w:r>
      <w:r>
        <w:rPr>
          <w:lang w:val="en-AU"/>
        </w:rPr>
        <w:t xml:space="preserve"> non-polar pesticides (</w:t>
      </w:r>
      <w:r w:rsidR="000670EA">
        <w:rPr>
          <w:lang w:val="en-AU"/>
        </w:rPr>
        <w:t xml:space="preserve">see </w:t>
      </w:r>
      <w:r w:rsidR="000670EA">
        <w:rPr>
          <w:highlight w:val="yellow"/>
          <w:lang w:val="en-AU"/>
        </w:rPr>
        <w:fldChar w:fldCharType="begin"/>
      </w:r>
      <w:r w:rsidR="000670EA">
        <w:rPr>
          <w:lang w:val="en-AU"/>
        </w:rPr>
        <w:instrText xml:space="preserve"> REF _Ref480725528 \n \h </w:instrText>
      </w:r>
      <w:r w:rsidR="007E0DC5">
        <w:rPr>
          <w:highlight w:val="yellow"/>
          <w:lang w:val="en-AU"/>
        </w:rPr>
        <w:instrText xml:space="preserve"> \* MERGEFORMAT </w:instrText>
      </w:r>
      <w:r w:rsidR="000670EA">
        <w:rPr>
          <w:highlight w:val="yellow"/>
          <w:lang w:val="en-AU"/>
        </w:rPr>
      </w:r>
      <w:r w:rsidR="000670EA">
        <w:rPr>
          <w:highlight w:val="yellow"/>
          <w:lang w:val="en-AU"/>
        </w:rPr>
        <w:fldChar w:fldCharType="separate"/>
      </w:r>
      <w:r w:rsidR="00D12276">
        <w:rPr>
          <w:lang w:val="en-AU"/>
        </w:rPr>
        <w:t xml:space="preserve">Appendix A </w:t>
      </w:r>
      <w:r w:rsidR="000670EA">
        <w:rPr>
          <w:highlight w:val="yellow"/>
          <w:lang w:val="en-AU"/>
        </w:rPr>
        <w:fldChar w:fldCharType="end"/>
      </w:r>
      <w:r w:rsidR="000670EA">
        <w:rPr>
          <w:highlight w:val="yellow"/>
          <w:lang w:val="en-AU"/>
        </w:rPr>
        <w:fldChar w:fldCharType="begin"/>
      </w:r>
      <w:r w:rsidR="000670EA">
        <w:rPr>
          <w:highlight w:val="yellow"/>
          <w:lang w:val="en-AU"/>
        </w:rPr>
        <w:instrText xml:space="preserve"> REF _Ref480725509 \h </w:instrText>
      </w:r>
      <w:r w:rsidR="007E0DC5">
        <w:rPr>
          <w:highlight w:val="yellow"/>
          <w:lang w:val="en-AU"/>
        </w:rPr>
        <w:instrText xml:space="preserve"> \* MERGEFORMAT </w:instrText>
      </w:r>
      <w:r w:rsidR="000670EA">
        <w:rPr>
          <w:highlight w:val="yellow"/>
          <w:lang w:val="en-AU"/>
        </w:rPr>
      </w:r>
      <w:r w:rsidR="000670EA">
        <w:rPr>
          <w:highlight w:val="yellow"/>
          <w:lang w:val="en-AU"/>
        </w:rPr>
        <w:fldChar w:fldCharType="separate"/>
      </w:r>
      <w:r w:rsidR="00D12276">
        <w:t xml:space="preserve">Table </w:t>
      </w:r>
      <w:r w:rsidR="00D12276">
        <w:rPr>
          <w:noProof/>
        </w:rPr>
        <w:t>A</w:t>
      </w:r>
      <w:r w:rsidR="00D12276">
        <w:rPr>
          <w:noProof/>
        </w:rPr>
        <w:noBreakHyphen/>
        <w:t>3</w:t>
      </w:r>
      <w:r w:rsidR="000670EA">
        <w:rPr>
          <w:highlight w:val="yellow"/>
          <w:lang w:val="en-AU"/>
        </w:rPr>
        <w:fldChar w:fldCharType="end"/>
      </w:r>
      <w:r w:rsidR="000670EA">
        <w:rPr>
          <w:lang w:val="en-AU"/>
        </w:rPr>
        <w:t xml:space="preserve"> </w:t>
      </w:r>
      <w:r w:rsidR="009B2AF2">
        <w:rPr>
          <w:lang w:val="en-AU"/>
        </w:rPr>
        <w:t>for</w:t>
      </w:r>
      <w:r w:rsidR="000670EA">
        <w:rPr>
          <w:lang w:val="en-AU"/>
        </w:rPr>
        <w:t xml:space="preserve"> a</w:t>
      </w:r>
      <w:r w:rsidR="009B2AF2">
        <w:rPr>
          <w:lang w:val="en-AU"/>
        </w:rPr>
        <w:t xml:space="preserve"> list of </w:t>
      </w:r>
      <w:r w:rsidR="000670EA">
        <w:rPr>
          <w:lang w:val="en-AU"/>
        </w:rPr>
        <w:t xml:space="preserve">the </w:t>
      </w:r>
      <w:r w:rsidR="009B2AF2">
        <w:rPr>
          <w:lang w:val="en-AU"/>
        </w:rPr>
        <w:t>non-polar pesticides</w:t>
      </w:r>
      <w:r w:rsidR="000670EA">
        <w:rPr>
          <w:lang w:val="en-AU"/>
        </w:rPr>
        <w:t xml:space="preserve"> in the passive sampler analysis suite</w:t>
      </w:r>
      <w:r>
        <w:rPr>
          <w:lang w:val="en-AU"/>
        </w:rPr>
        <w:t xml:space="preserve">). PDMS samplers were co-deployed </w:t>
      </w:r>
      <w:r w:rsidR="00961015">
        <w:rPr>
          <w:lang w:val="en-AU"/>
        </w:rPr>
        <w:t xml:space="preserve">with the EDs </w:t>
      </w:r>
      <w:r>
        <w:rPr>
          <w:lang w:val="en-AU"/>
        </w:rPr>
        <w:t xml:space="preserve">in the </w:t>
      </w:r>
      <w:r w:rsidR="000670EA">
        <w:rPr>
          <w:lang w:val="en-AU"/>
        </w:rPr>
        <w:t xml:space="preserve">Lower </w:t>
      </w:r>
      <w:r>
        <w:rPr>
          <w:lang w:val="en-AU"/>
        </w:rPr>
        <w:t>Burdekin region (</w:t>
      </w:r>
      <w:r w:rsidR="00E74192">
        <w:rPr>
          <w:lang w:val="en-AU"/>
        </w:rPr>
        <w:t>one</w:t>
      </w:r>
      <w:r>
        <w:rPr>
          <w:lang w:val="en-AU"/>
        </w:rPr>
        <w:t xml:space="preserve"> site) and the Mackay Whitsunday region (</w:t>
      </w:r>
      <w:r w:rsidR="00E74192">
        <w:rPr>
          <w:lang w:val="en-AU"/>
        </w:rPr>
        <w:t>three</w:t>
      </w:r>
      <w:r>
        <w:rPr>
          <w:lang w:val="en-AU"/>
        </w:rPr>
        <w:t xml:space="preserve"> sites)</w:t>
      </w:r>
      <w:r w:rsidR="00961015">
        <w:rPr>
          <w:lang w:val="en-AU"/>
        </w:rPr>
        <w:t xml:space="preserve"> (</w:t>
      </w:r>
      <w:r w:rsidR="000E58AD" w:rsidRPr="000E58AD">
        <w:rPr>
          <w:lang w:val="en-AU"/>
        </w:rPr>
        <w:fldChar w:fldCharType="begin"/>
      </w:r>
      <w:r w:rsidR="000E58AD" w:rsidRPr="000E58AD">
        <w:rPr>
          <w:lang w:val="en-AU"/>
        </w:rPr>
        <w:instrText xml:space="preserve"> REF _Ref480724906 \h  \* MERGEFORMAT </w:instrText>
      </w:r>
      <w:r w:rsidR="000E58AD" w:rsidRPr="000E58AD">
        <w:rPr>
          <w:lang w:val="en-AU"/>
        </w:rPr>
      </w:r>
      <w:r w:rsidR="000E58AD" w:rsidRPr="000E58AD">
        <w:rPr>
          <w:lang w:val="en-AU"/>
        </w:rPr>
        <w:fldChar w:fldCharType="separate"/>
      </w:r>
      <w:r w:rsidR="00D12276" w:rsidRPr="00210B7C">
        <w:t xml:space="preserve">Table </w:t>
      </w:r>
      <w:r w:rsidR="00D12276">
        <w:rPr>
          <w:b/>
          <w:noProof/>
        </w:rPr>
        <w:t>3</w:t>
      </w:r>
      <w:r w:rsidR="000E58AD" w:rsidRPr="000E58AD">
        <w:rPr>
          <w:lang w:val="en-AU"/>
        </w:rPr>
        <w:fldChar w:fldCharType="end"/>
      </w:r>
      <w:r w:rsidR="00961015">
        <w:rPr>
          <w:lang w:val="en-AU"/>
        </w:rPr>
        <w:t>)</w:t>
      </w:r>
      <w:r w:rsidR="000670EA">
        <w:rPr>
          <w:lang w:val="en-AU"/>
        </w:rPr>
        <w:t>.</w:t>
      </w:r>
      <w:r>
        <w:rPr>
          <w:lang w:val="en-AU"/>
        </w:rPr>
        <w:t xml:space="preserve"> </w:t>
      </w:r>
      <w:r w:rsidR="000670EA">
        <w:rPr>
          <w:lang w:val="en-AU"/>
        </w:rPr>
        <w:t>T</w:t>
      </w:r>
      <w:r>
        <w:rPr>
          <w:lang w:val="en-AU"/>
        </w:rPr>
        <w:t>he</w:t>
      </w:r>
      <w:r w:rsidR="000670EA">
        <w:rPr>
          <w:lang w:val="en-AU"/>
        </w:rPr>
        <w:t xml:space="preserve">se two regions were chosen for targeting non-polar pesticides </w:t>
      </w:r>
      <w:r w:rsidR="00CA5228">
        <w:rPr>
          <w:lang w:val="en-AU"/>
        </w:rPr>
        <w:t xml:space="preserve">based on </w:t>
      </w:r>
      <w:r w:rsidR="000670EA">
        <w:rPr>
          <w:lang w:val="en-AU"/>
        </w:rPr>
        <w:t>the</w:t>
      </w:r>
      <w:r w:rsidR="00CA5228">
        <w:rPr>
          <w:lang w:val="en-AU"/>
        </w:rPr>
        <w:t>ir</w:t>
      </w:r>
      <w:r w:rsidR="000670EA">
        <w:rPr>
          <w:lang w:val="en-AU"/>
        </w:rPr>
        <w:t xml:space="preserve"> high proportion</w:t>
      </w:r>
      <w:r w:rsidR="00CA5228">
        <w:rPr>
          <w:lang w:val="en-AU"/>
        </w:rPr>
        <w:t>s</w:t>
      </w:r>
      <w:r w:rsidR="000670EA">
        <w:rPr>
          <w:lang w:val="en-AU"/>
        </w:rPr>
        <w:t xml:space="preserve"> of sugar cane land use relative to other NRM regions, </w:t>
      </w:r>
      <w:r>
        <w:rPr>
          <w:lang w:val="en-AU"/>
        </w:rPr>
        <w:t xml:space="preserve">and </w:t>
      </w:r>
      <w:r w:rsidR="000670EA">
        <w:rPr>
          <w:lang w:val="en-AU"/>
        </w:rPr>
        <w:t xml:space="preserve">the high pesticide risk </w:t>
      </w:r>
      <w:r w:rsidR="00CA5228">
        <w:rPr>
          <w:lang w:val="en-AU"/>
        </w:rPr>
        <w:t>assigned</w:t>
      </w:r>
      <w:r>
        <w:rPr>
          <w:lang w:val="en-AU"/>
        </w:rPr>
        <w:t xml:space="preserve"> </w:t>
      </w:r>
      <w:r w:rsidR="00CA5228">
        <w:rPr>
          <w:lang w:val="en-AU"/>
        </w:rPr>
        <w:t xml:space="preserve">to these regions </w:t>
      </w:r>
      <w:r w:rsidR="00A90628">
        <w:rPr>
          <w:lang w:val="en-AU"/>
        </w:rPr>
        <w:fldChar w:fldCharType="begin"/>
      </w:r>
      <w:r w:rsidR="009D4492">
        <w:rPr>
          <w:lang w:val="en-AU"/>
        </w:rPr>
        <w:instrText xml:space="preserve"> ADDIN EN.CITE &lt;EndNote&gt;&lt;Cite&gt;&lt;Author&gt;Brodie&lt;/Author&gt;&lt;Year&gt;2013&lt;/Year&gt;&lt;RecNum&gt;11&lt;/RecNum&gt;&lt;DisplayText&gt;(Brodie et al., 2013)&lt;/DisplayText&gt;&lt;record&gt;&lt;rec-number&gt;11&lt;/rec-number&gt;&lt;foreign-keys&gt;&lt;key app="EN" db-id="vvtrt2pt4xpx5teta99vvtwg50vzve2aexae" timestamp="1493157339"&gt;11&lt;/key&gt;&lt;/foreign-keys&gt;&lt;ref-type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sidR="00A90628">
        <w:rPr>
          <w:lang w:val="en-AU"/>
        </w:rPr>
        <w:fldChar w:fldCharType="separate"/>
      </w:r>
      <w:r w:rsidR="009D4492">
        <w:rPr>
          <w:noProof/>
          <w:lang w:val="en-AU"/>
        </w:rPr>
        <w:t>(Brodie et al., 2013)</w:t>
      </w:r>
      <w:r w:rsidR="00A90628">
        <w:rPr>
          <w:lang w:val="en-AU"/>
        </w:rPr>
        <w:fldChar w:fldCharType="end"/>
      </w:r>
      <w:r w:rsidR="00E74192">
        <w:rPr>
          <w:lang w:val="en-AU"/>
        </w:rPr>
        <w:t xml:space="preserve">. </w:t>
      </w:r>
      <w:r>
        <w:rPr>
          <w:lang w:val="en-AU"/>
        </w:rPr>
        <w:t xml:space="preserve">The deployment dates and results for each fixed monitoring site are provided in </w:t>
      </w:r>
      <w:r w:rsidR="005512F8">
        <w:rPr>
          <w:lang w:val="en-AU" w:eastAsia="en-AU"/>
        </w:rPr>
        <w:fldChar w:fldCharType="begin"/>
      </w:r>
      <w:r w:rsidR="005512F8">
        <w:rPr>
          <w:lang w:val="en-AU" w:eastAsia="en-AU"/>
        </w:rPr>
        <w:instrText xml:space="preserve"> REF _Ref335637596 \n \h  \* MERGEFORMAT </w:instrText>
      </w:r>
      <w:r w:rsidR="005512F8">
        <w:rPr>
          <w:lang w:val="en-AU" w:eastAsia="en-AU"/>
        </w:rPr>
      </w:r>
      <w:r w:rsidR="005512F8">
        <w:rPr>
          <w:lang w:val="en-AU" w:eastAsia="en-AU"/>
        </w:rPr>
        <w:fldChar w:fldCharType="separate"/>
      </w:r>
      <w:r w:rsidR="00D12276">
        <w:rPr>
          <w:lang w:val="en-AU" w:eastAsia="en-AU"/>
        </w:rPr>
        <w:t xml:space="preserve">Appendix F </w:t>
      </w:r>
      <w:r w:rsidR="005512F8">
        <w:rPr>
          <w:lang w:val="en-AU" w:eastAsia="en-AU"/>
        </w:rPr>
        <w:fldChar w:fldCharType="end"/>
      </w:r>
      <w:r w:rsidR="007E0DC5">
        <w:t xml:space="preserve">Table </w:t>
      </w:r>
      <w:r w:rsidR="007E0DC5">
        <w:rPr>
          <w:noProof/>
        </w:rPr>
        <w:t>F</w:t>
      </w:r>
      <w:r w:rsidR="007E0DC5">
        <w:noBreakHyphen/>
      </w:r>
      <w:r w:rsidR="007E0DC5">
        <w:rPr>
          <w:noProof/>
        </w:rPr>
        <w:t xml:space="preserve">2 </w:t>
      </w:r>
      <w:r w:rsidR="00523FC3">
        <w:rPr>
          <w:lang w:val="en-AU"/>
        </w:rPr>
        <w:t xml:space="preserve">to </w:t>
      </w:r>
      <w:r w:rsidR="00C91BF5">
        <w:rPr>
          <w:highlight w:val="yellow"/>
          <w:lang w:val="en-AU"/>
        </w:rPr>
        <w:fldChar w:fldCharType="begin"/>
      </w:r>
      <w:r w:rsidR="00523FC3">
        <w:rPr>
          <w:highlight w:val="yellow"/>
          <w:lang w:val="en-AU"/>
        </w:rPr>
        <w:instrText xml:space="preserve"> REF _Ref480725602 \h </w:instrText>
      </w:r>
      <w:r w:rsidR="00A7757C">
        <w:rPr>
          <w:highlight w:val="yellow"/>
          <w:lang w:val="en-AU"/>
        </w:rPr>
        <w:instrText xml:space="preserve"> \* MERGEFORMAT </w:instrText>
      </w:r>
      <w:r w:rsidR="00C91BF5">
        <w:rPr>
          <w:highlight w:val="yellow"/>
          <w:lang w:val="en-AU"/>
        </w:rPr>
      </w:r>
      <w:r w:rsidR="00C91BF5">
        <w:rPr>
          <w:highlight w:val="yellow"/>
          <w:lang w:val="en-AU"/>
        </w:rPr>
        <w:fldChar w:fldCharType="separate"/>
      </w:r>
      <w:r w:rsidR="00D12276">
        <w:t xml:space="preserve">Table </w:t>
      </w:r>
      <w:r w:rsidR="00D12276">
        <w:rPr>
          <w:noProof/>
        </w:rPr>
        <w:t>F</w:t>
      </w:r>
      <w:r w:rsidR="00D12276">
        <w:rPr>
          <w:noProof/>
        </w:rPr>
        <w:noBreakHyphen/>
        <w:t>12</w:t>
      </w:r>
      <w:r w:rsidR="00C91BF5">
        <w:rPr>
          <w:highlight w:val="yellow"/>
          <w:lang w:val="en-AU"/>
        </w:rPr>
        <w:fldChar w:fldCharType="end"/>
      </w:r>
      <w:r w:rsidRPr="0090433A">
        <w:rPr>
          <w:lang w:val="en-AU"/>
        </w:rPr>
        <w:t>.</w:t>
      </w:r>
    </w:p>
    <w:p w14:paraId="15720DD0" w14:textId="77777777" w:rsidR="008B15F3" w:rsidRDefault="008B15F3" w:rsidP="00015606">
      <w:pPr>
        <w:spacing w:line="276" w:lineRule="auto"/>
        <w:rPr>
          <w:lang w:val="en-AU"/>
        </w:rPr>
      </w:pPr>
    </w:p>
    <w:p w14:paraId="15720DD1" w14:textId="77777777" w:rsidR="0059608E" w:rsidRDefault="00210B7C" w:rsidP="00733EB3">
      <w:pPr>
        <w:pStyle w:val="Caption"/>
        <w:keepNext/>
        <w:spacing w:after="120" w:line="276" w:lineRule="auto"/>
        <w:rPr>
          <w:b w:val="0"/>
        </w:rPr>
      </w:pPr>
      <w:bookmarkStart w:id="93" w:name="_Ref480724906"/>
      <w:bookmarkStart w:id="94" w:name="_Ref474319482"/>
      <w:bookmarkStart w:id="95" w:name="_Toc502499861"/>
      <w:r w:rsidRPr="00210B7C">
        <w:rPr>
          <w:b w:val="0"/>
        </w:rPr>
        <w:t xml:space="preserve">Table </w:t>
      </w:r>
      <w:r w:rsidR="00C91BF5" w:rsidRPr="00210B7C">
        <w:rPr>
          <w:b w:val="0"/>
        </w:rPr>
        <w:fldChar w:fldCharType="begin"/>
      </w:r>
      <w:r w:rsidRPr="00210B7C">
        <w:rPr>
          <w:b w:val="0"/>
        </w:rPr>
        <w:instrText xml:space="preserve"> SEQ Table \* ARABIC </w:instrText>
      </w:r>
      <w:r w:rsidR="00C91BF5" w:rsidRPr="00210B7C">
        <w:rPr>
          <w:b w:val="0"/>
        </w:rPr>
        <w:fldChar w:fldCharType="separate"/>
      </w:r>
      <w:r w:rsidR="00D12276">
        <w:rPr>
          <w:b w:val="0"/>
          <w:noProof/>
        </w:rPr>
        <w:t>3</w:t>
      </w:r>
      <w:r w:rsidR="00C91BF5" w:rsidRPr="00210B7C">
        <w:rPr>
          <w:b w:val="0"/>
        </w:rPr>
        <w:fldChar w:fldCharType="end"/>
      </w:r>
      <w:bookmarkEnd w:id="93"/>
      <w:r w:rsidR="00747824">
        <w:rPr>
          <w:b w:val="0"/>
        </w:rPr>
        <w:t>:</w:t>
      </w:r>
      <w:r>
        <w:rPr>
          <w:b w:val="0"/>
        </w:rPr>
        <w:t xml:space="preserve"> </w:t>
      </w:r>
      <w:r w:rsidR="0059608E" w:rsidRPr="00747824">
        <w:rPr>
          <w:b w:val="0"/>
        </w:rPr>
        <w:t xml:space="preserve">The types of passive samplers deployed at each fixed monitoring site in </w:t>
      </w:r>
      <w:r w:rsidR="00070AE2">
        <w:rPr>
          <w:b w:val="0"/>
        </w:rPr>
        <w:t>2015-16</w:t>
      </w:r>
      <w:bookmarkEnd w:id="94"/>
      <w:r w:rsidR="00CA5228">
        <w:rPr>
          <w:b w:val="0"/>
        </w:rPr>
        <w:t>.</w:t>
      </w:r>
      <w:bookmarkEnd w:id="95"/>
    </w:p>
    <w:p w14:paraId="3EE23E13" w14:textId="77777777" w:rsidR="0052323E" w:rsidRDefault="0052323E" w:rsidP="0052323E"/>
    <w:tbl>
      <w:tblPr>
        <w:tblW w:w="10505" w:type="dxa"/>
        <w:tblInd w:w="93" w:type="dxa"/>
        <w:tblLook w:val="04A0" w:firstRow="1" w:lastRow="0" w:firstColumn="1" w:lastColumn="0" w:noHBand="0" w:noVBand="1"/>
      </w:tblPr>
      <w:tblGrid>
        <w:gridCol w:w="2142"/>
        <w:gridCol w:w="2693"/>
        <w:gridCol w:w="1417"/>
        <w:gridCol w:w="1418"/>
        <w:gridCol w:w="1417"/>
        <w:gridCol w:w="1418"/>
      </w:tblGrid>
      <w:tr w:rsidR="0052323E" w:rsidRPr="00A1136B" w14:paraId="53BED209" w14:textId="77777777" w:rsidTr="00EC1670">
        <w:trPr>
          <w:trHeight w:val="300"/>
        </w:trPr>
        <w:tc>
          <w:tcPr>
            <w:tcW w:w="2142" w:type="dxa"/>
            <w:vMerge w:val="restart"/>
            <w:tcBorders>
              <w:top w:val="single" w:sz="4" w:space="0" w:color="auto"/>
            </w:tcBorders>
            <w:shd w:val="clear" w:color="auto" w:fill="F2F2F2" w:themeFill="background1" w:themeFillShade="F2"/>
            <w:vAlign w:val="center"/>
            <w:hideMark/>
          </w:tcPr>
          <w:p w14:paraId="31782FA1" w14:textId="77777777" w:rsidR="0052323E" w:rsidRPr="00A1136B" w:rsidRDefault="0052323E" w:rsidP="00EC1670">
            <w:pPr>
              <w:jc w:val="left"/>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Region</w:t>
            </w:r>
          </w:p>
        </w:tc>
        <w:tc>
          <w:tcPr>
            <w:tcW w:w="2693" w:type="dxa"/>
            <w:vMerge w:val="restart"/>
            <w:tcBorders>
              <w:top w:val="single" w:sz="4" w:space="0" w:color="auto"/>
            </w:tcBorders>
            <w:shd w:val="clear" w:color="auto" w:fill="F2F2F2" w:themeFill="background1" w:themeFillShade="F2"/>
            <w:vAlign w:val="center"/>
            <w:hideMark/>
          </w:tcPr>
          <w:p w14:paraId="6AC7FCFE" w14:textId="77777777" w:rsidR="0052323E" w:rsidRPr="00A1136B" w:rsidRDefault="0052323E" w:rsidP="00EC1670">
            <w:pPr>
              <w:jc w:val="left"/>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Site</w:t>
            </w:r>
          </w:p>
        </w:tc>
        <w:tc>
          <w:tcPr>
            <w:tcW w:w="2835" w:type="dxa"/>
            <w:gridSpan w:val="2"/>
            <w:tcBorders>
              <w:top w:val="single" w:sz="4" w:space="0" w:color="auto"/>
            </w:tcBorders>
            <w:shd w:val="clear" w:color="auto" w:fill="F2F2F2" w:themeFill="background1" w:themeFillShade="F2"/>
            <w:vAlign w:val="center"/>
            <w:hideMark/>
          </w:tcPr>
          <w:p w14:paraId="15417D62" w14:textId="77777777" w:rsidR="0052323E" w:rsidRPr="00A1136B" w:rsidRDefault="0052323E" w:rsidP="00EC1670">
            <w:pPr>
              <w:jc w:val="center"/>
              <w:rPr>
                <w:rFonts w:eastAsia="Times New Roman" w:cs="Arial"/>
                <w:b/>
                <w:bCs/>
                <w:color w:val="000000"/>
                <w:sz w:val="18"/>
                <w:szCs w:val="18"/>
                <w:lang w:val="en-AU" w:eastAsia="en-AU" w:bidi="ar-SA"/>
              </w:rPr>
            </w:pPr>
            <w:r>
              <w:rPr>
                <w:rFonts w:eastAsia="Times New Roman" w:cs="Arial"/>
                <w:b/>
                <w:bCs/>
                <w:color w:val="000000"/>
                <w:sz w:val="18"/>
                <w:szCs w:val="18"/>
                <w:lang w:val="en-AU" w:eastAsia="en-AU" w:bidi="ar-SA"/>
              </w:rPr>
              <w:t>EDs</w:t>
            </w:r>
            <w:r w:rsidRPr="00A1136B">
              <w:rPr>
                <w:rFonts w:eastAsia="Times New Roman" w:cs="Arial"/>
                <w:b/>
                <w:bCs/>
                <w:color w:val="000000"/>
                <w:sz w:val="18"/>
                <w:szCs w:val="18"/>
                <w:lang w:val="en-AU" w:eastAsia="en-AU" w:bidi="ar-SA"/>
              </w:rPr>
              <w:t xml:space="preserve"> (polar)</w:t>
            </w:r>
          </w:p>
        </w:tc>
        <w:tc>
          <w:tcPr>
            <w:tcW w:w="2835" w:type="dxa"/>
            <w:gridSpan w:val="2"/>
            <w:tcBorders>
              <w:top w:val="single" w:sz="4" w:space="0" w:color="auto"/>
            </w:tcBorders>
            <w:shd w:val="clear" w:color="auto" w:fill="F2F2F2" w:themeFill="background1" w:themeFillShade="F2"/>
            <w:vAlign w:val="center"/>
            <w:hideMark/>
          </w:tcPr>
          <w:p w14:paraId="0C73DBAA" w14:textId="77777777" w:rsidR="0052323E" w:rsidRPr="00A1136B" w:rsidRDefault="0052323E" w:rsidP="00EC1670">
            <w:pPr>
              <w:jc w:val="center"/>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PDMS (non-polar)</w:t>
            </w:r>
          </w:p>
        </w:tc>
      </w:tr>
      <w:tr w:rsidR="0052323E" w:rsidRPr="00A1136B" w14:paraId="217DB2F4" w14:textId="77777777" w:rsidTr="00EC1670">
        <w:trPr>
          <w:trHeight w:val="315"/>
        </w:trPr>
        <w:tc>
          <w:tcPr>
            <w:tcW w:w="2142" w:type="dxa"/>
            <w:vMerge/>
            <w:tcBorders>
              <w:bottom w:val="single" w:sz="4" w:space="0" w:color="auto"/>
            </w:tcBorders>
            <w:vAlign w:val="center"/>
            <w:hideMark/>
          </w:tcPr>
          <w:p w14:paraId="5A8C95D5" w14:textId="77777777" w:rsidR="0052323E" w:rsidRPr="00A1136B" w:rsidRDefault="0052323E" w:rsidP="00EC1670">
            <w:pPr>
              <w:jc w:val="center"/>
              <w:rPr>
                <w:rFonts w:eastAsia="Times New Roman" w:cs="Arial"/>
                <w:b/>
                <w:bCs/>
                <w:color w:val="000000"/>
                <w:sz w:val="18"/>
                <w:szCs w:val="18"/>
                <w:lang w:val="en-AU" w:eastAsia="en-AU" w:bidi="ar-SA"/>
              </w:rPr>
            </w:pPr>
          </w:p>
        </w:tc>
        <w:tc>
          <w:tcPr>
            <w:tcW w:w="2693" w:type="dxa"/>
            <w:vMerge/>
            <w:tcBorders>
              <w:bottom w:val="single" w:sz="4" w:space="0" w:color="auto"/>
            </w:tcBorders>
            <w:vAlign w:val="center"/>
            <w:hideMark/>
          </w:tcPr>
          <w:p w14:paraId="5E5D022A" w14:textId="77777777" w:rsidR="0052323E" w:rsidRPr="00A1136B" w:rsidRDefault="0052323E" w:rsidP="00EC1670">
            <w:pPr>
              <w:jc w:val="left"/>
              <w:rPr>
                <w:rFonts w:eastAsia="Times New Roman" w:cs="Arial"/>
                <w:b/>
                <w:bCs/>
                <w:color w:val="000000"/>
                <w:sz w:val="18"/>
                <w:szCs w:val="18"/>
                <w:lang w:val="en-AU" w:eastAsia="en-AU" w:bidi="ar-SA"/>
              </w:rPr>
            </w:pPr>
          </w:p>
        </w:tc>
        <w:tc>
          <w:tcPr>
            <w:tcW w:w="1417" w:type="dxa"/>
            <w:tcBorders>
              <w:bottom w:val="single" w:sz="4" w:space="0" w:color="auto"/>
            </w:tcBorders>
            <w:shd w:val="clear" w:color="auto" w:fill="F2F2F2" w:themeFill="background1" w:themeFillShade="F2"/>
            <w:vAlign w:val="center"/>
            <w:hideMark/>
          </w:tcPr>
          <w:p w14:paraId="3128F3C7" w14:textId="77777777" w:rsidR="0052323E" w:rsidRPr="00A1136B" w:rsidRDefault="0052323E" w:rsidP="00EC1670">
            <w:pPr>
              <w:jc w:val="center"/>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Dry</w:t>
            </w:r>
          </w:p>
        </w:tc>
        <w:tc>
          <w:tcPr>
            <w:tcW w:w="1418" w:type="dxa"/>
            <w:tcBorders>
              <w:bottom w:val="single" w:sz="4" w:space="0" w:color="auto"/>
            </w:tcBorders>
            <w:shd w:val="clear" w:color="auto" w:fill="F2F2F2" w:themeFill="background1" w:themeFillShade="F2"/>
            <w:vAlign w:val="center"/>
            <w:hideMark/>
          </w:tcPr>
          <w:p w14:paraId="0B1CF010" w14:textId="77777777" w:rsidR="0052323E" w:rsidRPr="00A1136B" w:rsidRDefault="0052323E" w:rsidP="00EC1670">
            <w:pPr>
              <w:jc w:val="center"/>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Wet</w:t>
            </w:r>
          </w:p>
        </w:tc>
        <w:tc>
          <w:tcPr>
            <w:tcW w:w="1417" w:type="dxa"/>
            <w:tcBorders>
              <w:bottom w:val="single" w:sz="4" w:space="0" w:color="auto"/>
            </w:tcBorders>
            <w:shd w:val="clear" w:color="auto" w:fill="F2F2F2" w:themeFill="background1" w:themeFillShade="F2"/>
            <w:vAlign w:val="center"/>
            <w:hideMark/>
          </w:tcPr>
          <w:p w14:paraId="70325653" w14:textId="77777777" w:rsidR="0052323E" w:rsidRPr="00A1136B" w:rsidRDefault="0052323E" w:rsidP="00EC1670">
            <w:pPr>
              <w:jc w:val="center"/>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Dry</w:t>
            </w:r>
          </w:p>
        </w:tc>
        <w:tc>
          <w:tcPr>
            <w:tcW w:w="1418" w:type="dxa"/>
            <w:tcBorders>
              <w:bottom w:val="single" w:sz="4" w:space="0" w:color="auto"/>
            </w:tcBorders>
            <w:shd w:val="clear" w:color="auto" w:fill="F2F2F2" w:themeFill="background1" w:themeFillShade="F2"/>
            <w:vAlign w:val="center"/>
            <w:hideMark/>
          </w:tcPr>
          <w:p w14:paraId="5626970D" w14:textId="77777777" w:rsidR="0052323E" w:rsidRPr="00A1136B" w:rsidRDefault="0052323E" w:rsidP="00EC1670">
            <w:pPr>
              <w:jc w:val="center"/>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Wet</w:t>
            </w:r>
          </w:p>
        </w:tc>
      </w:tr>
      <w:tr w:rsidR="0052323E" w:rsidRPr="00A1136B" w14:paraId="4FE3DFE6" w14:textId="77777777" w:rsidTr="00EC1670">
        <w:trPr>
          <w:trHeight w:val="474"/>
        </w:trPr>
        <w:tc>
          <w:tcPr>
            <w:tcW w:w="2142" w:type="dxa"/>
            <w:vMerge w:val="restart"/>
            <w:tcBorders>
              <w:top w:val="single" w:sz="4" w:space="0" w:color="auto"/>
            </w:tcBorders>
            <w:shd w:val="clear" w:color="000000" w:fill="FFFFFF"/>
            <w:vAlign w:val="center"/>
            <w:hideMark/>
          </w:tcPr>
          <w:p w14:paraId="6E46FD53" w14:textId="77777777" w:rsidR="0052323E" w:rsidRPr="00A1136B" w:rsidRDefault="0052323E" w:rsidP="00EC1670">
            <w:pPr>
              <w:jc w:val="left"/>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Wet Tropics</w:t>
            </w:r>
          </w:p>
        </w:tc>
        <w:tc>
          <w:tcPr>
            <w:tcW w:w="2693" w:type="dxa"/>
            <w:tcBorders>
              <w:top w:val="single" w:sz="4" w:space="0" w:color="auto"/>
            </w:tcBorders>
            <w:shd w:val="clear" w:color="000000" w:fill="FFFFFF"/>
            <w:vAlign w:val="center"/>
            <w:hideMark/>
          </w:tcPr>
          <w:p w14:paraId="34714C51" w14:textId="77777777" w:rsidR="0052323E" w:rsidRPr="00A1136B" w:rsidRDefault="0052323E" w:rsidP="00EC1670">
            <w:pPr>
              <w:jc w:val="left"/>
              <w:rPr>
                <w:rFonts w:eastAsia="Times New Roman" w:cs="Arial"/>
                <w:color w:val="000000"/>
                <w:sz w:val="18"/>
                <w:szCs w:val="18"/>
                <w:lang w:val="en-AU" w:eastAsia="en-AU" w:bidi="ar-SA"/>
              </w:rPr>
            </w:pPr>
            <w:r w:rsidRPr="00A1136B">
              <w:rPr>
                <w:rFonts w:eastAsia="Times New Roman" w:cs="Arial"/>
                <w:color w:val="000000"/>
                <w:sz w:val="18"/>
                <w:szCs w:val="18"/>
                <w:lang w:val="en-AU" w:eastAsia="en-AU" w:bidi="ar-SA"/>
              </w:rPr>
              <w:t>Low Isles</w:t>
            </w:r>
          </w:p>
        </w:tc>
        <w:tc>
          <w:tcPr>
            <w:tcW w:w="1417" w:type="dxa"/>
            <w:tcBorders>
              <w:top w:val="single" w:sz="4" w:space="0" w:color="auto"/>
            </w:tcBorders>
            <w:shd w:val="clear" w:color="000000" w:fill="FFFFFF"/>
            <w:vAlign w:val="center"/>
            <w:hideMark/>
          </w:tcPr>
          <w:p w14:paraId="7989A04E"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tcBorders>
              <w:top w:val="single" w:sz="4" w:space="0" w:color="auto"/>
            </w:tcBorders>
            <w:shd w:val="clear" w:color="000000" w:fill="FFFFFF"/>
            <w:vAlign w:val="center"/>
            <w:hideMark/>
          </w:tcPr>
          <w:p w14:paraId="2FD7CB38"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7" w:type="dxa"/>
            <w:tcBorders>
              <w:top w:val="single" w:sz="4" w:space="0" w:color="auto"/>
            </w:tcBorders>
            <w:shd w:val="clear" w:color="000000" w:fill="FFFFFF"/>
            <w:vAlign w:val="center"/>
            <w:hideMark/>
          </w:tcPr>
          <w:p w14:paraId="049BF8FE"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tcBorders>
              <w:top w:val="single" w:sz="4" w:space="0" w:color="auto"/>
            </w:tcBorders>
            <w:shd w:val="clear" w:color="000000" w:fill="FFFFFF"/>
            <w:vAlign w:val="center"/>
            <w:hideMark/>
          </w:tcPr>
          <w:p w14:paraId="6EABCCFC"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r>
      <w:tr w:rsidR="0052323E" w:rsidRPr="00A1136B" w14:paraId="6AE4C206" w14:textId="77777777" w:rsidTr="00EC1670">
        <w:trPr>
          <w:trHeight w:val="570"/>
        </w:trPr>
        <w:tc>
          <w:tcPr>
            <w:tcW w:w="2142" w:type="dxa"/>
            <w:vMerge/>
            <w:vAlign w:val="center"/>
            <w:hideMark/>
          </w:tcPr>
          <w:p w14:paraId="74115A3C" w14:textId="77777777" w:rsidR="0052323E" w:rsidRPr="00A1136B" w:rsidRDefault="0052323E" w:rsidP="00EC1670">
            <w:pPr>
              <w:jc w:val="left"/>
              <w:rPr>
                <w:rFonts w:eastAsia="Times New Roman" w:cs="Arial"/>
                <w:b/>
                <w:bCs/>
                <w:color w:val="000000"/>
                <w:sz w:val="18"/>
                <w:szCs w:val="18"/>
                <w:lang w:val="en-AU" w:eastAsia="en-AU" w:bidi="ar-SA"/>
              </w:rPr>
            </w:pPr>
          </w:p>
        </w:tc>
        <w:tc>
          <w:tcPr>
            <w:tcW w:w="2693" w:type="dxa"/>
            <w:shd w:val="clear" w:color="000000" w:fill="FFFFFF"/>
            <w:vAlign w:val="center"/>
            <w:hideMark/>
          </w:tcPr>
          <w:p w14:paraId="58BFAE46" w14:textId="77777777" w:rsidR="0052323E" w:rsidRPr="00A1136B" w:rsidRDefault="0052323E" w:rsidP="00EC1670">
            <w:pPr>
              <w:jc w:val="left"/>
              <w:rPr>
                <w:rFonts w:eastAsia="Times New Roman" w:cs="Arial"/>
                <w:sz w:val="18"/>
                <w:szCs w:val="18"/>
                <w:lang w:val="en-AU" w:eastAsia="en-AU" w:bidi="ar-SA"/>
              </w:rPr>
            </w:pPr>
            <w:r w:rsidRPr="00A1136B">
              <w:rPr>
                <w:rFonts w:eastAsia="Times New Roman" w:cs="Arial"/>
                <w:color w:val="000000"/>
                <w:sz w:val="18"/>
                <w:szCs w:val="18"/>
                <w:lang w:val="en-AU" w:eastAsia="en-AU" w:bidi="ar-SA"/>
              </w:rPr>
              <w:t>High Island</w:t>
            </w:r>
            <w:r w:rsidRPr="00A1136B">
              <w:rPr>
                <w:rFonts w:eastAsia="Times New Roman" w:cs="Arial"/>
                <w:sz w:val="18"/>
                <w:szCs w:val="18"/>
                <w:lang w:val="en-AU" w:eastAsia="en-AU" w:bidi="ar-SA"/>
              </w:rPr>
              <w:t xml:space="preserve"> </w:t>
            </w:r>
          </w:p>
        </w:tc>
        <w:tc>
          <w:tcPr>
            <w:tcW w:w="1417" w:type="dxa"/>
            <w:shd w:val="clear" w:color="000000" w:fill="FFFFFF"/>
            <w:vAlign w:val="center"/>
            <w:hideMark/>
          </w:tcPr>
          <w:p w14:paraId="4C8DA4A5"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shd w:val="clear" w:color="000000" w:fill="FFFFFF"/>
            <w:vAlign w:val="center"/>
            <w:hideMark/>
          </w:tcPr>
          <w:p w14:paraId="70F23963"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7" w:type="dxa"/>
            <w:shd w:val="clear" w:color="000000" w:fill="FFFFFF"/>
            <w:vAlign w:val="center"/>
            <w:hideMark/>
          </w:tcPr>
          <w:p w14:paraId="179076F0"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shd w:val="clear" w:color="000000" w:fill="FFFFFF"/>
            <w:vAlign w:val="center"/>
            <w:hideMark/>
          </w:tcPr>
          <w:p w14:paraId="1C2FA54A"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r>
      <w:tr w:rsidR="0052323E" w:rsidRPr="00A1136B" w14:paraId="01161D3C" w14:textId="77777777" w:rsidTr="00EC1670">
        <w:trPr>
          <w:trHeight w:val="570"/>
        </w:trPr>
        <w:tc>
          <w:tcPr>
            <w:tcW w:w="2142" w:type="dxa"/>
            <w:vMerge/>
            <w:vAlign w:val="center"/>
            <w:hideMark/>
          </w:tcPr>
          <w:p w14:paraId="64F45E95" w14:textId="77777777" w:rsidR="0052323E" w:rsidRPr="00A1136B" w:rsidRDefault="0052323E" w:rsidP="00EC1670">
            <w:pPr>
              <w:jc w:val="left"/>
              <w:rPr>
                <w:rFonts w:eastAsia="Times New Roman" w:cs="Arial"/>
                <w:b/>
                <w:bCs/>
                <w:color w:val="000000"/>
                <w:sz w:val="18"/>
                <w:szCs w:val="18"/>
                <w:lang w:val="en-AU" w:eastAsia="en-AU" w:bidi="ar-SA"/>
              </w:rPr>
            </w:pPr>
          </w:p>
        </w:tc>
        <w:tc>
          <w:tcPr>
            <w:tcW w:w="2693" w:type="dxa"/>
            <w:shd w:val="clear" w:color="000000" w:fill="FFFFFF"/>
            <w:vAlign w:val="center"/>
            <w:hideMark/>
          </w:tcPr>
          <w:p w14:paraId="0DDD6475" w14:textId="77777777" w:rsidR="0052323E" w:rsidRPr="00A1136B" w:rsidRDefault="0052323E" w:rsidP="00EC1670">
            <w:pPr>
              <w:jc w:val="left"/>
              <w:rPr>
                <w:rFonts w:eastAsia="Times New Roman" w:cs="Arial"/>
                <w:color w:val="000000"/>
                <w:sz w:val="18"/>
                <w:szCs w:val="18"/>
                <w:lang w:val="en-AU" w:eastAsia="en-AU" w:bidi="ar-SA"/>
              </w:rPr>
            </w:pPr>
            <w:r w:rsidRPr="00A1136B">
              <w:rPr>
                <w:rFonts w:eastAsia="Times New Roman" w:cs="Arial"/>
                <w:sz w:val="18"/>
                <w:szCs w:val="18"/>
                <w:lang w:val="en-AU" w:eastAsia="en-AU" w:bidi="ar-SA"/>
              </w:rPr>
              <w:t>Normanby Island</w:t>
            </w:r>
          </w:p>
        </w:tc>
        <w:tc>
          <w:tcPr>
            <w:tcW w:w="1417" w:type="dxa"/>
            <w:shd w:val="clear" w:color="000000" w:fill="FFFFFF"/>
            <w:vAlign w:val="center"/>
            <w:hideMark/>
          </w:tcPr>
          <w:p w14:paraId="01638651"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shd w:val="clear" w:color="000000" w:fill="FFFFFF"/>
            <w:vAlign w:val="center"/>
            <w:hideMark/>
          </w:tcPr>
          <w:p w14:paraId="62249289"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7" w:type="dxa"/>
            <w:shd w:val="clear" w:color="000000" w:fill="FFFFFF"/>
            <w:vAlign w:val="center"/>
            <w:hideMark/>
          </w:tcPr>
          <w:p w14:paraId="30168C0E"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shd w:val="clear" w:color="000000" w:fill="FFFFFF"/>
            <w:vAlign w:val="center"/>
            <w:hideMark/>
          </w:tcPr>
          <w:p w14:paraId="6C07C4CF"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r>
      <w:tr w:rsidR="0052323E" w:rsidRPr="00A1136B" w14:paraId="260832D4" w14:textId="77777777" w:rsidTr="00EC1670">
        <w:trPr>
          <w:trHeight w:val="570"/>
        </w:trPr>
        <w:tc>
          <w:tcPr>
            <w:tcW w:w="2142" w:type="dxa"/>
            <w:vMerge/>
            <w:vAlign w:val="center"/>
            <w:hideMark/>
          </w:tcPr>
          <w:p w14:paraId="486C26CB" w14:textId="77777777" w:rsidR="0052323E" w:rsidRPr="00A1136B" w:rsidRDefault="0052323E" w:rsidP="00EC1670">
            <w:pPr>
              <w:jc w:val="left"/>
              <w:rPr>
                <w:rFonts w:eastAsia="Times New Roman" w:cs="Arial"/>
                <w:b/>
                <w:bCs/>
                <w:color w:val="000000"/>
                <w:sz w:val="18"/>
                <w:szCs w:val="18"/>
                <w:lang w:val="en-AU" w:eastAsia="en-AU" w:bidi="ar-SA"/>
              </w:rPr>
            </w:pPr>
          </w:p>
        </w:tc>
        <w:tc>
          <w:tcPr>
            <w:tcW w:w="2693" w:type="dxa"/>
            <w:shd w:val="clear" w:color="000000" w:fill="FFFFFF"/>
            <w:vAlign w:val="center"/>
            <w:hideMark/>
          </w:tcPr>
          <w:p w14:paraId="781902B9" w14:textId="77777777" w:rsidR="0052323E" w:rsidRPr="00A1136B" w:rsidRDefault="0052323E" w:rsidP="00EC1670">
            <w:pPr>
              <w:jc w:val="left"/>
              <w:rPr>
                <w:rFonts w:eastAsia="Times New Roman" w:cs="Arial"/>
                <w:color w:val="000000"/>
                <w:sz w:val="18"/>
                <w:szCs w:val="18"/>
                <w:lang w:val="en-AU" w:eastAsia="en-AU" w:bidi="ar-SA"/>
              </w:rPr>
            </w:pPr>
            <w:r w:rsidRPr="00A1136B">
              <w:rPr>
                <w:rFonts w:eastAsia="Times New Roman" w:cs="Arial"/>
                <w:color w:val="000000"/>
                <w:sz w:val="18"/>
                <w:szCs w:val="18"/>
                <w:lang w:val="en-AU" w:eastAsia="en-AU" w:bidi="ar-SA"/>
              </w:rPr>
              <w:t>Dunk Island</w:t>
            </w:r>
          </w:p>
        </w:tc>
        <w:tc>
          <w:tcPr>
            <w:tcW w:w="1417" w:type="dxa"/>
            <w:shd w:val="clear" w:color="000000" w:fill="FFFFFF"/>
            <w:vAlign w:val="center"/>
            <w:hideMark/>
          </w:tcPr>
          <w:p w14:paraId="728A7BB9"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shd w:val="clear" w:color="000000" w:fill="FFFFFF"/>
            <w:vAlign w:val="center"/>
            <w:hideMark/>
          </w:tcPr>
          <w:p w14:paraId="45B9669C"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7" w:type="dxa"/>
            <w:shd w:val="clear" w:color="000000" w:fill="FFFFFF"/>
            <w:vAlign w:val="center"/>
            <w:hideMark/>
          </w:tcPr>
          <w:p w14:paraId="74A258FE"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shd w:val="clear" w:color="000000" w:fill="FFFFFF"/>
            <w:vAlign w:val="center"/>
            <w:hideMark/>
          </w:tcPr>
          <w:p w14:paraId="133CFED0"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r>
      <w:tr w:rsidR="0052323E" w:rsidRPr="00A1136B" w14:paraId="0E4D9715" w14:textId="77777777" w:rsidTr="00EC1670">
        <w:trPr>
          <w:trHeight w:val="570"/>
        </w:trPr>
        <w:tc>
          <w:tcPr>
            <w:tcW w:w="2142" w:type="dxa"/>
            <w:vMerge/>
            <w:tcBorders>
              <w:bottom w:val="single" w:sz="4" w:space="0" w:color="auto"/>
            </w:tcBorders>
            <w:shd w:val="clear" w:color="000000" w:fill="FFFFFF"/>
            <w:vAlign w:val="center"/>
            <w:hideMark/>
          </w:tcPr>
          <w:p w14:paraId="2392AA83" w14:textId="77777777" w:rsidR="0052323E" w:rsidRPr="00A1136B" w:rsidRDefault="0052323E" w:rsidP="00EC1670">
            <w:pPr>
              <w:jc w:val="left"/>
              <w:rPr>
                <w:rFonts w:eastAsia="Times New Roman" w:cs="Arial"/>
                <w:b/>
                <w:bCs/>
                <w:color w:val="000000"/>
                <w:sz w:val="18"/>
                <w:szCs w:val="18"/>
                <w:lang w:val="en-AU" w:eastAsia="en-AU" w:bidi="ar-SA"/>
              </w:rPr>
            </w:pPr>
          </w:p>
        </w:tc>
        <w:tc>
          <w:tcPr>
            <w:tcW w:w="2693" w:type="dxa"/>
            <w:tcBorders>
              <w:bottom w:val="single" w:sz="4" w:space="0" w:color="auto"/>
            </w:tcBorders>
            <w:shd w:val="clear" w:color="000000" w:fill="FFFFFF"/>
            <w:vAlign w:val="center"/>
            <w:hideMark/>
          </w:tcPr>
          <w:p w14:paraId="4CA41F9B" w14:textId="77777777" w:rsidR="0052323E" w:rsidRPr="00A1136B" w:rsidRDefault="0052323E" w:rsidP="00EC1670">
            <w:pPr>
              <w:jc w:val="left"/>
              <w:rPr>
                <w:rFonts w:eastAsia="Times New Roman" w:cs="Arial"/>
                <w:color w:val="000000"/>
                <w:sz w:val="18"/>
                <w:szCs w:val="18"/>
                <w:lang w:val="en-AU" w:eastAsia="en-AU" w:bidi="ar-SA"/>
              </w:rPr>
            </w:pPr>
            <w:r w:rsidRPr="00A1136B">
              <w:rPr>
                <w:rFonts w:eastAsia="Times New Roman" w:cs="Arial"/>
                <w:color w:val="000000"/>
                <w:sz w:val="18"/>
                <w:szCs w:val="18"/>
                <w:lang w:val="en-AU" w:eastAsia="en-AU" w:bidi="ar-SA"/>
              </w:rPr>
              <w:t>Lucinda</w:t>
            </w:r>
          </w:p>
        </w:tc>
        <w:tc>
          <w:tcPr>
            <w:tcW w:w="1417" w:type="dxa"/>
            <w:tcBorders>
              <w:bottom w:val="single" w:sz="4" w:space="0" w:color="auto"/>
            </w:tcBorders>
            <w:shd w:val="clear" w:color="000000" w:fill="FFFFFF"/>
            <w:vAlign w:val="center"/>
            <w:hideMark/>
          </w:tcPr>
          <w:p w14:paraId="4F5D6A1B"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tcBorders>
              <w:bottom w:val="single" w:sz="4" w:space="0" w:color="auto"/>
            </w:tcBorders>
            <w:shd w:val="clear" w:color="000000" w:fill="FFFFFF"/>
            <w:vAlign w:val="center"/>
            <w:hideMark/>
          </w:tcPr>
          <w:p w14:paraId="4DBC5DC2"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7" w:type="dxa"/>
            <w:tcBorders>
              <w:bottom w:val="single" w:sz="4" w:space="0" w:color="auto"/>
            </w:tcBorders>
            <w:shd w:val="clear" w:color="000000" w:fill="FFFFFF"/>
            <w:vAlign w:val="center"/>
            <w:hideMark/>
          </w:tcPr>
          <w:p w14:paraId="4E65AE0C"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tcBorders>
              <w:bottom w:val="single" w:sz="4" w:space="0" w:color="auto"/>
            </w:tcBorders>
            <w:shd w:val="clear" w:color="000000" w:fill="FFFFFF"/>
            <w:vAlign w:val="center"/>
            <w:hideMark/>
          </w:tcPr>
          <w:p w14:paraId="2DD2E2A5"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r>
      <w:tr w:rsidR="0052323E" w:rsidRPr="00A1136B" w14:paraId="1A21439D" w14:textId="77777777" w:rsidTr="00EC1670">
        <w:trPr>
          <w:trHeight w:val="570"/>
        </w:trPr>
        <w:tc>
          <w:tcPr>
            <w:tcW w:w="2142" w:type="dxa"/>
            <w:tcBorders>
              <w:top w:val="single" w:sz="4" w:space="0" w:color="auto"/>
              <w:bottom w:val="single" w:sz="4" w:space="0" w:color="auto"/>
            </w:tcBorders>
            <w:shd w:val="clear" w:color="000000" w:fill="FFFFFF"/>
            <w:vAlign w:val="center"/>
            <w:hideMark/>
          </w:tcPr>
          <w:p w14:paraId="51A9AA83" w14:textId="77777777" w:rsidR="0052323E" w:rsidRPr="00A1136B" w:rsidRDefault="0052323E" w:rsidP="00EC1670">
            <w:pPr>
              <w:jc w:val="left"/>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Burdekin</w:t>
            </w:r>
          </w:p>
        </w:tc>
        <w:tc>
          <w:tcPr>
            <w:tcW w:w="2693" w:type="dxa"/>
            <w:tcBorders>
              <w:top w:val="single" w:sz="4" w:space="0" w:color="auto"/>
              <w:bottom w:val="single" w:sz="4" w:space="0" w:color="auto"/>
            </w:tcBorders>
            <w:shd w:val="clear" w:color="000000" w:fill="FFFFFF"/>
            <w:vAlign w:val="center"/>
            <w:hideMark/>
          </w:tcPr>
          <w:p w14:paraId="74FF5208" w14:textId="77777777" w:rsidR="0052323E" w:rsidRPr="00A1136B" w:rsidRDefault="0052323E" w:rsidP="00EC1670">
            <w:pPr>
              <w:jc w:val="left"/>
              <w:rPr>
                <w:rFonts w:eastAsia="Times New Roman" w:cs="Arial"/>
                <w:color w:val="000000"/>
                <w:sz w:val="18"/>
                <w:szCs w:val="18"/>
                <w:lang w:val="en-AU" w:eastAsia="en-AU" w:bidi="ar-SA"/>
              </w:rPr>
            </w:pPr>
            <w:r w:rsidRPr="00A1136B">
              <w:rPr>
                <w:rFonts w:eastAsia="Times New Roman" w:cs="Arial"/>
                <w:color w:val="000000"/>
                <w:sz w:val="18"/>
                <w:szCs w:val="18"/>
                <w:lang w:val="en-AU" w:eastAsia="en-AU" w:bidi="ar-SA"/>
              </w:rPr>
              <w:t>Barratta Creek Mouth</w:t>
            </w:r>
          </w:p>
        </w:tc>
        <w:tc>
          <w:tcPr>
            <w:tcW w:w="1417" w:type="dxa"/>
            <w:tcBorders>
              <w:top w:val="single" w:sz="4" w:space="0" w:color="auto"/>
              <w:bottom w:val="single" w:sz="4" w:space="0" w:color="auto"/>
            </w:tcBorders>
            <w:shd w:val="clear" w:color="000000" w:fill="FFFFFF"/>
            <w:vAlign w:val="center"/>
            <w:hideMark/>
          </w:tcPr>
          <w:p w14:paraId="01FAF313"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tcBorders>
              <w:top w:val="single" w:sz="4" w:space="0" w:color="auto"/>
              <w:bottom w:val="single" w:sz="4" w:space="0" w:color="auto"/>
            </w:tcBorders>
            <w:shd w:val="clear" w:color="000000" w:fill="FFFFFF"/>
            <w:vAlign w:val="center"/>
            <w:hideMark/>
          </w:tcPr>
          <w:p w14:paraId="134BBE40"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7" w:type="dxa"/>
            <w:tcBorders>
              <w:top w:val="single" w:sz="4" w:space="0" w:color="auto"/>
              <w:bottom w:val="single" w:sz="4" w:space="0" w:color="auto"/>
            </w:tcBorders>
            <w:shd w:val="clear" w:color="000000" w:fill="FFFFFF"/>
            <w:vAlign w:val="center"/>
            <w:hideMark/>
          </w:tcPr>
          <w:p w14:paraId="5BCE6662"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tcBorders>
              <w:top w:val="single" w:sz="4" w:space="0" w:color="auto"/>
              <w:bottom w:val="single" w:sz="4" w:space="0" w:color="auto"/>
            </w:tcBorders>
            <w:shd w:val="clear" w:color="000000" w:fill="FFFFFF"/>
            <w:vAlign w:val="center"/>
            <w:hideMark/>
          </w:tcPr>
          <w:p w14:paraId="183A92DF"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r>
      <w:tr w:rsidR="0052323E" w:rsidRPr="00A1136B" w14:paraId="21D198D3" w14:textId="77777777" w:rsidTr="00EC1670">
        <w:trPr>
          <w:trHeight w:val="570"/>
        </w:trPr>
        <w:tc>
          <w:tcPr>
            <w:tcW w:w="2142" w:type="dxa"/>
            <w:vMerge w:val="restart"/>
            <w:tcBorders>
              <w:top w:val="single" w:sz="4" w:space="0" w:color="auto"/>
            </w:tcBorders>
            <w:shd w:val="clear" w:color="000000" w:fill="FFFFFF"/>
            <w:vAlign w:val="center"/>
            <w:hideMark/>
          </w:tcPr>
          <w:p w14:paraId="092BA645" w14:textId="77777777" w:rsidR="0052323E" w:rsidRPr="00A1136B" w:rsidRDefault="0052323E" w:rsidP="00EC1670">
            <w:pPr>
              <w:jc w:val="left"/>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Mackay Whitsunday</w:t>
            </w:r>
          </w:p>
        </w:tc>
        <w:tc>
          <w:tcPr>
            <w:tcW w:w="2693" w:type="dxa"/>
            <w:tcBorders>
              <w:top w:val="single" w:sz="4" w:space="0" w:color="auto"/>
            </w:tcBorders>
            <w:shd w:val="clear" w:color="000000" w:fill="FFFFFF"/>
            <w:vAlign w:val="center"/>
            <w:hideMark/>
          </w:tcPr>
          <w:p w14:paraId="6A965C70" w14:textId="77777777" w:rsidR="0052323E" w:rsidRPr="00A1136B" w:rsidRDefault="0052323E" w:rsidP="00EC1670">
            <w:pPr>
              <w:jc w:val="left"/>
              <w:rPr>
                <w:rFonts w:eastAsia="Times New Roman" w:cs="Arial"/>
                <w:color w:val="000000"/>
                <w:sz w:val="18"/>
                <w:szCs w:val="18"/>
                <w:lang w:val="en-AU" w:eastAsia="en-AU" w:bidi="ar-SA"/>
              </w:rPr>
            </w:pPr>
            <w:r w:rsidRPr="00A1136B">
              <w:rPr>
                <w:rFonts w:eastAsia="Times New Roman" w:cs="Arial"/>
                <w:color w:val="000000"/>
                <w:sz w:val="18"/>
                <w:szCs w:val="18"/>
                <w:lang w:val="en-AU" w:eastAsia="en-AU" w:bidi="ar-SA"/>
              </w:rPr>
              <w:t>Repulse Bay</w:t>
            </w:r>
          </w:p>
        </w:tc>
        <w:tc>
          <w:tcPr>
            <w:tcW w:w="1417" w:type="dxa"/>
            <w:tcBorders>
              <w:top w:val="single" w:sz="4" w:space="0" w:color="auto"/>
            </w:tcBorders>
            <w:shd w:val="clear" w:color="000000" w:fill="FFFFFF"/>
            <w:vAlign w:val="center"/>
            <w:hideMark/>
          </w:tcPr>
          <w:p w14:paraId="25651772"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tcBorders>
              <w:top w:val="single" w:sz="4" w:space="0" w:color="auto"/>
            </w:tcBorders>
            <w:shd w:val="clear" w:color="000000" w:fill="FFFFFF"/>
            <w:vAlign w:val="center"/>
            <w:hideMark/>
          </w:tcPr>
          <w:p w14:paraId="32413354"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7" w:type="dxa"/>
            <w:tcBorders>
              <w:top w:val="single" w:sz="4" w:space="0" w:color="auto"/>
            </w:tcBorders>
            <w:shd w:val="clear" w:color="000000" w:fill="FFFFFF"/>
            <w:vAlign w:val="center"/>
            <w:hideMark/>
          </w:tcPr>
          <w:p w14:paraId="0A5AD8DD"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tcBorders>
              <w:top w:val="single" w:sz="4" w:space="0" w:color="auto"/>
            </w:tcBorders>
            <w:shd w:val="clear" w:color="000000" w:fill="FFFFFF"/>
            <w:vAlign w:val="center"/>
            <w:hideMark/>
          </w:tcPr>
          <w:p w14:paraId="5A3E445D"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r>
      <w:tr w:rsidR="0052323E" w:rsidRPr="00A1136B" w14:paraId="1DBFBD62" w14:textId="77777777" w:rsidTr="00EC1670">
        <w:trPr>
          <w:trHeight w:val="570"/>
        </w:trPr>
        <w:tc>
          <w:tcPr>
            <w:tcW w:w="2142" w:type="dxa"/>
            <w:vMerge/>
            <w:vAlign w:val="center"/>
            <w:hideMark/>
          </w:tcPr>
          <w:p w14:paraId="00E0A5DB" w14:textId="77777777" w:rsidR="0052323E" w:rsidRPr="00A1136B" w:rsidRDefault="0052323E" w:rsidP="00EC1670">
            <w:pPr>
              <w:jc w:val="left"/>
              <w:rPr>
                <w:rFonts w:eastAsia="Times New Roman" w:cs="Arial"/>
                <w:b/>
                <w:bCs/>
                <w:color w:val="000000"/>
                <w:sz w:val="18"/>
                <w:szCs w:val="18"/>
                <w:lang w:val="en-AU" w:eastAsia="en-AU" w:bidi="ar-SA"/>
              </w:rPr>
            </w:pPr>
          </w:p>
        </w:tc>
        <w:tc>
          <w:tcPr>
            <w:tcW w:w="2693" w:type="dxa"/>
            <w:shd w:val="clear" w:color="000000" w:fill="FFFFFF"/>
            <w:vAlign w:val="center"/>
            <w:hideMark/>
          </w:tcPr>
          <w:p w14:paraId="454775CF" w14:textId="77777777" w:rsidR="0052323E" w:rsidRPr="00A1136B" w:rsidRDefault="0052323E" w:rsidP="00EC1670">
            <w:pPr>
              <w:jc w:val="left"/>
              <w:rPr>
                <w:rFonts w:eastAsia="Times New Roman" w:cs="Arial"/>
                <w:color w:val="000000"/>
                <w:sz w:val="18"/>
                <w:szCs w:val="18"/>
                <w:lang w:val="en-AU" w:eastAsia="en-AU" w:bidi="ar-SA"/>
              </w:rPr>
            </w:pPr>
            <w:r w:rsidRPr="00A1136B">
              <w:rPr>
                <w:rFonts w:eastAsia="Times New Roman" w:cs="Arial"/>
                <w:color w:val="000000"/>
                <w:sz w:val="18"/>
                <w:szCs w:val="18"/>
                <w:lang w:val="en-AU" w:eastAsia="en-AU" w:bidi="ar-SA"/>
              </w:rPr>
              <w:t>Round Top Island</w:t>
            </w:r>
          </w:p>
        </w:tc>
        <w:tc>
          <w:tcPr>
            <w:tcW w:w="1417" w:type="dxa"/>
            <w:shd w:val="clear" w:color="000000" w:fill="FFFFFF"/>
            <w:vAlign w:val="center"/>
            <w:hideMark/>
          </w:tcPr>
          <w:p w14:paraId="617F6954"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shd w:val="clear" w:color="000000" w:fill="FFFFFF"/>
            <w:vAlign w:val="center"/>
            <w:hideMark/>
          </w:tcPr>
          <w:p w14:paraId="6FF8ACBB"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7" w:type="dxa"/>
            <w:shd w:val="clear" w:color="000000" w:fill="FFFFFF"/>
            <w:vAlign w:val="center"/>
            <w:hideMark/>
          </w:tcPr>
          <w:p w14:paraId="32076D62"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shd w:val="clear" w:color="000000" w:fill="FFFFFF"/>
            <w:vAlign w:val="center"/>
            <w:hideMark/>
          </w:tcPr>
          <w:p w14:paraId="61FC0E5C"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r>
      <w:tr w:rsidR="0052323E" w:rsidRPr="00A1136B" w14:paraId="750083DF" w14:textId="77777777" w:rsidTr="00EC1670">
        <w:trPr>
          <w:trHeight w:val="570"/>
        </w:trPr>
        <w:tc>
          <w:tcPr>
            <w:tcW w:w="2142" w:type="dxa"/>
            <w:vMerge/>
            <w:vAlign w:val="center"/>
            <w:hideMark/>
          </w:tcPr>
          <w:p w14:paraId="5FD129E6" w14:textId="77777777" w:rsidR="0052323E" w:rsidRPr="00A1136B" w:rsidRDefault="0052323E" w:rsidP="00EC1670">
            <w:pPr>
              <w:jc w:val="left"/>
              <w:rPr>
                <w:rFonts w:eastAsia="Times New Roman" w:cs="Arial"/>
                <w:b/>
                <w:bCs/>
                <w:color w:val="000000"/>
                <w:sz w:val="18"/>
                <w:szCs w:val="18"/>
                <w:lang w:val="en-AU" w:eastAsia="en-AU" w:bidi="ar-SA"/>
              </w:rPr>
            </w:pPr>
          </w:p>
        </w:tc>
        <w:tc>
          <w:tcPr>
            <w:tcW w:w="2693" w:type="dxa"/>
            <w:shd w:val="clear" w:color="000000" w:fill="FFFFFF"/>
            <w:vAlign w:val="center"/>
            <w:hideMark/>
          </w:tcPr>
          <w:p w14:paraId="76413976" w14:textId="77777777" w:rsidR="0052323E" w:rsidRPr="00A1136B" w:rsidRDefault="0052323E" w:rsidP="00EC1670">
            <w:pPr>
              <w:jc w:val="left"/>
              <w:rPr>
                <w:rFonts w:eastAsia="Times New Roman" w:cs="Arial"/>
                <w:color w:val="000000"/>
                <w:sz w:val="18"/>
                <w:szCs w:val="18"/>
                <w:lang w:val="en-AU" w:eastAsia="en-AU" w:bidi="ar-SA"/>
              </w:rPr>
            </w:pPr>
            <w:r w:rsidRPr="00A1136B">
              <w:rPr>
                <w:rFonts w:eastAsia="Times New Roman" w:cs="Arial"/>
                <w:color w:val="000000"/>
                <w:sz w:val="18"/>
                <w:szCs w:val="18"/>
                <w:lang w:val="en-AU" w:eastAsia="en-AU" w:bidi="ar-SA"/>
              </w:rPr>
              <w:t>Sandy Creek</w:t>
            </w:r>
          </w:p>
        </w:tc>
        <w:tc>
          <w:tcPr>
            <w:tcW w:w="1417" w:type="dxa"/>
            <w:shd w:val="clear" w:color="000000" w:fill="FFFFFF"/>
            <w:vAlign w:val="center"/>
            <w:hideMark/>
          </w:tcPr>
          <w:p w14:paraId="3F466D10"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shd w:val="clear" w:color="000000" w:fill="FFFFFF"/>
            <w:vAlign w:val="center"/>
            <w:hideMark/>
          </w:tcPr>
          <w:p w14:paraId="0BD2C8C5"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7" w:type="dxa"/>
            <w:shd w:val="clear" w:color="000000" w:fill="FFFFFF"/>
            <w:vAlign w:val="center"/>
            <w:hideMark/>
          </w:tcPr>
          <w:p w14:paraId="306CEBC2"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shd w:val="clear" w:color="000000" w:fill="FFFFFF"/>
            <w:vAlign w:val="center"/>
            <w:hideMark/>
          </w:tcPr>
          <w:p w14:paraId="5D9D422C"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r>
      <w:tr w:rsidR="0052323E" w:rsidRPr="00A1136B" w14:paraId="2FCD39F0" w14:textId="77777777" w:rsidTr="00EC1670">
        <w:trPr>
          <w:trHeight w:val="570"/>
        </w:trPr>
        <w:tc>
          <w:tcPr>
            <w:tcW w:w="2142" w:type="dxa"/>
            <w:vMerge/>
            <w:tcBorders>
              <w:bottom w:val="single" w:sz="4" w:space="0" w:color="auto"/>
            </w:tcBorders>
            <w:vAlign w:val="center"/>
            <w:hideMark/>
          </w:tcPr>
          <w:p w14:paraId="2FD005D0" w14:textId="77777777" w:rsidR="0052323E" w:rsidRPr="00A1136B" w:rsidRDefault="0052323E" w:rsidP="00EC1670">
            <w:pPr>
              <w:jc w:val="left"/>
              <w:rPr>
                <w:rFonts w:eastAsia="Times New Roman" w:cs="Arial"/>
                <w:b/>
                <w:bCs/>
                <w:color w:val="000000"/>
                <w:sz w:val="18"/>
                <w:szCs w:val="18"/>
                <w:lang w:val="en-AU" w:eastAsia="en-AU" w:bidi="ar-SA"/>
              </w:rPr>
            </w:pPr>
          </w:p>
        </w:tc>
        <w:tc>
          <w:tcPr>
            <w:tcW w:w="2693" w:type="dxa"/>
            <w:tcBorders>
              <w:bottom w:val="single" w:sz="4" w:space="0" w:color="auto"/>
            </w:tcBorders>
            <w:shd w:val="clear" w:color="000000" w:fill="FFFFFF"/>
            <w:vAlign w:val="center"/>
            <w:hideMark/>
          </w:tcPr>
          <w:p w14:paraId="5A7BC385" w14:textId="77777777" w:rsidR="0052323E" w:rsidRPr="00A1136B" w:rsidRDefault="0052323E" w:rsidP="00EC1670">
            <w:pPr>
              <w:jc w:val="left"/>
              <w:rPr>
                <w:rFonts w:eastAsia="Times New Roman" w:cs="Arial"/>
                <w:color w:val="000000"/>
                <w:sz w:val="18"/>
                <w:szCs w:val="18"/>
                <w:lang w:val="en-AU" w:eastAsia="en-AU" w:bidi="ar-SA"/>
              </w:rPr>
            </w:pPr>
            <w:r w:rsidRPr="00A1136B">
              <w:rPr>
                <w:rFonts w:eastAsia="Times New Roman" w:cs="Arial"/>
                <w:color w:val="000000"/>
                <w:sz w:val="18"/>
                <w:szCs w:val="18"/>
                <w:lang w:val="en-AU" w:eastAsia="en-AU" w:bidi="ar-SA"/>
              </w:rPr>
              <w:t>Sarina Inlet</w:t>
            </w:r>
          </w:p>
        </w:tc>
        <w:tc>
          <w:tcPr>
            <w:tcW w:w="1417" w:type="dxa"/>
            <w:tcBorders>
              <w:bottom w:val="single" w:sz="4" w:space="0" w:color="auto"/>
            </w:tcBorders>
            <w:shd w:val="clear" w:color="000000" w:fill="FFFFFF"/>
            <w:vAlign w:val="center"/>
            <w:hideMark/>
          </w:tcPr>
          <w:p w14:paraId="59089FAE"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tcBorders>
              <w:bottom w:val="single" w:sz="4" w:space="0" w:color="auto"/>
            </w:tcBorders>
            <w:shd w:val="clear" w:color="000000" w:fill="FFFFFF"/>
            <w:vAlign w:val="center"/>
            <w:hideMark/>
          </w:tcPr>
          <w:p w14:paraId="3AE2B24C"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7" w:type="dxa"/>
            <w:tcBorders>
              <w:bottom w:val="single" w:sz="4" w:space="0" w:color="auto"/>
            </w:tcBorders>
            <w:shd w:val="clear" w:color="000000" w:fill="FFFFFF"/>
            <w:vAlign w:val="center"/>
            <w:hideMark/>
          </w:tcPr>
          <w:p w14:paraId="25DEF084"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tcBorders>
              <w:bottom w:val="single" w:sz="4" w:space="0" w:color="auto"/>
            </w:tcBorders>
            <w:shd w:val="clear" w:color="000000" w:fill="FFFFFF"/>
            <w:vAlign w:val="center"/>
            <w:hideMark/>
          </w:tcPr>
          <w:p w14:paraId="74BDC8CC"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r>
      <w:tr w:rsidR="0052323E" w:rsidRPr="00A1136B" w14:paraId="1EE17467" w14:textId="77777777" w:rsidTr="00EC1670">
        <w:trPr>
          <w:trHeight w:val="570"/>
        </w:trPr>
        <w:tc>
          <w:tcPr>
            <w:tcW w:w="2142" w:type="dxa"/>
            <w:tcBorders>
              <w:top w:val="single" w:sz="4" w:space="0" w:color="auto"/>
              <w:bottom w:val="single" w:sz="4" w:space="0" w:color="auto"/>
            </w:tcBorders>
            <w:shd w:val="clear" w:color="000000" w:fill="FFFFFF"/>
            <w:vAlign w:val="center"/>
            <w:hideMark/>
          </w:tcPr>
          <w:p w14:paraId="6F348187" w14:textId="77777777" w:rsidR="0052323E" w:rsidRPr="00A1136B" w:rsidRDefault="0052323E" w:rsidP="00EC1670">
            <w:pPr>
              <w:jc w:val="left"/>
              <w:rPr>
                <w:rFonts w:eastAsia="Times New Roman" w:cs="Arial"/>
                <w:b/>
                <w:bCs/>
                <w:color w:val="000000"/>
                <w:sz w:val="18"/>
                <w:szCs w:val="18"/>
                <w:lang w:val="en-AU" w:eastAsia="en-AU" w:bidi="ar-SA"/>
              </w:rPr>
            </w:pPr>
            <w:r w:rsidRPr="00A1136B">
              <w:rPr>
                <w:rFonts w:eastAsia="Times New Roman" w:cs="Arial"/>
                <w:b/>
                <w:bCs/>
                <w:color w:val="000000"/>
                <w:sz w:val="18"/>
                <w:szCs w:val="18"/>
                <w:lang w:val="en-AU" w:eastAsia="en-AU" w:bidi="ar-SA"/>
              </w:rPr>
              <w:t>Fitzroy</w:t>
            </w:r>
          </w:p>
        </w:tc>
        <w:tc>
          <w:tcPr>
            <w:tcW w:w="2693" w:type="dxa"/>
            <w:tcBorders>
              <w:top w:val="single" w:sz="4" w:space="0" w:color="auto"/>
              <w:bottom w:val="single" w:sz="4" w:space="0" w:color="auto"/>
            </w:tcBorders>
            <w:shd w:val="clear" w:color="000000" w:fill="FFFFFF"/>
            <w:vAlign w:val="center"/>
            <w:hideMark/>
          </w:tcPr>
          <w:p w14:paraId="4C5A13F9" w14:textId="77777777" w:rsidR="0052323E" w:rsidRPr="00A1136B" w:rsidRDefault="0052323E" w:rsidP="00EC1670">
            <w:pPr>
              <w:jc w:val="left"/>
              <w:rPr>
                <w:rFonts w:eastAsia="Times New Roman" w:cs="Arial"/>
                <w:color w:val="000000"/>
                <w:sz w:val="18"/>
                <w:szCs w:val="18"/>
                <w:lang w:val="en-AU" w:eastAsia="en-AU" w:bidi="ar-SA"/>
              </w:rPr>
            </w:pPr>
            <w:r w:rsidRPr="00A1136B">
              <w:rPr>
                <w:rFonts w:eastAsia="Times New Roman" w:cs="Arial"/>
                <w:color w:val="000000"/>
                <w:sz w:val="18"/>
                <w:szCs w:val="18"/>
                <w:lang w:val="en-AU" w:eastAsia="en-AU" w:bidi="ar-SA"/>
              </w:rPr>
              <w:t>North Keppel Island</w:t>
            </w:r>
          </w:p>
        </w:tc>
        <w:tc>
          <w:tcPr>
            <w:tcW w:w="1417" w:type="dxa"/>
            <w:tcBorders>
              <w:top w:val="single" w:sz="4" w:space="0" w:color="auto"/>
              <w:bottom w:val="single" w:sz="4" w:space="0" w:color="auto"/>
            </w:tcBorders>
            <w:shd w:val="clear" w:color="000000" w:fill="FFFFFF"/>
            <w:vAlign w:val="center"/>
            <w:hideMark/>
          </w:tcPr>
          <w:p w14:paraId="36BD2215"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8" w:type="dxa"/>
            <w:tcBorders>
              <w:top w:val="single" w:sz="4" w:space="0" w:color="auto"/>
              <w:bottom w:val="single" w:sz="4" w:space="0" w:color="auto"/>
            </w:tcBorders>
            <w:shd w:val="clear" w:color="000000" w:fill="FFFFFF"/>
            <w:vAlign w:val="center"/>
            <w:hideMark/>
          </w:tcPr>
          <w:p w14:paraId="10D14551" w14:textId="77777777" w:rsidR="0052323E" w:rsidRPr="00A1136B" w:rsidRDefault="0052323E" w:rsidP="00EC1670">
            <w:pPr>
              <w:jc w:val="center"/>
              <w:rPr>
                <w:rFonts w:ascii="Wingdings" w:eastAsia="Times New Roman" w:hAnsi="Wingdings" w:cs="Times New Roman"/>
                <w:color w:val="00B050"/>
                <w:sz w:val="28"/>
                <w:szCs w:val="28"/>
                <w:lang w:val="en-AU" w:eastAsia="en-AU" w:bidi="ar-SA"/>
              </w:rPr>
            </w:pPr>
            <w:r w:rsidRPr="00A1136B">
              <w:rPr>
                <w:rFonts w:ascii="Wingdings" w:eastAsia="Times New Roman" w:hAnsi="Wingdings" w:cs="Times New Roman"/>
                <w:color w:val="00B050"/>
                <w:sz w:val="28"/>
                <w:szCs w:val="28"/>
                <w:lang w:val="en-AU" w:eastAsia="en-AU" w:bidi="ar-SA"/>
              </w:rPr>
              <w:t></w:t>
            </w:r>
          </w:p>
        </w:tc>
        <w:tc>
          <w:tcPr>
            <w:tcW w:w="1417" w:type="dxa"/>
            <w:tcBorders>
              <w:top w:val="single" w:sz="4" w:space="0" w:color="auto"/>
              <w:bottom w:val="single" w:sz="4" w:space="0" w:color="auto"/>
            </w:tcBorders>
            <w:shd w:val="clear" w:color="000000" w:fill="FFFFFF"/>
            <w:vAlign w:val="center"/>
            <w:hideMark/>
          </w:tcPr>
          <w:p w14:paraId="475CE50E"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c>
          <w:tcPr>
            <w:tcW w:w="1418" w:type="dxa"/>
            <w:tcBorders>
              <w:top w:val="single" w:sz="4" w:space="0" w:color="auto"/>
              <w:bottom w:val="single" w:sz="4" w:space="0" w:color="auto"/>
            </w:tcBorders>
            <w:shd w:val="clear" w:color="000000" w:fill="FFFFFF"/>
            <w:vAlign w:val="center"/>
            <w:hideMark/>
          </w:tcPr>
          <w:p w14:paraId="51CC1F81" w14:textId="77777777" w:rsidR="0052323E" w:rsidRPr="00A1136B" w:rsidRDefault="0052323E" w:rsidP="00EC1670">
            <w:pPr>
              <w:jc w:val="center"/>
              <w:rPr>
                <w:rFonts w:ascii="Wingdings" w:eastAsia="Times New Roman" w:hAnsi="Wingdings" w:cs="Times New Roman"/>
                <w:color w:val="FF0000"/>
                <w:sz w:val="28"/>
                <w:szCs w:val="28"/>
                <w:lang w:val="en-AU" w:eastAsia="en-AU" w:bidi="ar-SA"/>
              </w:rPr>
            </w:pPr>
            <w:r w:rsidRPr="00A1136B">
              <w:rPr>
                <w:rFonts w:ascii="Wingdings" w:eastAsia="Times New Roman" w:hAnsi="Wingdings" w:cs="Times New Roman"/>
                <w:color w:val="FF0000"/>
                <w:sz w:val="28"/>
                <w:szCs w:val="28"/>
                <w:lang w:val="en-AU" w:eastAsia="en-AU" w:bidi="ar-SA"/>
              </w:rPr>
              <w:t></w:t>
            </w:r>
          </w:p>
        </w:tc>
      </w:tr>
    </w:tbl>
    <w:p w14:paraId="3642A4D2" w14:textId="77777777" w:rsidR="0052323E" w:rsidRDefault="0052323E" w:rsidP="0052323E"/>
    <w:p w14:paraId="0976E692" w14:textId="77777777" w:rsidR="0052323E" w:rsidRPr="0052323E" w:rsidRDefault="0052323E" w:rsidP="0052323E"/>
    <w:p w14:paraId="15720E2D" w14:textId="77777777" w:rsidR="0059608E" w:rsidRPr="003B6560" w:rsidRDefault="003B6560" w:rsidP="00220439">
      <w:pPr>
        <w:pStyle w:val="Heading30"/>
        <w:numPr>
          <w:ilvl w:val="2"/>
          <w:numId w:val="1"/>
        </w:numPr>
      </w:pPr>
      <w:bookmarkStart w:id="96" w:name="_Toc455069261"/>
      <w:bookmarkStart w:id="97" w:name="_Toc455069911"/>
      <w:bookmarkStart w:id="98" w:name="_Toc455070183"/>
      <w:bookmarkStart w:id="99" w:name="_Toc455151580"/>
      <w:bookmarkStart w:id="100" w:name="_Toc455069262"/>
      <w:bookmarkStart w:id="101" w:name="_Toc455069912"/>
      <w:bookmarkStart w:id="102" w:name="_Toc455070184"/>
      <w:bookmarkStart w:id="103" w:name="_Toc455151581"/>
      <w:bookmarkStart w:id="104" w:name="_Toc455069263"/>
      <w:bookmarkStart w:id="105" w:name="_Toc455069913"/>
      <w:bookmarkStart w:id="106" w:name="_Toc455070185"/>
      <w:bookmarkStart w:id="107" w:name="_Toc455151582"/>
      <w:bookmarkStart w:id="108" w:name="_Toc461457756"/>
      <w:bookmarkStart w:id="109" w:name="_Toc502499992"/>
      <w:bookmarkEnd w:id="96"/>
      <w:bookmarkEnd w:id="97"/>
      <w:bookmarkEnd w:id="98"/>
      <w:bookmarkEnd w:id="99"/>
      <w:bookmarkEnd w:id="100"/>
      <w:bookmarkEnd w:id="101"/>
      <w:bookmarkEnd w:id="102"/>
      <w:bookmarkEnd w:id="103"/>
      <w:bookmarkEnd w:id="104"/>
      <w:bookmarkEnd w:id="105"/>
      <w:bookmarkEnd w:id="106"/>
      <w:bookmarkEnd w:id="107"/>
      <w:r w:rsidRPr="003B6560">
        <w:t>G</w:t>
      </w:r>
      <w:r w:rsidR="00C215E3">
        <w:t xml:space="preserve">rab sampling </w:t>
      </w:r>
      <w:r w:rsidRPr="003B6560">
        <w:t>to assess</w:t>
      </w:r>
      <w:r w:rsidR="00170EC4" w:rsidRPr="003B6560">
        <w:t xml:space="preserve"> f</w:t>
      </w:r>
      <w:r w:rsidR="0059608E" w:rsidRPr="003B6560">
        <w:t xml:space="preserve">lood plume </w:t>
      </w:r>
      <w:bookmarkEnd w:id="108"/>
      <w:r w:rsidR="00170EC4" w:rsidRPr="003B6560">
        <w:t>profiles</w:t>
      </w:r>
      <w:bookmarkEnd w:id="109"/>
    </w:p>
    <w:p w14:paraId="15720E2E" w14:textId="0E65E732" w:rsidR="0059608E" w:rsidRDefault="0059608E" w:rsidP="00015606">
      <w:pPr>
        <w:spacing w:line="276" w:lineRule="auto"/>
        <w:rPr>
          <w:lang w:val="en-GB" w:eastAsia="en-AU"/>
        </w:rPr>
      </w:pPr>
      <w:r>
        <w:rPr>
          <w:lang w:val="en-GB" w:eastAsia="en-AU"/>
        </w:rPr>
        <w:t xml:space="preserve">Sampling activities targeting discharge events from major Reef catchment rivers </w:t>
      </w:r>
      <w:r w:rsidR="00913F0E">
        <w:rPr>
          <w:lang w:val="en-GB" w:eastAsia="en-AU"/>
        </w:rPr>
        <w:t>occurred</w:t>
      </w:r>
      <w:r>
        <w:rPr>
          <w:lang w:val="en-GB" w:eastAsia="en-AU"/>
        </w:rPr>
        <w:t xml:space="preserve"> during the </w:t>
      </w:r>
      <w:r w:rsidR="004A66EE">
        <w:rPr>
          <w:lang w:val="en-GB" w:eastAsia="en-AU"/>
        </w:rPr>
        <w:t>Wet 2015-16 sampling period</w:t>
      </w:r>
      <w:r>
        <w:rPr>
          <w:lang w:val="en-GB" w:eastAsia="en-AU"/>
        </w:rPr>
        <w:t>, and typically coincide</w:t>
      </w:r>
      <w:r w:rsidR="00913F0E">
        <w:rPr>
          <w:lang w:val="en-GB" w:eastAsia="en-AU"/>
        </w:rPr>
        <w:t>d</w:t>
      </w:r>
      <w:r>
        <w:rPr>
          <w:lang w:val="en-GB" w:eastAsia="en-AU"/>
        </w:rPr>
        <w:t xml:space="preserve"> with large rainfall events </w:t>
      </w:r>
      <w:r w:rsidR="004A66EE">
        <w:rPr>
          <w:lang w:val="en-GB" w:eastAsia="en-AU"/>
        </w:rPr>
        <w:t xml:space="preserve">in </w:t>
      </w:r>
      <w:r>
        <w:rPr>
          <w:lang w:val="en-GB" w:eastAsia="en-AU"/>
        </w:rPr>
        <w:t>the adjacent catchment area. Grab samples</w:t>
      </w:r>
      <w:r w:rsidR="00E74192">
        <w:rPr>
          <w:lang w:val="en-GB" w:eastAsia="en-AU"/>
        </w:rPr>
        <w:t xml:space="preserve"> (250 mL</w:t>
      </w:r>
      <w:r w:rsidR="006C2A7B">
        <w:rPr>
          <w:lang w:val="en-GB" w:eastAsia="en-AU"/>
        </w:rPr>
        <w:t>)</w:t>
      </w:r>
      <w:r w:rsidR="00913F0E">
        <w:rPr>
          <w:lang w:val="en-GB" w:eastAsia="en-AU"/>
        </w:rPr>
        <w:t xml:space="preserve"> we</w:t>
      </w:r>
      <w:r>
        <w:rPr>
          <w:lang w:val="en-GB" w:eastAsia="en-AU"/>
        </w:rPr>
        <w:t>re collected along transects extending from river mouths to capture peak</w:t>
      </w:r>
      <w:r w:rsidR="004A66EE">
        <w:rPr>
          <w:lang w:val="en-GB" w:eastAsia="en-AU"/>
        </w:rPr>
        <w:t xml:space="preserve"> concentrations,</w:t>
      </w:r>
      <w:r>
        <w:rPr>
          <w:lang w:val="en-GB" w:eastAsia="en-AU"/>
        </w:rPr>
        <w:t xml:space="preserve"> assess the extent </w:t>
      </w:r>
      <w:r w:rsidR="00913F0E">
        <w:rPr>
          <w:lang w:val="en-GB" w:eastAsia="en-AU"/>
        </w:rPr>
        <w:t>and gradient</w:t>
      </w:r>
      <w:r>
        <w:rPr>
          <w:lang w:val="en-GB" w:eastAsia="en-AU"/>
        </w:rPr>
        <w:t xml:space="preserve"> of pesticide concentration</w:t>
      </w:r>
      <w:r w:rsidR="00913F0E">
        <w:rPr>
          <w:lang w:val="en-GB" w:eastAsia="en-AU"/>
        </w:rPr>
        <w:t xml:space="preserve">s </w:t>
      </w:r>
      <w:r w:rsidR="004A66EE">
        <w:rPr>
          <w:lang w:val="en-GB" w:eastAsia="en-AU"/>
        </w:rPr>
        <w:t>in flood plumes, and establish the presence of any</w:t>
      </w:r>
      <w:r>
        <w:rPr>
          <w:lang w:val="en-GB" w:eastAsia="en-AU"/>
        </w:rPr>
        <w:t xml:space="preserve"> </w:t>
      </w:r>
      <w:r w:rsidR="006D31B7">
        <w:rPr>
          <w:lang w:val="en-GB" w:eastAsia="en-AU"/>
        </w:rPr>
        <w:t xml:space="preserve">pesticides </w:t>
      </w:r>
      <w:r>
        <w:rPr>
          <w:lang w:val="en-GB" w:eastAsia="en-AU"/>
        </w:rPr>
        <w:t xml:space="preserve">not adequately sampled by passive samplers </w:t>
      </w:r>
      <w:r w:rsidR="004A66EE">
        <w:rPr>
          <w:lang w:val="en-GB" w:eastAsia="en-AU"/>
        </w:rPr>
        <w:t xml:space="preserve">(e.g. </w:t>
      </w:r>
      <w:r>
        <w:rPr>
          <w:lang w:val="en-GB" w:eastAsia="en-AU"/>
        </w:rPr>
        <w:t>due to their high water solubility</w:t>
      </w:r>
      <w:r w:rsidR="004A66EE">
        <w:rPr>
          <w:lang w:val="en-GB" w:eastAsia="en-AU"/>
        </w:rPr>
        <w:t>)</w:t>
      </w:r>
      <w:r>
        <w:rPr>
          <w:lang w:val="en-GB" w:eastAsia="en-AU"/>
        </w:rPr>
        <w:t xml:space="preserve">. </w:t>
      </w:r>
      <w:r w:rsidR="00C215E3">
        <w:rPr>
          <w:lang w:val="en-GB" w:eastAsia="en-AU"/>
        </w:rPr>
        <w:t xml:space="preserve">In some cases, </w:t>
      </w:r>
      <w:r w:rsidR="004A66EE">
        <w:rPr>
          <w:lang w:val="en-GB" w:eastAsia="en-AU"/>
        </w:rPr>
        <w:t xml:space="preserve">the transects coincided with fixed monitoring locations </w:t>
      </w:r>
      <w:r w:rsidR="00C215E3">
        <w:rPr>
          <w:lang w:val="en-GB" w:eastAsia="en-AU"/>
        </w:rPr>
        <w:t>(</w:t>
      </w:r>
      <w:r w:rsidR="000E58AD" w:rsidRPr="000E58AD">
        <w:fldChar w:fldCharType="begin"/>
      </w:r>
      <w:r w:rsidR="000E58AD" w:rsidRPr="000E58AD">
        <w:rPr>
          <w:lang w:val="en-GB" w:eastAsia="en-AU"/>
        </w:rPr>
        <w:instrText xml:space="preserve"> REF _Ref480731514 \h </w:instrText>
      </w:r>
      <w:r w:rsidR="000E58AD" w:rsidRPr="000E58AD">
        <w:instrText xml:space="preserve"> \* MERGEFORMAT </w:instrText>
      </w:r>
      <w:r w:rsidR="000E58AD" w:rsidRPr="000E58AD">
        <w:fldChar w:fldCharType="separate"/>
      </w:r>
      <w:r w:rsidR="00D12276" w:rsidRPr="00A43338">
        <w:t xml:space="preserve">Figure </w:t>
      </w:r>
      <w:r w:rsidR="00D12276" w:rsidRPr="00D12276">
        <w:rPr>
          <w:noProof/>
        </w:rPr>
        <w:t>2</w:t>
      </w:r>
      <w:r w:rsidR="000E58AD" w:rsidRPr="000E58AD">
        <w:fldChar w:fldCharType="end"/>
      </w:r>
      <w:r w:rsidR="0026178F" w:rsidRPr="0026178F">
        <w:rPr>
          <w:lang w:val="en-GB" w:eastAsia="en-AU"/>
        </w:rPr>
        <w:t xml:space="preserve">) </w:t>
      </w:r>
      <w:r>
        <w:rPr>
          <w:lang w:val="en-GB" w:eastAsia="en-AU"/>
        </w:rPr>
        <w:t>to provide a complete pesticide profile over the discharge period that may be useful to compare agains</w:t>
      </w:r>
      <w:r w:rsidR="00C215E3">
        <w:rPr>
          <w:lang w:val="en-GB" w:eastAsia="en-AU"/>
        </w:rPr>
        <w:t>t pesticide loads data.</w:t>
      </w:r>
    </w:p>
    <w:p w14:paraId="15720E2F" w14:textId="77777777" w:rsidR="0059608E" w:rsidRDefault="0059608E" w:rsidP="00015606">
      <w:pPr>
        <w:spacing w:line="276" w:lineRule="auto"/>
        <w:rPr>
          <w:lang w:val="en-GB" w:eastAsia="en-AU"/>
        </w:rPr>
      </w:pPr>
    </w:p>
    <w:p w14:paraId="15720E30" w14:textId="3F5273A9" w:rsidR="0059608E" w:rsidRDefault="00C215E3" w:rsidP="00015606">
      <w:pPr>
        <w:spacing w:line="276" w:lineRule="auto"/>
        <w:rPr>
          <w:lang w:val="en-GB" w:eastAsia="en-AU"/>
        </w:rPr>
      </w:pPr>
      <w:r>
        <w:rPr>
          <w:lang w:val="en-GB" w:eastAsia="en-AU"/>
        </w:rPr>
        <w:t xml:space="preserve">A total of </w:t>
      </w:r>
      <w:r w:rsidR="00274178">
        <w:rPr>
          <w:lang w:val="en-GB" w:eastAsia="en-AU"/>
        </w:rPr>
        <w:t>24</w:t>
      </w:r>
      <w:r>
        <w:rPr>
          <w:lang w:val="en-GB" w:eastAsia="en-AU"/>
        </w:rPr>
        <w:t xml:space="preserve"> </w:t>
      </w:r>
      <w:r w:rsidR="0059608E">
        <w:rPr>
          <w:lang w:val="en-GB" w:eastAsia="en-AU"/>
        </w:rPr>
        <w:t xml:space="preserve">grab samples were collected to monitor terrestrial run-off from </w:t>
      </w:r>
      <w:r w:rsidR="00274178">
        <w:rPr>
          <w:lang w:val="en-GB" w:eastAsia="en-AU"/>
        </w:rPr>
        <w:t xml:space="preserve">the </w:t>
      </w:r>
      <w:r w:rsidR="0059608E">
        <w:rPr>
          <w:lang w:val="en-GB" w:eastAsia="en-AU"/>
        </w:rPr>
        <w:t>two river</w:t>
      </w:r>
      <w:r w:rsidR="00274178">
        <w:rPr>
          <w:lang w:val="en-GB" w:eastAsia="en-AU"/>
        </w:rPr>
        <w:t xml:space="preserve"> transect</w:t>
      </w:r>
      <w:r w:rsidR="0059608E">
        <w:rPr>
          <w:lang w:val="en-GB" w:eastAsia="en-AU"/>
        </w:rPr>
        <w:t>s (the Tully and Russell-Mulgrave</w:t>
      </w:r>
      <w:r w:rsidR="005B0C06">
        <w:rPr>
          <w:lang w:val="en-GB" w:eastAsia="en-AU"/>
        </w:rPr>
        <w:t xml:space="preserve"> </w:t>
      </w:r>
      <w:r w:rsidR="006D31B7">
        <w:rPr>
          <w:lang w:val="en-GB" w:eastAsia="en-AU"/>
        </w:rPr>
        <w:t>rivers</w:t>
      </w:r>
      <w:r w:rsidR="0059608E">
        <w:rPr>
          <w:lang w:val="en-GB" w:eastAsia="en-AU"/>
        </w:rPr>
        <w:t xml:space="preserve">) during </w:t>
      </w:r>
      <w:r w:rsidR="00274178">
        <w:rPr>
          <w:lang w:val="en-GB" w:eastAsia="en-AU"/>
        </w:rPr>
        <w:t xml:space="preserve">five separate </w:t>
      </w:r>
      <w:r w:rsidR="0059608E">
        <w:rPr>
          <w:lang w:val="en-GB" w:eastAsia="en-AU"/>
        </w:rPr>
        <w:t>flood plume events</w:t>
      </w:r>
      <w:r w:rsidR="00274178">
        <w:rPr>
          <w:lang w:val="en-GB" w:eastAsia="en-AU"/>
        </w:rPr>
        <w:t xml:space="preserve"> between January and April 2016</w:t>
      </w:r>
      <w:r w:rsidR="0059608E">
        <w:rPr>
          <w:lang w:val="en-GB" w:eastAsia="en-AU"/>
        </w:rPr>
        <w:t xml:space="preserve">. </w:t>
      </w:r>
      <w:r w:rsidR="00274178">
        <w:rPr>
          <w:lang w:val="en-GB" w:eastAsia="en-AU"/>
        </w:rPr>
        <w:t>A further nine grab samples were collected from the Burdekin focus area</w:t>
      </w:r>
      <w:r w:rsidR="003F7121">
        <w:rPr>
          <w:lang w:val="en-GB" w:eastAsia="en-AU"/>
        </w:rPr>
        <w:t xml:space="preserve"> during both major</w:t>
      </w:r>
      <w:r w:rsidR="005B0C06">
        <w:rPr>
          <w:lang w:val="en-GB" w:eastAsia="en-AU"/>
        </w:rPr>
        <w:t xml:space="preserve"> discharge events in the </w:t>
      </w:r>
      <w:r w:rsidR="000E58AD">
        <w:rPr>
          <w:lang w:val="en-GB" w:eastAsia="en-AU"/>
        </w:rPr>
        <w:t xml:space="preserve">Wet </w:t>
      </w:r>
      <w:r w:rsidR="005B0C06">
        <w:rPr>
          <w:lang w:val="en-GB" w:eastAsia="en-AU"/>
        </w:rPr>
        <w:t>2015-</w:t>
      </w:r>
      <w:r w:rsidR="003F7121">
        <w:rPr>
          <w:lang w:val="en-GB" w:eastAsia="en-AU"/>
        </w:rPr>
        <w:t>16 season.</w:t>
      </w:r>
      <w:r w:rsidR="00274178">
        <w:rPr>
          <w:lang w:val="en-GB" w:eastAsia="en-AU"/>
        </w:rPr>
        <w:t xml:space="preserve"> </w:t>
      </w:r>
      <w:r w:rsidR="0059608E">
        <w:rPr>
          <w:lang w:val="en-GB" w:eastAsia="en-AU"/>
        </w:rPr>
        <w:t xml:space="preserve">Further details for these samples including </w:t>
      </w:r>
      <w:r w:rsidR="003F7121">
        <w:rPr>
          <w:lang w:val="en-GB" w:eastAsia="en-AU"/>
        </w:rPr>
        <w:t>the date of collection</w:t>
      </w:r>
      <w:r w:rsidR="0059608E">
        <w:rPr>
          <w:lang w:val="en-GB" w:eastAsia="en-AU"/>
        </w:rPr>
        <w:t xml:space="preserve"> and results for individual </w:t>
      </w:r>
      <w:r w:rsidR="006D31B7">
        <w:rPr>
          <w:lang w:val="en-GB" w:eastAsia="en-AU"/>
        </w:rPr>
        <w:t xml:space="preserve">pesticides </w:t>
      </w:r>
      <w:r w:rsidR="0059608E">
        <w:rPr>
          <w:lang w:val="en-GB" w:eastAsia="en-AU"/>
        </w:rPr>
        <w:t xml:space="preserve">detected are </w:t>
      </w:r>
      <w:r w:rsidR="0059608E" w:rsidRPr="00844294">
        <w:rPr>
          <w:lang w:val="en-GB" w:eastAsia="en-AU"/>
        </w:rPr>
        <w:t xml:space="preserve">provided </w:t>
      </w:r>
      <w:r w:rsidR="0059608E">
        <w:rPr>
          <w:lang w:val="en-GB" w:eastAsia="en-AU"/>
        </w:rPr>
        <w:t xml:space="preserve">in </w:t>
      </w:r>
      <w:r w:rsidR="00C91BF5">
        <w:rPr>
          <w:lang w:val="en-GB" w:eastAsia="en-AU"/>
        </w:rPr>
        <w:fldChar w:fldCharType="begin"/>
      </w:r>
      <w:r w:rsidR="006A6F28">
        <w:rPr>
          <w:lang w:val="en-GB" w:eastAsia="en-AU"/>
        </w:rPr>
        <w:instrText xml:space="preserve"> REF _Ref480726378 \n \h </w:instrText>
      </w:r>
      <w:r w:rsidR="00C91BF5">
        <w:rPr>
          <w:lang w:val="en-GB" w:eastAsia="en-AU"/>
        </w:rPr>
      </w:r>
      <w:r w:rsidR="00C91BF5">
        <w:rPr>
          <w:lang w:val="en-GB" w:eastAsia="en-AU"/>
        </w:rPr>
        <w:fldChar w:fldCharType="separate"/>
      </w:r>
      <w:r w:rsidR="00D12276">
        <w:rPr>
          <w:lang w:val="en-GB" w:eastAsia="en-AU"/>
        </w:rPr>
        <w:t xml:space="preserve">Appendix G </w:t>
      </w:r>
      <w:r w:rsidR="00C91BF5">
        <w:rPr>
          <w:lang w:val="en-GB" w:eastAsia="en-AU"/>
        </w:rPr>
        <w:fldChar w:fldCharType="end"/>
      </w:r>
      <w:r w:rsidR="00C91BF5">
        <w:rPr>
          <w:lang w:val="en-GB" w:eastAsia="en-AU"/>
        </w:rPr>
        <w:fldChar w:fldCharType="begin"/>
      </w:r>
      <w:r w:rsidR="006A6F28">
        <w:rPr>
          <w:lang w:val="en-GB" w:eastAsia="en-AU"/>
        </w:rPr>
        <w:instrText xml:space="preserve"> REF _Ref480726395 \h </w:instrText>
      </w:r>
      <w:r w:rsidR="00C91BF5">
        <w:rPr>
          <w:lang w:val="en-GB" w:eastAsia="en-AU"/>
        </w:rPr>
      </w:r>
      <w:r w:rsidR="00C91BF5">
        <w:rPr>
          <w:lang w:val="en-GB" w:eastAsia="en-AU"/>
        </w:rPr>
        <w:fldChar w:fldCharType="separate"/>
      </w:r>
      <w:r w:rsidR="00D12276">
        <w:t xml:space="preserve">Table </w:t>
      </w:r>
      <w:r w:rsidR="00D12276">
        <w:rPr>
          <w:noProof/>
        </w:rPr>
        <w:t>G</w:t>
      </w:r>
      <w:r w:rsidR="00D12276">
        <w:noBreakHyphen/>
      </w:r>
      <w:r w:rsidR="00D12276">
        <w:rPr>
          <w:noProof/>
        </w:rPr>
        <w:t>1</w:t>
      </w:r>
      <w:r w:rsidR="00C91BF5">
        <w:rPr>
          <w:lang w:val="en-GB" w:eastAsia="en-AU"/>
        </w:rPr>
        <w:fldChar w:fldCharType="end"/>
      </w:r>
      <w:r w:rsidR="003F7121">
        <w:rPr>
          <w:lang w:val="en-GB" w:eastAsia="en-AU"/>
        </w:rPr>
        <w:t>.</w:t>
      </w:r>
    </w:p>
    <w:p w14:paraId="15720E31" w14:textId="77777777" w:rsidR="002D401F" w:rsidRPr="003F7121" w:rsidRDefault="002D401F" w:rsidP="00015606">
      <w:pPr>
        <w:spacing w:line="276" w:lineRule="auto"/>
        <w:rPr>
          <w:lang w:val="en-GB" w:eastAsia="en-AU"/>
        </w:rPr>
      </w:pPr>
    </w:p>
    <w:p w14:paraId="15720E32" w14:textId="77777777" w:rsidR="003F7121" w:rsidRPr="003B6560" w:rsidRDefault="003F7121" w:rsidP="00220439">
      <w:pPr>
        <w:pStyle w:val="Heading30"/>
        <w:numPr>
          <w:ilvl w:val="2"/>
          <w:numId w:val="1"/>
        </w:numPr>
      </w:pPr>
      <w:bookmarkStart w:id="110" w:name="_Toc502499993"/>
      <w:r>
        <w:t>Sampler deployment and approaches for missing data</w:t>
      </w:r>
      <w:bookmarkEnd w:id="110"/>
    </w:p>
    <w:p w14:paraId="15720E33" w14:textId="1C1993E3" w:rsidR="000435B2" w:rsidRDefault="003F7121" w:rsidP="003F7121">
      <w:pPr>
        <w:spacing w:line="276" w:lineRule="auto"/>
        <w:rPr>
          <w:lang w:val="en-AU"/>
        </w:rPr>
      </w:pPr>
      <w:r>
        <w:rPr>
          <w:lang w:val="en-AU" w:eastAsia="en-AU"/>
        </w:rPr>
        <w:t xml:space="preserve">Samplers are </w:t>
      </w:r>
      <w:r w:rsidR="00244E88">
        <w:rPr>
          <w:lang w:val="en-AU" w:eastAsia="en-AU"/>
        </w:rPr>
        <w:t>cleaned</w:t>
      </w:r>
      <w:r w:rsidR="002165DF">
        <w:rPr>
          <w:lang w:val="en-AU" w:eastAsia="en-AU"/>
        </w:rPr>
        <w:t>,</w:t>
      </w:r>
      <w:r w:rsidR="00244E88">
        <w:rPr>
          <w:lang w:val="en-AU" w:eastAsia="en-AU"/>
        </w:rPr>
        <w:t xml:space="preserve"> assembled </w:t>
      </w:r>
      <w:r w:rsidR="002165DF">
        <w:rPr>
          <w:lang w:val="en-AU" w:eastAsia="en-AU"/>
        </w:rPr>
        <w:t xml:space="preserve">and calibrated </w:t>
      </w:r>
      <w:r w:rsidR="000435B2">
        <w:rPr>
          <w:lang w:val="en-AU" w:eastAsia="en-AU"/>
        </w:rPr>
        <w:t xml:space="preserve">by QAEHS but are deployed in the field by a team of volunteers. </w:t>
      </w:r>
      <w:r w:rsidRPr="00B14AD9">
        <w:rPr>
          <w:rFonts w:cs="Arial"/>
          <w:lang w:val="en-AU"/>
        </w:rPr>
        <w:t xml:space="preserve">The participation of volunteers from various community groups, agencies and tourist operations is a key feature of the </w:t>
      </w:r>
      <w:r>
        <w:rPr>
          <w:rFonts w:cs="Arial"/>
          <w:lang w:val="en-AU"/>
        </w:rPr>
        <w:t xml:space="preserve">long-term </w:t>
      </w:r>
      <w:r w:rsidRPr="00B14AD9">
        <w:rPr>
          <w:rFonts w:cs="Arial"/>
          <w:lang w:val="en-AU"/>
        </w:rPr>
        <w:t xml:space="preserve">pesticide monitoring program and integral to the </w:t>
      </w:r>
      <w:r w:rsidRPr="00B14AD9">
        <w:rPr>
          <w:rFonts w:cs="Arial"/>
          <w:lang w:val="en-AU"/>
        </w:rPr>
        <w:lastRenderedPageBreak/>
        <w:t>success of maintaining the program in often remo</w:t>
      </w:r>
      <w:r w:rsidR="000435B2">
        <w:rPr>
          <w:rFonts w:cs="Arial"/>
          <w:lang w:val="en-AU"/>
        </w:rPr>
        <w:t xml:space="preserve">te locations. </w:t>
      </w:r>
      <w:r w:rsidR="004B0BE8">
        <w:rPr>
          <w:rFonts w:cs="Arial"/>
          <w:lang w:val="en-AU"/>
        </w:rPr>
        <w:t>V</w:t>
      </w:r>
      <w:r w:rsidR="000435B2">
        <w:rPr>
          <w:rFonts w:cs="Arial"/>
          <w:lang w:val="en-AU"/>
        </w:rPr>
        <w:t>olunteers</w:t>
      </w:r>
      <w:r w:rsidRPr="00B14AD9">
        <w:rPr>
          <w:rFonts w:cs="Arial"/>
          <w:lang w:val="en-AU"/>
        </w:rPr>
        <w:t xml:space="preserve"> receiv</w:t>
      </w:r>
      <w:r w:rsidR="000435B2">
        <w:rPr>
          <w:rFonts w:cs="Arial"/>
          <w:lang w:val="en-AU"/>
        </w:rPr>
        <w:t>e</w:t>
      </w:r>
      <w:r w:rsidRPr="00B14AD9">
        <w:rPr>
          <w:rFonts w:cs="Arial"/>
          <w:lang w:val="en-AU"/>
        </w:rPr>
        <w:t>, deploy, retriev</w:t>
      </w:r>
      <w:r w:rsidR="000435B2">
        <w:rPr>
          <w:rFonts w:cs="Arial"/>
          <w:lang w:val="en-AU"/>
        </w:rPr>
        <w:t>e</w:t>
      </w:r>
      <w:r w:rsidRPr="00B14AD9">
        <w:rPr>
          <w:rFonts w:cs="Arial"/>
          <w:lang w:val="en-AU"/>
        </w:rPr>
        <w:t xml:space="preserve"> and return the passive samplers to </w:t>
      </w:r>
      <w:r>
        <w:rPr>
          <w:rFonts w:cs="Arial"/>
          <w:lang w:val="en-AU"/>
        </w:rPr>
        <w:t>QAEHS</w:t>
      </w:r>
      <w:r w:rsidRPr="00B14AD9">
        <w:rPr>
          <w:rFonts w:cs="Arial"/>
          <w:lang w:val="en-AU"/>
        </w:rPr>
        <w:t xml:space="preserve"> for subsequent extraction and analysis.</w:t>
      </w:r>
      <w:r>
        <w:rPr>
          <w:rFonts w:cs="Arial"/>
          <w:lang w:val="en-AU"/>
        </w:rPr>
        <w:t xml:space="preserve"> </w:t>
      </w:r>
      <w:r w:rsidR="004B0BE8">
        <w:rPr>
          <w:rFonts w:cs="Arial"/>
          <w:lang w:val="en-AU"/>
        </w:rPr>
        <w:t>Volunteers are</w:t>
      </w:r>
      <w:r w:rsidRPr="00B14AD9">
        <w:rPr>
          <w:rFonts w:cs="Arial"/>
          <w:lang w:val="en-AU"/>
        </w:rPr>
        <w:t xml:space="preserve"> train</w:t>
      </w:r>
      <w:r w:rsidR="004B0BE8">
        <w:rPr>
          <w:rFonts w:cs="Arial"/>
          <w:lang w:val="en-AU"/>
        </w:rPr>
        <w:t>ed</w:t>
      </w:r>
      <w:r w:rsidRPr="00B14AD9">
        <w:rPr>
          <w:rFonts w:cs="Arial"/>
          <w:lang w:val="en-AU"/>
        </w:rPr>
        <w:t xml:space="preserve"> </w:t>
      </w:r>
      <w:r w:rsidR="004B0BE8">
        <w:rPr>
          <w:rFonts w:cs="Arial"/>
          <w:lang w:val="en-AU"/>
        </w:rPr>
        <w:t>by</w:t>
      </w:r>
      <w:r w:rsidR="004B0BE8" w:rsidRPr="00B14AD9">
        <w:rPr>
          <w:rFonts w:cs="Arial"/>
          <w:lang w:val="en-AU"/>
        </w:rPr>
        <w:t xml:space="preserve"> </w:t>
      </w:r>
      <w:r>
        <w:rPr>
          <w:rFonts w:cs="Arial"/>
          <w:lang w:val="en-AU"/>
        </w:rPr>
        <w:t>the Great Barrier Reef Marine Park Authority (</w:t>
      </w:r>
      <w:r w:rsidRPr="00B14AD9">
        <w:rPr>
          <w:rFonts w:cs="Arial"/>
          <w:lang w:val="en-AU"/>
        </w:rPr>
        <w:t>GBRMPA</w:t>
      </w:r>
      <w:r>
        <w:rPr>
          <w:rFonts w:cs="Arial"/>
          <w:lang w:val="en-AU"/>
        </w:rPr>
        <w:t>)</w:t>
      </w:r>
      <w:r w:rsidRPr="00B14AD9">
        <w:rPr>
          <w:rFonts w:cs="Arial"/>
          <w:lang w:val="en-AU"/>
        </w:rPr>
        <w:t xml:space="preserve"> and/or </w:t>
      </w:r>
      <w:r>
        <w:rPr>
          <w:rFonts w:cs="Arial"/>
          <w:lang w:val="en-AU"/>
        </w:rPr>
        <w:t>QAEHS</w:t>
      </w:r>
      <w:r w:rsidRPr="00B14AD9">
        <w:rPr>
          <w:rFonts w:cs="Arial"/>
          <w:lang w:val="en-AU"/>
        </w:rPr>
        <w:t xml:space="preserve"> staff in </w:t>
      </w:r>
      <w:r w:rsidR="004B0BE8">
        <w:rPr>
          <w:rFonts w:cs="Arial"/>
          <w:lang w:val="en-AU"/>
        </w:rPr>
        <w:t xml:space="preserve">the </w:t>
      </w:r>
      <w:r w:rsidRPr="00B14AD9">
        <w:rPr>
          <w:rFonts w:cs="Arial"/>
          <w:lang w:val="en-AU"/>
        </w:rPr>
        <w:t>Standard Operating Procedures</w:t>
      </w:r>
      <w:r>
        <w:rPr>
          <w:rFonts w:cs="Arial"/>
          <w:lang w:val="en-AU"/>
        </w:rPr>
        <w:t xml:space="preserve"> (SOPs)</w:t>
      </w:r>
      <w:r w:rsidR="004B0BE8">
        <w:rPr>
          <w:rFonts w:cs="Arial"/>
          <w:lang w:val="en-AU"/>
        </w:rPr>
        <w:t xml:space="preserve"> for deploying and retrieving the passive samplers,</w:t>
      </w:r>
      <w:r w:rsidRPr="00B14AD9">
        <w:rPr>
          <w:rFonts w:cs="Arial"/>
          <w:lang w:val="en-AU"/>
        </w:rPr>
        <w:t xml:space="preserve"> </w:t>
      </w:r>
      <w:r w:rsidR="004B0BE8">
        <w:rPr>
          <w:rFonts w:cs="Arial"/>
          <w:lang w:val="en-AU"/>
        </w:rPr>
        <w:t>ensuring</w:t>
      </w:r>
      <w:r w:rsidRPr="00B14AD9">
        <w:rPr>
          <w:rFonts w:cs="Arial"/>
          <w:lang w:val="en-AU"/>
        </w:rPr>
        <w:t xml:space="preserve"> high quality usable data.</w:t>
      </w:r>
      <w:r>
        <w:rPr>
          <w:lang w:val="en-AU"/>
        </w:rPr>
        <w:t xml:space="preserve"> </w:t>
      </w:r>
    </w:p>
    <w:p w14:paraId="15720E34" w14:textId="77777777" w:rsidR="000435B2" w:rsidRDefault="000435B2" w:rsidP="003F7121">
      <w:pPr>
        <w:spacing w:line="276" w:lineRule="auto"/>
        <w:rPr>
          <w:lang w:val="en-AU"/>
        </w:rPr>
      </w:pPr>
    </w:p>
    <w:p w14:paraId="15720E35" w14:textId="60643475" w:rsidR="0018059A" w:rsidRDefault="000435B2" w:rsidP="003F7121">
      <w:pPr>
        <w:spacing w:line="276" w:lineRule="auto"/>
        <w:rPr>
          <w:lang w:val="en-AU"/>
        </w:rPr>
      </w:pPr>
      <w:r>
        <w:rPr>
          <w:lang w:val="en-AU"/>
        </w:rPr>
        <w:t xml:space="preserve">Whilst every effort is made to deploy samplers in accordance with the proposed sampling schedule, there are circumstances every year where this </w:t>
      </w:r>
      <w:r w:rsidR="002F091D">
        <w:rPr>
          <w:lang w:val="en-AU"/>
        </w:rPr>
        <w:t>is</w:t>
      </w:r>
      <w:r>
        <w:rPr>
          <w:lang w:val="en-AU"/>
        </w:rPr>
        <w:t xml:space="preserve"> not possible. This may result in periods where passive samplers are not deployed (for example, </w:t>
      </w:r>
      <w:r w:rsidR="002F091D">
        <w:rPr>
          <w:lang w:val="en-AU"/>
        </w:rPr>
        <w:t>during</w:t>
      </w:r>
      <w:r>
        <w:rPr>
          <w:lang w:val="en-AU"/>
        </w:rPr>
        <w:t xml:space="preserve"> bad weather) or</w:t>
      </w:r>
      <w:r w:rsidR="0018059A">
        <w:rPr>
          <w:lang w:val="en-AU"/>
        </w:rPr>
        <w:t xml:space="preserve"> samplers are </w:t>
      </w:r>
      <w:r w:rsidR="00913F0E">
        <w:rPr>
          <w:lang w:val="en-AU"/>
        </w:rPr>
        <w:t>under-</w:t>
      </w:r>
      <w:r>
        <w:rPr>
          <w:lang w:val="en-AU"/>
        </w:rPr>
        <w:t xml:space="preserve"> or </w:t>
      </w:r>
      <w:r w:rsidR="00913F0E">
        <w:rPr>
          <w:lang w:val="en-AU"/>
        </w:rPr>
        <w:t>over-</w:t>
      </w:r>
      <w:r>
        <w:rPr>
          <w:lang w:val="en-AU"/>
        </w:rPr>
        <w:t>deploy</w:t>
      </w:r>
      <w:r w:rsidR="0018059A">
        <w:rPr>
          <w:lang w:val="en-AU"/>
        </w:rPr>
        <w:t xml:space="preserve">ed, i.e. the period the sampler is left in the water is less than or greater than the </w:t>
      </w:r>
      <w:r w:rsidR="00F47D2C">
        <w:rPr>
          <w:lang w:val="en-AU"/>
        </w:rPr>
        <w:t xml:space="preserve">preferred </w:t>
      </w:r>
      <w:r w:rsidR="0018059A">
        <w:rPr>
          <w:lang w:val="en-AU"/>
        </w:rPr>
        <w:t>period (2 months in dry season, 1 month in wet season)</w:t>
      </w:r>
      <w:r>
        <w:rPr>
          <w:lang w:val="en-AU"/>
        </w:rPr>
        <w:t xml:space="preserve">. </w:t>
      </w:r>
      <w:r w:rsidR="002F091D">
        <w:rPr>
          <w:lang w:val="en-AU"/>
        </w:rPr>
        <w:t xml:space="preserve">In addition, samplers are regularly lost in extreme weather events </w:t>
      </w:r>
      <w:r w:rsidR="00244E88">
        <w:rPr>
          <w:lang w:val="en-AU"/>
        </w:rPr>
        <w:t>or</w:t>
      </w:r>
      <w:r w:rsidR="002F091D">
        <w:rPr>
          <w:lang w:val="en-AU"/>
        </w:rPr>
        <w:t xml:space="preserve"> </w:t>
      </w:r>
      <w:r w:rsidR="00244E88">
        <w:rPr>
          <w:lang w:val="en-AU"/>
        </w:rPr>
        <w:t>are</w:t>
      </w:r>
      <w:r w:rsidR="002F091D">
        <w:rPr>
          <w:lang w:val="en-AU"/>
        </w:rPr>
        <w:t xml:space="preserve"> stolen or otherwise damaged. </w:t>
      </w:r>
      <w:r>
        <w:rPr>
          <w:lang w:val="en-AU"/>
        </w:rPr>
        <w:t xml:space="preserve">For </w:t>
      </w:r>
      <w:r w:rsidR="002F091D">
        <w:rPr>
          <w:lang w:val="en-AU"/>
        </w:rPr>
        <w:t>periods of non-deployment</w:t>
      </w:r>
      <w:r>
        <w:rPr>
          <w:lang w:val="en-AU"/>
        </w:rPr>
        <w:t xml:space="preserve">, </w:t>
      </w:r>
      <w:r w:rsidR="0018059A">
        <w:rPr>
          <w:lang w:val="en-AU"/>
        </w:rPr>
        <w:t xml:space="preserve">gaps between successful deployments are </w:t>
      </w:r>
      <w:r w:rsidR="002F091D">
        <w:rPr>
          <w:lang w:val="en-AU"/>
        </w:rPr>
        <w:t>often</w:t>
      </w:r>
      <w:r w:rsidR="0018059A">
        <w:rPr>
          <w:lang w:val="en-AU"/>
        </w:rPr>
        <w:t xml:space="preserve"> up to 1-2 weeks at most and have</w:t>
      </w:r>
      <w:r>
        <w:rPr>
          <w:lang w:val="en-AU"/>
        </w:rPr>
        <w:t xml:space="preserve"> minimum impact on the </w:t>
      </w:r>
      <w:r w:rsidR="009C47C7">
        <w:rPr>
          <w:lang w:val="en-AU"/>
        </w:rPr>
        <w:t>long-term</w:t>
      </w:r>
      <w:r>
        <w:rPr>
          <w:lang w:val="en-AU"/>
        </w:rPr>
        <w:t xml:space="preserve"> trends. </w:t>
      </w:r>
      <w:r w:rsidR="002F091D">
        <w:rPr>
          <w:lang w:val="en-AU"/>
        </w:rPr>
        <w:t xml:space="preserve">Longer periods of non-deployment or when samplers are lost can result in </w:t>
      </w:r>
      <w:r w:rsidR="00F47D2C">
        <w:rPr>
          <w:lang w:val="en-AU"/>
        </w:rPr>
        <w:t xml:space="preserve">uncertainty in the representivity of the pesticide concentration data </w:t>
      </w:r>
      <w:r w:rsidR="002F091D">
        <w:rPr>
          <w:lang w:val="en-AU"/>
        </w:rPr>
        <w:t xml:space="preserve">for that deployment season </w:t>
      </w:r>
      <w:r w:rsidR="00F47D2C">
        <w:rPr>
          <w:lang w:val="en-AU"/>
        </w:rPr>
        <w:t xml:space="preserve">and, therefore, may affect the long-term trends </w:t>
      </w:r>
      <w:r w:rsidR="002F091D">
        <w:rPr>
          <w:lang w:val="en-AU"/>
        </w:rPr>
        <w:t xml:space="preserve">(for example, when only one wet season sampler is successfully deployed in one year, but all 6 are deployed for previous years). This can make interpretation of long term trends challenging. </w:t>
      </w:r>
      <w:r w:rsidR="0018059A">
        <w:rPr>
          <w:lang w:val="en-AU"/>
        </w:rPr>
        <w:t>Actual d</w:t>
      </w:r>
      <w:r>
        <w:rPr>
          <w:lang w:val="en-AU"/>
        </w:rPr>
        <w:t>ate</w:t>
      </w:r>
      <w:r w:rsidR="0018059A">
        <w:rPr>
          <w:lang w:val="en-AU"/>
        </w:rPr>
        <w:t xml:space="preserve">s of deployment are given in </w:t>
      </w:r>
      <w:r w:rsidR="00C91BF5">
        <w:rPr>
          <w:highlight w:val="yellow"/>
          <w:lang w:val="en-AU"/>
        </w:rPr>
        <w:fldChar w:fldCharType="begin"/>
      </w:r>
      <w:r w:rsidR="006A6F28">
        <w:rPr>
          <w:lang w:val="en-AU"/>
        </w:rPr>
        <w:instrText xml:space="preserve"> REF _Ref335637596 \n \h </w:instrText>
      </w:r>
      <w:r w:rsidR="00C91BF5">
        <w:rPr>
          <w:highlight w:val="yellow"/>
          <w:lang w:val="en-AU"/>
        </w:rPr>
      </w:r>
      <w:r w:rsidR="00C91BF5">
        <w:rPr>
          <w:highlight w:val="yellow"/>
          <w:lang w:val="en-AU"/>
        </w:rPr>
        <w:fldChar w:fldCharType="separate"/>
      </w:r>
      <w:r w:rsidR="00D12276">
        <w:rPr>
          <w:lang w:val="en-AU"/>
        </w:rPr>
        <w:t xml:space="preserve">Appendix F </w:t>
      </w:r>
      <w:r w:rsidR="00C91BF5">
        <w:rPr>
          <w:highlight w:val="yellow"/>
          <w:lang w:val="en-AU"/>
        </w:rPr>
        <w:fldChar w:fldCharType="end"/>
      </w:r>
      <w:r w:rsidR="002F091D">
        <w:rPr>
          <w:lang w:val="en-AU"/>
        </w:rPr>
        <w:t xml:space="preserve">and average concentrations where only one sampler was received for </w:t>
      </w:r>
      <w:r w:rsidR="002C7174">
        <w:rPr>
          <w:lang w:val="en-AU"/>
        </w:rPr>
        <w:t>that season are highlighted in the summary statistics t</w:t>
      </w:r>
      <w:r w:rsidR="002F091D">
        <w:rPr>
          <w:lang w:val="en-AU"/>
        </w:rPr>
        <w:t>ables</w:t>
      </w:r>
      <w:r w:rsidR="002C7174">
        <w:rPr>
          <w:lang w:val="en-AU"/>
        </w:rPr>
        <w:t xml:space="preserve"> in the Results section</w:t>
      </w:r>
      <w:r w:rsidR="0018059A">
        <w:rPr>
          <w:lang w:val="en-AU"/>
        </w:rPr>
        <w:t xml:space="preserve">. </w:t>
      </w:r>
      <w:r w:rsidR="00913F0E">
        <w:rPr>
          <w:lang w:val="en-AU"/>
        </w:rPr>
        <w:t>Passive samplers are calibrated for an optimum deployment period and if they</w:t>
      </w:r>
      <w:r w:rsidR="002C7174">
        <w:rPr>
          <w:lang w:val="en-AU"/>
        </w:rPr>
        <w:t xml:space="preserve"> are</w:t>
      </w:r>
      <w:r w:rsidR="0018059A">
        <w:rPr>
          <w:lang w:val="en-AU"/>
        </w:rPr>
        <w:t xml:space="preserve"> </w:t>
      </w:r>
      <w:r w:rsidR="002C7174">
        <w:rPr>
          <w:lang w:val="en-AU"/>
        </w:rPr>
        <w:t>over- or under-deploy</w:t>
      </w:r>
      <w:r w:rsidR="00C43D4D">
        <w:rPr>
          <w:lang w:val="en-AU"/>
        </w:rPr>
        <w:t>ed</w:t>
      </w:r>
      <w:r w:rsidR="0018059A">
        <w:rPr>
          <w:lang w:val="en-AU"/>
        </w:rPr>
        <w:t xml:space="preserve">, </w:t>
      </w:r>
      <w:r w:rsidR="002C7174">
        <w:rPr>
          <w:lang w:val="en-AU"/>
        </w:rPr>
        <w:t xml:space="preserve">this </w:t>
      </w:r>
      <w:r w:rsidR="00F47D2C">
        <w:rPr>
          <w:lang w:val="en-AU"/>
        </w:rPr>
        <w:t xml:space="preserve">reduces </w:t>
      </w:r>
      <w:r w:rsidR="00913F0E">
        <w:rPr>
          <w:lang w:val="en-AU"/>
        </w:rPr>
        <w:t xml:space="preserve">the </w:t>
      </w:r>
      <w:r w:rsidR="00F47D2C">
        <w:rPr>
          <w:lang w:val="en-AU"/>
        </w:rPr>
        <w:t xml:space="preserve">confidence in the reported </w:t>
      </w:r>
      <w:r w:rsidR="00913F0E">
        <w:rPr>
          <w:lang w:val="en-AU"/>
        </w:rPr>
        <w:t>concentrations</w:t>
      </w:r>
      <w:r w:rsidR="0018059A">
        <w:rPr>
          <w:lang w:val="en-AU"/>
        </w:rPr>
        <w:t xml:space="preserve">. If under-deployed, </w:t>
      </w:r>
      <w:r w:rsidR="00191499">
        <w:rPr>
          <w:lang w:val="en-AU"/>
        </w:rPr>
        <w:t>the</w:t>
      </w:r>
      <w:r w:rsidR="0018059A">
        <w:rPr>
          <w:lang w:val="en-AU"/>
        </w:rPr>
        <w:t xml:space="preserve"> amou</w:t>
      </w:r>
      <w:r w:rsidR="00191499">
        <w:rPr>
          <w:lang w:val="en-AU"/>
        </w:rPr>
        <w:t>nt</w:t>
      </w:r>
      <w:r w:rsidR="00913F0E">
        <w:rPr>
          <w:lang w:val="en-AU"/>
        </w:rPr>
        <w:t xml:space="preserve"> of pesticide</w:t>
      </w:r>
      <w:r w:rsidR="0018059A">
        <w:rPr>
          <w:lang w:val="en-AU"/>
        </w:rPr>
        <w:t xml:space="preserve"> </w:t>
      </w:r>
      <w:r w:rsidR="00191499">
        <w:rPr>
          <w:lang w:val="en-AU"/>
        </w:rPr>
        <w:t>taken up into the sampler</w:t>
      </w:r>
      <w:r w:rsidR="0018059A">
        <w:rPr>
          <w:lang w:val="en-AU"/>
        </w:rPr>
        <w:t xml:space="preserve"> </w:t>
      </w:r>
      <w:r w:rsidR="00191499">
        <w:rPr>
          <w:lang w:val="en-AU"/>
        </w:rPr>
        <w:t xml:space="preserve">may be too low </w:t>
      </w:r>
      <w:r w:rsidR="0018059A">
        <w:rPr>
          <w:lang w:val="en-AU"/>
        </w:rPr>
        <w:t>to</w:t>
      </w:r>
      <w:r w:rsidR="00DD6F49">
        <w:rPr>
          <w:lang w:val="en-AU"/>
        </w:rPr>
        <w:t xml:space="preserve"> be</w:t>
      </w:r>
      <w:r w:rsidR="0018059A">
        <w:rPr>
          <w:lang w:val="en-AU"/>
        </w:rPr>
        <w:t xml:space="preserve"> detected on the analytical instruments</w:t>
      </w:r>
      <w:r w:rsidR="00F47D2C">
        <w:rPr>
          <w:lang w:val="en-AU"/>
        </w:rPr>
        <w:t>, result</w:t>
      </w:r>
      <w:r w:rsidR="002748AA">
        <w:rPr>
          <w:lang w:val="en-AU"/>
        </w:rPr>
        <w:t>ing</w:t>
      </w:r>
      <w:r w:rsidR="00F47D2C">
        <w:rPr>
          <w:lang w:val="en-AU"/>
        </w:rPr>
        <w:t xml:space="preserve"> in a non-detect </w:t>
      </w:r>
      <w:r w:rsidR="002748AA">
        <w:rPr>
          <w:lang w:val="en-AU"/>
        </w:rPr>
        <w:t xml:space="preserve">result </w:t>
      </w:r>
      <w:r w:rsidR="00F47D2C">
        <w:rPr>
          <w:lang w:val="en-AU"/>
        </w:rPr>
        <w:t xml:space="preserve">when in </w:t>
      </w:r>
      <w:r w:rsidR="002748AA">
        <w:rPr>
          <w:lang w:val="en-AU"/>
        </w:rPr>
        <w:t>fact</w:t>
      </w:r>
      <w:r w:rsidR="00F47D2C">
        <w:rPr>
          <w:lang w:val="en-AU"/>
        </w:rPr>
        <w:t xml:space="preserve"> the pesticide was present in the ecosystem</w:t>
      </w:r>
      <w:r w:rsidR="0018059A">
        <w:rPr>
          <w:lang w:val="en-AU"/>
        </w:rPr>
        <w:t xml:space="preserve">. If over-deployed, the samplers may become saturated, violate the assumptions of pesticide uptake dynamics or become bio-fouled or otherwise contaminated in the field. In these cases, samplers are excluded from </w:t>
      </w:r>
      <w:r w:rsidR="00913F0E">
        <w:rPr>
          <w:lang w:val="en-AU"/>
        </w:rPr>
        <w:t xml:space="preserve">the </w:t>
      </w:r>
      <w:r w:rsidR="0018059A">
        <w:rPr>
          <w:lang w:val="en-AU"/>
        </w:rPr>
        <w:t>analysis.</w:t>
      </w:r>
    </w:p>
    <w:p w14:paraId="15720E36" w14:textId="77777777" w:rsidR="0018059A" w:rsidRDefault="0018059A" w:rsidP="003F7121">
      <w:pPr>
        <w:spacing w:line="276" w:lineRule="auto"/>
        <w:rPr>
          <w:lang w:val="en-AU"/>
        </w:rPr>
      </w:pPr>
    </w:p>
    <w:p w14:paraId="15720E37" w14:textId="77777777" w:rsidR="00191499" w:rsidRDefault="003F7121" w:rsidP="003F7121">
      <w:pPr>
        <w:spacing w:line="276" w:lineRule="auto"/>
        <w:rPr>
          <w:lang w:val="en-AU"/>
        </w:rPr>
      </w:pPr>
      <w:r>
        <w:rPr>
          <w:lang w:val="en-AU"/>
        </w:rPr>
        <w:t xml:space="preserve">Passive samplers that show evidence of inappropriate storage during transportation that may lead to contamination (such as transport lids not attached or </w:t>
      </w:r>
      <w:r w:rsidR="003664EA">
        <w:rPr>
          <w:lang w:val="en-AU"/>
        </w:rPr>
        <w:t>EDs</w:t>
      </w:r>
      <w:r>
        <w:rPr>
          <w:lang w:val="en-AU"/>
        </w:rPr>
        <w:t xml:space="preserve"> returned dry) or damage during deployment (mud underneath membrane or severe biofilm that impedes water flow) are </w:t>
      </w:r>
      <w:r w:rsidR="002C7174">
        <w:rPr>
          <w:lang w:val="en-AU"/>
        </w:rPr>
        <w:t xml:space="preserve">also </w:t>
      </w:r>
      <w:r>
        <w:rPr>
          <w:lang w:val="en-AU"/>
        </w:rPr>
        <w:t>excluded from analysis</w:t>
      </w:r>
      <w:r w:rsidR="000435B2">
        <w:rPr>
          <w:lang w:val="en-AU"/>
        </w:rPr>
        <w:t xml:space="preserve">. </w:t>
      </w:r>
    </w:p>
    <w:p w14:paraId="15720E38" w14:textId="77777777" w:rsidR="002D401F" w:rsidRDefault="002D401F" w:rsidP="003F7121">
      <w:pPr>
        <w:spacing w:line="276" w:lineRule="auto"/>
        <w:rPr>
          <w:lang w:val="en-AU"/>
        </w:rPr>
      </w:pPr>
    </w:p>
    <w:p w14:paraId="15720E39" w14:textId="77777777" w:rsidR="002D401F" w:rsidRPr="002D401F" w:rsidRDefault="000648FB" w:rsidP="00220439">
      <w:pPr>
        <w:pStyle w:val="Heading2"/>
        <w:keepNext/>
        <w:keepLines/>
        <w:numPr>
          <w:ilvl w:val="1"/>
          <w:numId w:val="1"/>
        </w:numPr>
        <w:pBdr>
          <w:bottom w:val="none" w:sz="0" w:space="0" w:color="auto"/>
        </w:pBdr>
        <w:spacing w:before="240" w:after="120"/>
        <w:rPr>
          <w:bCs/>
          <w:sz w:val="26"/>
          <w:szCs w:val="26"/>
          <w:lang w:val="en-AU" w:eastAsia="en-US" w:bidi="ar-SA"/>
        </w:rPr>
      </w:pPr>
      <w:bookmarkStart w:id="111" w:name="_Toc502499994"/>
      <w:bookmarkStart w:id="112" w:name="_Toc461457757"/>
      <w:r>
        <w:rPr>
          <w:bCs/>
          <w:sz w:val="26"/>
          <w:szCs w:val="26"/>
          <w:lang w:val="en-AU" w:eastAsia="en-US" w:bidi="ar-SA"/>
        </w:rPr>
        <w:t>P</w:t>
      </w:r>
      <w:r w:rsidR="00170EC4" w:rsidRPr="004E0EF8">
        <w:rPr>
          <w:bCs/>
          <w:sz w:val="26"/>
          <w:szCs w:val="26"/>
          <w:lang w:val="en-AU" w:eastAsia="en-US" w:bidi="ar-SA"/>
        </w:rPr>
        <w:t>esticide</w:t>
      </w:r>
      <w:r>
        <w:rPr>
          <w:bCs/>
          <w:sz w:val="26"/>
          <w:szCs w:val="26"/>
          <w:lang w:val="en-AU" w:eastAsia="en-US" w:bidi="ar-SA"/>
        </w:rPr>
        <w:t xml:space="preserve"> </w:t>
      </w:r>
      <w:r w:rsidR="00170EC4" w:rsidRPr="004E0EF8">
        <w:rPr>
          <w:bCs/>
          <w:sz w:val="26"/>
          <w:szCs w:val="26"/>
          <w:lang w:val="en-AU" w:eastAsia="en-US" w:bidi="ar-SA"/>
        </w:rPr>
        <w:t>analys</w:t>
      </w:r>
      <w:r>
        <w:rPr>
          <w:bCs/>
          <w:sz w:val="26"/>
          <w:szCs w:val="26"/>
          <w:lang w:val="en-AU" w:eastAsia="en-US" w:bidi="ar-SA"/>
        </w:rPr>
        <w:t>e</w:t>
      </w:r>
      <w:r w:rsidR="00170EC4" w:rsidRPr="004E0EF8">
        <w:rPr>
          <w:bCs/>
          <w:sz w:val="26"/>
          <w:szCs w:val="26"/>
          <w:lang w:val="en-AU" w:eastAsia="en-US" w:bidi="ar-SA"/>
        </w:rPr>
        <w:t xml:space="preserve">s and </w:t>
      </w:r>
      <w:r>
        <w:rPr>
          <w:bCs/>
          <w:sz w:val="26"/>
          <w:szCs w:val="26"/>
          <w:lang w:val="en-AU" w:eastAsia="en-US" w:bidi="ar-SA"/>
        </w:rPr>
        <w:t>reporting QA</w:t>
      </w:r>
      <w:r w:rsidR="00913F0E">
        <w:rPr>
          <w:bCs/>
          <w:sz w:val="26"/>
          <w:szCs w:val="26"/>
          <w:lang w:val="en-AU" w:eastAsia="en-US" w:bidi="ar-SA"/>
        </w:rPr>
        <w:t>/</w:t>
      </w:r>
      <w:r>
        <w:rPr>
          <w:bCs/>
          <w:sz w:val="26"/>
          <w:szCs w:val="26"/>
          <w:lang w:val="en-AU" w:eastAsia="en-US" w:bidi="ar-SA"/>
        </w:rPr>
        <w:t>QC</w:t>
      </w:r>
      <w:r w:rsidR="00170EC4" w:rsidRPr="004E0EF8">
        <w:rPr>
          <w:bCs/>
          <w:sz w:val="26"/>
          <w:szCs w:val="26"/>
          <w:lang w:val="en-AU" w:eastAsia="en-US" w:bidi="ar-SA"/>
        </w:rPr>
        <w:t xml:space="preserve"> (GC</w:t>
      </w:r>
      <w:r w:rsidR="00913F0E">
        <w:rPr>
          <w:bCs/>
          <w:sz w:val="26"/>
          <w:szCs w:val="26"/>
          <w:lang w:val="en-AU" w:eastAsia="en-US" w:bidi="ar-SA"/>
        </w:rPr>
        <w:t>-</w:t>
      </w:r>
      <w:r w:rsidR="00170EC4" w:rsidRPr="004E0EF8">
        <w:rPr>
          <w:bCs/>
          <w:sz w:val="26"/>
          <w:szCs w:val="26"/>
          <w:lang w:val="en-AU" w:eastAsia="en-US" w:bidi="ar-SA"/>
        </w:rPr>
        <w:t>MS and LC</w:t>
      </w:r>
      <w:r w:rsidR="00913F0E">
        <w:rPr>
          <w:bCs/>
          <w:sz w:val="26"/>
          <w:szCs w:val="26"/>
          <w:lang w:val="en-AU" w:eastAsia="en-US" w:bidi="ar-SA"/>
        </w:rPr>
        <w:t>-</w:t>
      </w:r>
      <w:r w:rsidR="00170EC4" w:rsidRPr="004E0EF8">
        <w:rPr>
          <w:bCs/>
          <w:sz w:val="26"/>
          <w:szCs w:val="26"/>
          <w:lang w:val="en-AU" w:eastAsia="en-US" w:bidi="ar-SA"/>
        </w:rPr>
        <w:t>MS/MS)</w:t>
      </w:r>
      <w:bookmarkEnd w:id="111"/>
    </w:p>
    <w:p w14:paraId="15720E3A" w14:textId="77777777" w:rsidR="000648FB" w:rsidRDefault="000648FB" w:rsidP="00220439">
      <w:pPr>
        <w:pStyle w:val="Heading30"/>
        <w:numPr>
          <w:ilvl w:val="2"/>
          <w:numId w:val="1"/>
        </w:numPr>
      </w:pPr>
      <w:bookmarkStart w:id="113" w:name="_Toc502499995"/>
      <w:r>
        <w:t>Target pesticides</w:t>
      </w:r>
      <w:bookmarkEnd w:id="113"/>
    </w:p>
    <w:p w14:paraId="15720E3B" w14:textId="77777777" w:rsidR="00CB6C92" w:rsidRDefault="00CB6C92" w:rsidP="00CB6C92">
      <w:pPr>
        <w:spacing w:line="276" w:lineRule="auto"/>
        <w:rPr>
          <w:lang w:val="en-AU"/>
        </w:rPr>
      </w:pPr>
      <w:r w:rsidRPr="00C11BBA">
        <w:rPr>
          <w:lang w:val="en-AU"/>
        </w:rPr>
        <w:t>Th</w:t>
      </w:r>
      <w:r>
        <w:rPr>
          <w:lang w:val="en-AU"/>
        </w:rPr>
        <w:t>e</w:t>
      </w:r>
      <w:r w:rsidRPr="00C11BBA">
        <w:rPr>
          <w:lang w:val="en-AU"/>
        </w:rPr>
        <w:t xml:space="preserve"> list of target chemicals </w:t>
      </w:r>
      <w:r>
        <w:rPr>
          <w:lang w:val="en-AU"/>
        </w:rPr>
        <w:t xml:space="preserve">originally </w:t>
      </w:r>
      <w:r w:rsidRPr="00C11BBA">
        <w:rPr>
          <w:lang w:val="en-AU"/>
        </w:rPr>
        <w:t>derived</w:t>
      </w:r>
      <w:r>
        <w:rPr>
          <w:lang w:val="en-AU"/>
        </w:rPr>
        <w:t xml:space="preserve"> at the commencement of the MMP</w:t>
      </w:r>
      <w:r w:rsidRPr="00C11BBA">
        <w:rPr>
          <w:lang w:val="en-AU"/>
        </w:rPr>
        <w:t xml:space="preserve"> through consultation with GBRMPA </w:t>
      </w:r>
      <w:r>
        <w:rPr>
          <w:lang w:val="en-AU"/>
        </w:rPr>
        <w:t>was based on the following</w:t>
      </w:r>
      <w:r w:rsidRPr="00C11BBA">
        <w:rPr>
          <w:lang w:val="en-AU"/>
        </w:rPr>
        <w:t xml:space="preserve"> criteria:</w:t>
      </w:r>
      <w:r>
        <w:rPr>
          <w:lang w:val="en-AU"/>
        </w:rPr>
        <w:t xml:space="preserve"> </w:t>
      </w:r>
    </w:p>
    <w:p w14:paraId="15720E3C" w14:textId="77777777" w:rsidR="00CB6C92" w:rsidRPr="00CB6C92" w:rsidRDefault="00CB6C92" w:rsidP="00220439">
      <w:pPr>
        <w:pStyle w:val="ListParagraph"/>
        <w:numPr>
          <w:ilvl w:val="0"/>
          <w:numId w:val="13"/>
        </w:numPr>
        <w:spacing w:line="276" w:lineRule="auto"/>
        <w:rPr>
          <w:lang w:val="en-AU"/>
        </w:rPr>
      </w:pPr>
      <w:r w:rsidRPr="00CB6C92">
        <w:rPr>
          <w:lang w:val="en-AU"/>
        </w:rPr>
        <w:t>pesticid</w:t>
      </w:r>
      <w:r>
        <w:rPr>
          <w:lang w:val="en-AU"/>
        </w:rPr>
        <w:t>es detected in recent studies;</w:t>
      </w:r>
    </w:p>
    <w:p w14:paraId="15720E3D" w14:textId="77777777" w:rsidR="00CB6C92" w:rsidRDefault="00CB6C92" w:rsidP="00220439">
      <w:pPr>
        <w:pStyle w:val="ListParagraph"/>
        <w:numPr>
          <w:ilvl w:val="0"/>
          <w:numId w:val="13"/>
        </w:numPr>
        <w:spacing w:line="276" w:lineRule="auto"/>
        <w:rPr>
          <w:lang w:val="en-AU"/>
        </w:rPr>
      </w:pPr>
      <w:r>
        <w:rPr>
          <w:lang w:val="en-AU"/>
        </w:rPr>
        <w:t>t</w:t>
      </w:r>
      <w:r w:rsidRPr="00CB6C92">
        <w:rPr>
          <w:lang w:val="en-AU"/>
        </w:rPr>
        <w:t xml:space="preserve">hose </w:t>
      </w:r>
      <w:r>
        <w:rPr>
          <w:lang w:val="en-AU"/>
        </w:rPr>
        <w:t>recognised as a potential risk;</w:t>
      </w:r>
    </w:p>
    <w:p w14:paraId="15720E3E" w14:textId="77777777" w:rsidR="00CB6C92" w:rsidRPr="00CB6C92" w:rsidRDefault="00CB6C92" w:rsidP="00220439">
      <w:pPr>
        <w:pStyle w:val="ListParagraph"/>
        <w:numPr>
          <w:ilvl w:val="0"/>
          <w:numId w:val="13"/>
        </w:numPr>
        <w:spacing w:line="276" w:lineRule="auto"/>
        <w:rPr>
          <w:lang w:val="en-AU"/>
        </w:rPr>
      </w:pPr>
      <w:r>
        <w:rPr>
          <w:lang w:val="en-AU"/>
        </w:rPr>
        <w:t>analytical affordability;</w:t>
      </w:r>
    </w:p>
    <w:p w14:paraId="15720E3F" w14:textId="77777777" w:rsidR="00CB6C92" w:rsidRPr="00CB6C92" w:rsidRDefault="00CB6C92" w:rsidP="00220439">
      <w:pPr>
        <w:pStyle w:val="ListParagraph"/>
        <w:numPr>
          <w:ilvl w:val="0"/>
          <w:numId w:val="13"/>
        </w:numPr>
        <w:spacing w:line="276" w:lineRule="auto"/>
        <w:rPr>
          <w:lang w:val="en-AU"/>
        </w:rPr>
      </w:pPr>
      <w:r w:rsidRPr="00CB6C92">
        <w:rPr>
          <w:lang w:val="en-AU"/>
        </w:rPr>
        <w:t>pesticides within the analytical capabilities of Queensland Health and Forensic Scientific Services (QHFSS, who formerly conducted all analysis)</w:t>
      </w:r>
      <w:r>
        <w:rPr>
          <w:lang w:val="en-AU"/>
        </w:rPr>
        <w:t>;</w:t>
      </w:r>
      <w:r w:rsidRPr="00CB6C92">
        <w:rPr>
          <w:lang w:val="en-AU"/>
        </w:rPr>
        <w:t xml:space="preserve"> and</w:t>
      </w:r>
    </w:p>
    <w:p w14:paraId="15720E40" w14:textId="77777777" w:rsidR="00CB6C92" w:rsidRPr="00CB6C92" w:rsidRDefault="00CB6C92" w:rsidP="00220439">
      <w:pPr>
        <w:pStyle w:val="ListParagraph"/>
        <w:numPr>
          <w:ilvl w:val="0"/>
          <w:numId w:val="13"/>
        </w:numPr>
        <w:spacing w:line="276" w:lineRule="auto"/>
        <w:rPr>
          <w:lang w:val="en-AU"/>
        </w:rPr>
      </w:pPr>
      <w:r w:rsidRPr="00CB6C92">
        <w:rPr>
          <w:lang w:val="en-AU"/>
        </w:rPr>
        <w:t xml:space="preserve">those likely to be accumulated </w:t>
      </w:r>
      <w:r w:rsidR="00913F0E">
        <w:rPr>
          <w:lang w:val="en-AU"/>
        </w:rPr>
        <w:t>using</w:t>
      </w:r>
      <w:r w:rsidRPr="00CB6C92">
        <w:rPr>
          <w:lang w:val="en-AU"/>
        </w:rPr>
        <w:t xml:space="preserve"> one of the passive sampling techniques (i.e. that exist as neutral species and are not too polar). </w:t>
      </w:r>
    </w:p>
    <w:p w14:paraId="15720E41" w14:textId="77777777" w:rsidR="009C47C7" w:rsidRDefault="009C47C7" w:rsidP="00CB6C92">
      <w:pPr>
        <w:spacing w:line="276" w:lineRule="auto"/>
        <w:rPr>
          <w:lang w:val="en-AU"/>
        </w:rPr>
      </w:pPr>
    </w:p>
    <w:p w14:paraId="15720E42" w14:textId="7EF12663" w:rsidR="00CB6C92" w:rsidRDefault="00CB6C92" w:rsidP="00CB6C92">
      <w:pPr>
        <w:spacing w:line="276" w:lineRule="auto"/>
        <w:rPr>
          <w:lang w:val="en-AU"/>
        </w:rPr>
      </w:pPr>
      <w:r>
        <w:rPr>
          <w:lang w:val="en-AU"/>
        </w:rPr>
        <w:t xml:space="preserve">In 2015 in consultation with the Pesticide Working Group (PWG) and GBRMPA, the list of target chemicals was further expanded to include </w:t>
      </w:r>
      <w:r w:rsidR="0083578F">
        <w:rPr>
          <w:lang w:val="en-AU"/>
        </w:rPr>
        <w:t>several</w:t>
      </w:r>
      <w:r>
        <w:rPr>
          <w:lang w:val="en-AU"/>
        </w:rPr>
        <w:t xml:space="preserve"> </w:t>
      </w:r>
      <w:r w:rsidR="00ED6AC5">
        <w:rPr>
          <w:lang w:val="en-AU"/>
        </w:rPr>
        <w:t>other</w:t>
      </w:r>
      <w:r>
        <w:rPr>
          <w:lang w:val="en-AU"/>
        </w:rPr>
        <w:t xml:space="preserve"> </w:t>
      </w:r>
      <w:r>
        <w:rPr>
          <w:rFonts w:cs="Arial"/>
          <w:lang w:val="en-AU"/>
        </w:rPr>
        <w:t>pre- and post-emergent herbicides (</w:t>
      </w:r>
      <w:r w:rsidR="00C91BF5">
        <w:rPr>
          <w:rFonts w:cs="Arial"/>
          <w:highlight w:val="yellow"/>
          <w:lang w:val="en-AU"/>
        </w:rPr>
        <w:fldChar w:fldCharType="begin"/>
      </w:r>
      <w:r w:rsidR="006A6F28">
        <w:rPr>
          <w:rFonts w:cs="Arial"/>
          <w:lang w:val="en-AU"/>
        </w:rPr>
        <w:instrText xml:space="preserve"> REF _Ref480726468 \n \h </w:instrText>
      </w:r>
      <w:r w:rsidR="00C91BF5">
        <w:rPr>
          <w:rFonts w:cs="Arial"/>
          <w:highlight w:val="yellow"/>
          <w:lang w:val="en-AU"/>
        </w:rPr>
      </w:r>
      <w:r w:rsidR="00C91BF5">
        <w:rPr>
          <w:rFonts w:cs="Arial"/>
          <w:highlight w:val="yellow"/>
          <w:lang w:val="en-AU"/>
        </w:rPr>
        <w:fldChar w:fldCharType="separate"/>
      </w:r>
      <w:r w:rsidR="00D12276">
        <w:rPr>
          <w:rFonts w:cs="Arial"/>
          <w:lang w:val="en-AU"/>
        </w:rPr>
        <w:t xml:space="preserve">Appendix A </w:t>
      </w:r>
      <w:r w:rsidR="00C91BF5">
        <w:rPr>
          <w:rFonts w:cs="Arial"/>
          <w:highlight w:val="yellow"/>
          <w:lang w:val="en-AU"/>
        </w:rPr>
        <w:fldChar w:fldCharType="end"/>
      </w:r>
      <w:r w:rsidR="00C91BF5">
        <w:rPr>
          <w:rFonts w:cs="Arial"/>
          <w:highlight w:val="yellow"/>
          <w:lang w:val="en-AU"/>
        </w:rPr>
        <w:fldChar w:fldCharType="begin"/>
      </w:r>
      <w:r w:rsidR="006A6F28">
        <w:rPr>
          <w:rFonts w:cs="Arial"/>
          <w:highlight w:val="yellow"/>
          <w:lang w:val="en-AU"/>
        </w:rPr>
        <w:instrText xml:space="preserve"> REF _Ref480726503 \h </w:instrText>
      </w:r>
      <w:r w:rsidR="00C91BF5">
        <w:rPr>
          <w:rFonts w:cs="Arial"/>
          <w:highlight w:val="yellow"/>
          <w:lang w:val="en-AU"/>
        </w:rPr>
      </w:r>
      <w:r w:rsidR="00C91BF5">
        <w:rPr>
          <w:rFonts w:cs="Arial"/>
          <w:highlight w:val="yellow"/>
          <w:lang w:val="en-AU"/>
        </w:rPr>
        <w:fldChar w:fldCharType="separate"/>
      </w:r>
      <w:r w:rsidR="00D12276" w:rsidRPr="00D706B9">
        <w:t xml:space="preserve">Table </w:t>
      </w:r>
      <w:r w:rsidR="00D12276">
        <w:rPr>
          <w:noProof/>
        </w:rPr>
        <w:t>A</w:t>
      </w:r>
      <w:r w:rsidR="00D12276" w:rsidRPr="00D706B9">
        <w:noBreakHyphen/>
      </w:r>
      <w:r w:rsidR="00D12276">
        <w:rPr>
          <w:noProof/>
        </w:rPr>
        <w:t>4</w:t>
      </w:r>
      <w:r w:rsidR="00C91BF5">
        <w:rPr>
          <w:rFonts w:cs="Arial"/>
          <w:highlight w:val="yellow"/>
          <w:lang w:val="en-AU"/>
        </w:rPr>
        <w:fldChar w:fldCharType="end"/>
      </w:r>
      <w:r>
        <w:rPr>
          <w:rFonts w:cs="Arial"/>
          <w:lang w:val="en-AU"/>
        </w:rPr>
        <w:t>)</w:t>
      </w:r>
      <w:r>
        <w:rPr>
          <w:lang w:val="en-AU"/>
        </w:rPr>
        <w:t xml:space="preserve">. The criteria by which these new target chemicals have been included are: </w:t>
      </w:r>
    </w:p>
    <w:p w14:paraId="15720E43" w14:textId="77777777" w:rsidR="00CB6C92" w:rsidRDefault="00CB6C92" w:rsidP="00220439">
      <w:pPr>
        <w:pStyle w:val="ListParagraph"/>
        <w:numPr>
          <w:ilvl w:val="0"/>
          <w:numId w:val="14"/>
        </w:numPr>
        <w:spacing w:line="276" w:lineRule="auto"/>
        <w:rPr>
          <w:lang w:val="en-AU"/>
        </w:rPr>
      </w:pPr>
      <w:r w:rsidRPr="00CB6C92">
        <w:rPr>
          <w:lang w:val="en-AU"/>
        </w:rPr>
        <w:t>registered for use in Reef catchments to supplement or replace the</w:t>
      </w:r>
      <w:r>
        <w:rPr>
          <w:lang w:val="en-AU"/>
        </w:rPr>
        <w:t xml:space="preserve"> use of some traditional </w:t>
      </w:r>
      <w:r w:rsidR="0083578F" w:rsidRPr="0083578F">
        <w:rPr>
          <w:lang w:val="en-AU"/>
        </w:rPr>
        <w:t xml:space="preserve">Photosystem II </w:t>
      </w:r>
      <w:r w:rsidR="0083578F">
        <w:rPr>
          <w:lang w:val="en-AU"/>
        </w:rPr>
        <w:t>(PSII) herbicides</w:t>
      </w:r>
      <w:r>
        <w:rPr>
          <w:lang w:val="en-AU"/>
        </w:rPr>
        <w:t>;</w:t>
      </w:r>
    </w:p>
    <w:p w14:paraId="15720E44" w14:textId="77777777" w:rsidR="00CB6C92" w:rsidRDefault="00CB6C92" w:rsidP="00220439">
      <w:pPr>
        <w:pStyle w:val="ListParagraph"/>
        <w:numPr>
          <w:ilvl w:val="0"/>
          <w:numId w:val="14"/>
        </w:numPr>
        <w:spacing w:line="276" w:lineRule="auto"/>
        <w:rPr>
          <w:lang w:val="en-AU"/>
        </w:rPr>
      </w:pPr>
      <w:r w:rsidRPr="00CB6C92">
        <w:rPr>
          <w:lang w:val="en-AU"/>
        </w:rPr>
        <w:lastRenderedPageBreak/>
        <w:t>included in the suite for PSII end-of-catchment loads monitoring and catchment pesticide modelling programs conducted by other agencies (and thus better harmonisation across complimentary monitoring programs)</w:t>
      </w:r>
      <w:r>
        <w:rPr>
          <w:lang w:val="en-AU"/>
        </w:rPr>
        <w:t>;</w:t>
      </w:r>
      <w:r w:rsidRPr="00CB6C92">
        <w:rPr>
          <w:lang w:val="en-AU"/>
        </w:rPr>
        <w:t xml:space="preserve"> and </w:t>
      </w:r>
    </w:p>
    <w:p w14:paraId="15720E45" w14:textId="77777777" w:rsidR="00CB6C92" w:rsidRDefault="00CB6C92" w:rsidP="00220439">
      <w:pPr>
        <w:pStyle w:val="ListParagraph"/>
        <w:numPr>
          <w:ilvl w:val="0"/>
          <w:numId w:val="14"/>
        </w:numPr>
        <w:spacing w:line="276" w:lineRule="auto"/>
        <w:rPr>
          <w:lang w:val="en-AU"/>
        </w:rPr>
      </w:pPr>
      <w:r w:rsidRPr="00CB6C92">
        <w:rPr>
          <w:lang w:val="en-AU"/>
        </w:rPr>
        <w:t xml:space="preserve">detected in recent studies and monitoring programs. </w:t>
      </w:r>
    </w:p>
    <w:p w14:paraId="15720E46" w14:textId="77777777" w:rsidR="002D401F" w:rsidRPr="002D401F" w:rsidRDefault="002D401F" w:rsidP="002D401F">
      <w:pPr>
        <w:spacing w:line="276" w:lineRule="auto"/>
        <w:rPr>
          <w:lang w:val="en-AU"/>
        </w:rPr>
      </w:pPr>
    </w:p>
    <w:p w14:paraId="15720E47" w14:textId="77777777" w:rsidR="0059608E" w:rsidRPr="00C11BBA" w:rsidRDefault="00170EC4" w:rsidP="00220439">
      <w:pPr>
        <w:pStyle w:val="Heading30"/>
        <w:numPr>
          <w:ilvl w:val="2"/>
          <w:numId w:val="1"/>
        </w:numPr>
      </w:pPr>
      <w:bookmarkStart w:id="114" w:name="_Toc502499996"/>
      <w:r>
        <w:t>Instrument analyses</w:t>
      </w:r>
      <w:bookmarkEnd w:id="112"/>
      <w:r w:rsidR="0059608E" w:rsidRPr="00C11BBA">
        <w:t xml:space="preserve"> </w:t>
      </w:r>
      <w:r w:rsidR="002255B7">
        <w:t>and analytical quality assurance quality control (QA</w:t>
      </w:r>
      <w:r w:rsidR="000F1331">
        <w:t>/</w:t>
      </w:r>
      <w:r w:rsidR="002255B7">
        <w:t>QC)</w:t>
      </w:r>
      <w:bookmarkEnd w:id="114"/>
    </w:p>
    <w:p w14:paraId="15720E48" w14:textId="41C86568" w:rsidR="000648FB" w:rsidRDefault="0059608E" w:rsidP="00FF0A36">
      <w:pPr>
        <w:spacing w:line="276" w:lineRule="auto"/>
        <w:rPr>
          <w:noProof/>
          <w:lang w:val="en-AU"/>
        </w:rPr>
      </w:pPr>
      <w:r>
        <w:rPr>
          <w:lang w:val="en-AU"/>
        </w:rPr>
        <w:t xml:space="preserve">Analysis of non-polar pesticides </w:t>
      </w:r>
      <w:r w:rsidR="001A16CC">
        <w:rPr>
          <w:lang w:val="en-AU"/>
        </w:rPr>
        <w:t xml:space="preserve">using </w:t>
      </w:r>
      <w:r w:rsidR="00F039E6">
        <w:rPr>
          <w:lang w:val="en-AU"/>
        </w:rPr>
        <w:t>G</w:t>
      </w:r>
      <w:r w:rsidR="001A16CC">
        <w:rPr>
          <w:lang w:val="en-AU"/>
        </w:rPr>
        <w:t xml:space="preserve">as </w:t>
      </w:r>
      <w:r w:rsidR="00F039E6">
        <w:rPr>
          <w:lang w:val="en-AU"/>
        </w:rPr>
        <w:t>C</w:t>
      </w:r>
      <w:r w:rsidR="001A16CC">
        <w:rPr>
          <w:lang w:val="en-AU"/>
        </w:rPr>
        <w:t>hromatography</w:t>
      </w:r>
      <w:r w:rsidR="00BF4F25">
        <w:rPr>
          <w:lang w:val="en-AU"/>
        </w:rPr>
        <w:t>-</w:t>
      </w:r>
      <w:r w:rsidR="00F039E6">
        <w:rPr>
          <w:lang w:val="en-AU"/>
        </w:rPr>
        <w:t>Mass S</w:t>
      </w:r>
      <w:r w:rsidR="001A16CC">
        <w:rPr>
          <w:lang w:val="en-AU"/>
        </w:rPr>
        <w:t>pectrometry (</w:t>
      </w:r>
      <w:r>
        <w:rPr>
          <w:lang w:val="en-AU"/>
        </w:rPr>
        <w:t xml:space="preserve">GC-MS) and </w:t>
      </w:r>
      <w:r w:rsidR="006145AF">
        <w:rPr>
          <w:lang w:val="en-AU"/>
        </w:rPr>
        <w:t xml:space="preserve">polar </w:t>
      </w:r>
      <w:r>
        <w:rPr>
          <w:lang w:val="en-AU"/>
        </w:rPr>
        <w:t xml:space="preserve">herbicides </w:t>
      </w:r>
      <w:r w:rsidR="006145AF">
        <w:rPr>
          <w:lang w:val="en-AU"/>
        </w:rPr>
        <w:t xml:space="preserve">using </w:t>
      </w:r>
      <w:r w:rsidR="00F039E6">
        <w:rPr>
          <w:lang w:val="en-AU"/>
        </w:rPr>
        <w:t>L</w:t>
      </w:r>
      <w:r w:rsidR="001A16CC">
        <w:rPr>
          <w:lang w:val="en-AU"/>
        </w:rPr>
        <w:t xml:space="preserve">iquid </w:t>
      </w:r>
      <w:r w:rsidR="00F039E6">
        <w:rPr>
          <w:lang w:val="en-AU"/>
        </w:rPr>
        <w:t>C</w:t>
      </w:r>
      <w:r w:rsidR="001A16CC">
        <w:rPr>
          <w:lang w:val="en-AU"/>
        </w:rPr>
        <w:t>hromatography</w:t>
      </w:r>
      <w:r w:rsidR="00BF4F25">
        <w:rPr>
          <w:lang w:val="en-AU"/>
        </w:rPr>
        <w:t>-</w:t>
      </w:r>
      <w:r w:rsidR="0078355E">
        <w:rPr>
          <w:lang w:val="en-AU"/>
        </w:rPr>
        <w:t xml:space="preserve">tandem </w:t>
      </w:r>
      <w:r w:rsidR="00F039E6">
        <w:rPr>
          <w:lang w:val="en-AU"/>
        </w:rPr>
        <w:t>M</w:t>
      </w:r>
      <w:r w:rsidR="001A16CC">
        <w:rPr>
          <w:lang w:val="en-AU"/>
        </w:rPr>
        <w:t xml:space="preserve">ass </w:t>
      </w:r>
      <w:r w:rsidR="00F039E6">
        <w:rPr>
          <w:lang w:val="en-AU"/>
        </w:rPr>
        <w:t>S</w:t>
      </w:r>
      <w:r w:rsidR="001A16CC">
        <w:rPr>
          <w:lang w:val="en-AU"/>
        </w:rPr>
        <w:t xml:space="preserve">pectrometry </w:t>
      </w:r>
      <w:r>
        <w:rPr>
          <w:lang w:val="en-AU"/>
        </w:rPr>
        <w:t>(LC-MS</w:t>
      </w:r>
      <w:r w:rsidR="0078355E">
        <w:rPr>
          <w:lang w:val="en-AU"/>
        </w:rPr>
        <w:t>/MS</w:t>
      </w:r>
      <w:r>
        <w:rPr>
          <w:lang w:val="en-AU"/>
        </w:rPr>
        <w:t>) in passive samplers (</w:t>
      </w:r>
      <w:r w:rsidR="00FF0A36">
        <w:rPr>
          <w:lang w:val="en-AU"/>
        </w:rPr>
        <w:t xml:space="preserve">PDMS and </w:t>
      </w:r>
      <w:r w:rsidR="003664EA">
        <w:rPr>
          <w:lang w:val="en-AU"/>
        </w:rPr>
        <w:t>EDs</w:t>
      </w:r>
      <w:r w:rsidR="00FF0A36">
        <w:rPr>
          <w:lang w:val="en-AU"/>
        </w:rPr>
        <w:t>) and grab samples was</w:t>
      </w:r>
      <w:r>
        <w:rPr>
          <w:lang w:val="en-AU"/>
        </w:rPr>
        <w:t xml:space="preserve"> conducted at </w:t>
      </w:r>
      <w:r w:rsidR="00170EC4">
        <w:rPr>
          <w:lang w:val="en-AU"/>
        </w:rPr>
        <w:t>QAEHS</w:t>
      </w:r>
      <w:r>
        <w:rPr>
          <w:lang w:val="en-AU"/>
        </w:rPr>
        <w:t xml:space="preserve">. </w:t>
      </w:r>
      <w:r w:rsidR="00A8743F">
        <w:rPr>
          <w:lang w:val="en-AU"/>
        </w:rPr>
        <w:t xml:space="preserve">Further details are given in </w:t>
      </w:r>
      <w:r w:rsidR="00C91BF5">
        <w:rPr>
          <w:highlight w:val="yellow"/>
          <w:lang w:val="en-AU"/>
        </w:rPr>
        <w:fldChar w:fldCharType="begin"/>
      </w:r>
      <w:r w:rsidR="006A6F28">
        <w:rPr>
          <w:lang w:val="en-AU"/>
        </w:rPr>
        <w:instrText xml:space="preserve"> REF _Ref480726549 \n \h </w:instrText>
      </w:r>
      <w:r w:rsidR="00C91BF5">
        <w:rPr>
          <w:highlight w:val="yellow"/>
          <w:lang w:val="en-AU"/>
        </w:rPr>
      </w:r>
      <w:r w:rsidR="00C91BF5">
        <w:rPr>
          <w:highlight w:val="yellow"/>
          <w:lang w:val="en-AU"/>
        </w:rPr>
        <w:fldChar w:fldCharType="separate"/>
      </w:r>
      <w:r w:rsidR="00D12276">
        <w:rPr>
          <w:lang w:val="en-AU"/>
        </w:rPr>
        <w:t xml:space="preserve">Appendix A </w:t>
      </w:r>
      <w:r w:rsidR="00C91BF5">
        <w:rPr>
          <w:highlight w:val="yellow"/>
          <w:lang w:val="en-AU"/>
        </w:rPr>
        <w:fldChar w:fldCharType="end"/>
      </w:r>
      <w:r>
        <w:rPr>
          <w:lang w:val="en-AU"/>
        </w:rPr>
        <w:t>Sample analysis was previously conducted by QHFSS</w:t>
      </w:r>
      <w:r w:rsidR="006145AF">
        <w:rPr>
          <w:lang w:val="en-AU"/>
        </w:rPr>
        <w:t xml:space="preserve">. </w:t>
      </w:r>
      <w:r w:rsidR="00A8743F">
        <w:rPr>
          <w:lang w:val="en-AU"/>
        </w:rPr>
        <w:t xml:space="preserve">Inter-laboratory comparisons between QAEHS and QHFSS were conducted for two years for </w:t>
      </w:r>
      <w:r w:rsidR="006145AF">
        <w:rPr>
          <w:lang w:val="en-AU"/>
        </w:rPr>
        <w:t>LC-MS analysis and one year for GC-MS analysis.</w:t>
      </w:r>
      <w:r w:rsidR="00A8743F">
        <w:rPr>
          <w:lang w:val="en-AU"/>
        </w:rPr>
        <w:t xml:space="preserve"> No inconsistencies or </w:t>
      </w:r>
      <w:r w:rsidR="00A8743F" w:rsidRPr="00A8743F">
        <w:rPr>
          <w:lang w:val="en-AU"/>
        </w:rPr>
        <w:t>bias emerge</w:t>
      </w:r>
      <w:r w:rsidR="00A8743F">
        <w:rPr>
          <w:lang w:val="en-AU"/>
        </w:rPr>
        <w:t>d in the detection/</w:t>
      </w:r>
      <w:r w:rsidR="00A8743F" w:rsidRPr="00A8743F">
        <w:rPr>
          <w:lang w:val="en-AU"/>
        </w:rPr>
        <w:t xml:space="preserve">non-detection </w:t>
      </w:r>
      <w:r w:rsidR="00A8743F">
        <w:rPr>
          <w:lang w:val="en-AU"/>
        </w:rPr>
        <w:t xml:space="preserve">and quantification </w:t>
      </w:r>
      <w:r w:rsidR="00A8743F" w:rsidRPr="00A8743F">
        <w:rPr>
          <w:lang w:val="en-AU"/>
        </w:rPr>
        <w:t>of chemicals</w:t>
      </w:r>
      <w:r w:rsidR="00A8743F">
        <w:rPr>
          <w:lang w:val="en-AU"/>
        </w:rPr>
        <w:t xml:space="preserve"> between the two laboratories (for details see </w:t>
      </w:r>
      <w:r w:rsidR="00C91BF5">
        <w:rPr>
          <w:lang w:val="en-AU"/>
        </w:rPr>
        <w:fldChar w:fldCharType="begin"/>
      </w:r>
      <w:r w:rsidR="001C4264">
        <w:rPr>
          <w:lang w:val="en-AU"/>
        </w:rPr>
        <w:instrText xml:space="preserve"> ADDIN EN.CITE &lt;EndNote&gt;&lt;Cite AuthorYear="1"&gt;&lt;Author&gt;Gallen&lt;/Author&gt;&lt;Year&gt;2014&lt;/Year&gt;&lt;RecNum&gt;18&lt;/RecNum&gt;&lt;DisplayText&gt;Gallen et al. (2014), Gallen et al. (2016)&lt;/DisplayText&gt;&lt;record&gt;&lt;rec-number&gt;18&lt;/rec-number&gt;&lt;foreign-keys&gt;&lt;key app="EN" db-id="vvtrt2pt4xpx5teta99vvtwg50vzve2aexae" timestamp="1493157346"&gt;18&lt;/key&gt;&lt;/foreign-keys&gt;&lt;ref-type name="Report"&gt;27&lt;/ref-type&gt;&lt;contributors&gt;&lt;authors&gt;&lt;author&gt;Gallen, C&lt;/author&gt;&lt;author&gt;Devlin, M&lt;/author&gt;&lt;author&gt;Thompson, K&lt;/author&gt;&lt;author&gt;Paxman, C&lt;/author&gt;&lt;author&gt;Mueller, J&lt;/author&gt;&lt;/authors&gt;&lt;/contributors&gt;&lt;titles&gt;&lt;title&gt;Pesticide monitoring in inshore waters of the Great Barrier Reef using both time-integrated and event monitoring techniques (2013-2014)&lt;/title&gt;&lt;/titles&gt;&lt;dates&gt;&lt;year&gt;2014&lt;/year&gt;&lt;/dates&gt;&lt;pub-location&gt;The University of Queensland, The National Research Centre for Environmental Toxicology (Entox)&lt;/pub-location&gt;&lt;urls&gt;&lt;/urls&gt;&lt;/record&gt;&lt;/Cite&gt;&lt;Cite AuthorYear="1"&gt;&lt;Author&gt;Gallen&lt;/Author&gt;&lt;Year&gt;2016&lt;/Year&gt;&lt;RecNum&gt;19&lt;/RecNum&gt;&lt;record&gt;&lt;rec-number&gt;19&lt;/rec-number&gt;&lt;foreign-keys&gt;&lt;key app="EN" db-id="vvtrt2pt4xpx5teta99vvtwg50vzve2aexae" timestamp="1493157347"&gt;19&lt;/key&gt;&lt;/foreign-keys&gt;&lt;ref-type name="Report"&gt;27&lt;/ref-type&gt;&lt;contributors&gt;&lt;authors&gt;&lt;author&gt;Gallen, C.&lt;/author&gt;&lt;author&gt;Thompson, K.&lt;/author&gt;&lt;author&gt;Paxman, C.&lt;/author&gt;&lt;author&gt;Devlin, M.&lt;/author&gt;&lt;author&gt;Mueller, J.&lt;/author&gt;&lt;/authors&gt;&lt;/contributors&gt;&lt;titles&gt;&lt;title&gt;Marine Monitoring Program.  Annual Report for inshore pesticide monitoring: 2014 to 2015. Report for the Great Barrier Reef Marine Park Authority&lt;/title&gt;&lt;/titles&gt;&lt;dates&gt;&lt;year&gt;2016&lt;/year&gt;&lt;/dates&gt;&lt;publisher&gt;The University of Queensland, The National Research Centre for Environmental Toxicology (Entox), Brisbane&lt;/publisher&gt;&lt;urls&gt;&lt;/urls&gt;&lt;/record&gt;&lt;/Cite&gt;&lt;/EndNote&gt;</w:instrText>
      </w:r>
      <w:r w:rsidR="00C91BF5">
        <w:rPr>
          <w:lang w:val="en-AU"/>
        </w:rPr>
        <w:fldChar w:fldCharType="separate"/>
      </w:r>
      <w:r w:rsidR="001C4264">
        <w:rPr>
          <w:noProof/>
          <w:lang w:val="en-AU"/>
        </w:rPr>
        <w:t>Gallen et al. (2014), Gallen et al. (2016)</w:t>
      </w:r>
      <w:r w:rsidR="00C91BF5">
        <w:rPr>
          <w:lang w:val="en-AU"/>
        </w:rPr>
        <w:fldChar w:fldCharType="end"/>
      </w:r>
      <w:r w:rsidR="00A8743F">
        <w:rPr>
          <w:noProof/>
          <w:lang w:val="en-AU"/>
        </w:rPr>
        <w:t xml:space="preserve">). </w:t>
      </w:r>
    </w:p>
    <w:p w14:paraId="15720E49" w14:textId="77777777" w:rsidR="00FF0A36" w:rsidRPr="00FF0A36" w:rsidRDefault="00FF0A36" w:rsidP="00FF0A36">
      <w:pPr>
        <w:spacing w:line="276" w:lineRule="auto"/>
        <w:rPr>
          <w:lang w:val="en-AU"/>
        </w:rPr>
      </w:pPr>
    </w:p>
    <w:p w14:paraId="15720E4A" w14:textId="77777777" w:rsidR="0038278E" w:rsidRDefault="002255B7" w:rsidP="00015606">
      <w:pPr>
        <w:spacing w:line="276" w:lineRule="auto"/>
        <w:rPr>
          <w:lang w:val="en-AU"/>
        </w:rPr>
      </w:pPr>
      <w:r w:rsidRPr="002A0D7D">
        <w:rPr>
          <w:i/>
          <w:lang w:val="en-AU"/>
        </w:rPr>
        <w:t>QA</w:t>
      </w:r>
      <w:r w:rsidR="009B5FAA">
        <w:rPr>
          <w:i/>
          <w:lang w:val="en-AU"/>
        </w:rPr>
        <w:t>/</w:t>
      </w:r>
      <w:r w:rsidRPr="002A0D7D">
        <w:rPr>
          <w:i/>
          <w:lang w:val="en-AU"/>
        </w:rPr>
        <w:t>QC</w:t>
      </w:r>
      <w:r>
        <w:rPr>
          <w:lang w:val="en-AU"/>
        </w:rPr>
        <w:t xml:space="preserve">: </w:t>
      </w:r>
      <w:r w:rsidRPr="002255B7">
        <w:rPr>
          <w:lang w:val="en-AU"/>
        </w:rPr>
        <w:t xml:space="preserve">Blanks were extracted and analysed with every batch of </w:t>
      </w:r>
      <w:r w:rsidR="00041D10">
        <w:rPr>
          <w:lang w:val="en-AU"/>
        </w:rPr>
        <w:t>12</w:t>
      </w:r>
      <w:r w:rsidRPr="002255B7">
        <w:rPr>
          <w:lang w:val="en-AU"/>
        </w:rPr>
        <w:t xml:space="preserve"> samples. </w:t>
      </w:r>
      <w:r w:rsidR="0083578F" w:rsidRPr="002255B7">
        <w:rPr>
          <w:lang w:val="en-AU"/>
        </w:rPr>
        <w:t>Most</w:t>
      </w:r>
      <w:r w:rsidRPr="002255B7">
        <w:rPr>
          <w:lang w:val="en-AU"/>
        </w:rPr>
        <w:t xml:space="preserve"> </w:t>
      </w:r>
      <w:r>
        <w:rPr>
          <w:lang w:val="en-AU"/>
        </w:rPr>
        <w:t>pesticides</w:t>
      </w:r>
      <w:r w:rsidRPr="002255B7">
        <w:rPr>
          <w:lang w:val="en-AU"/>
        </w:rPr>
        <w:t xml:space="preserve"> were below the limit of </w:t>
      </w:r>
      <w:r>
        <w:rPr>
          <w:lang w:val="en-AU"/>
        </w:rPr>
        <w:t>detection</w:t>
      </w:r>
      <w:r w:rsidRPr="002255B7">
        <w:rPr>
          <w:lang w:val="en-AU"/>
        </w:rPr>
        <w:t xml:space="preserve"> (LO</w:t>
      </w:r>
      <w:r>
        <w:rPr>
          <w:lang w:val="en-AU"/>
        </w:rPr>
        <w:t>D</w:t>
      </w:r>
      <w:r w:rsidRPr="002255B7">
        <w:rPr>
          <w:lang w:val="en-AU"/>
        </w:rPr>
        <w:t xml:space="preserve">) in batch blanks. </w:t>
      </w:r>
      <w:r w:rsidR="0038278E">
        <w:rPr>
          <w:lang w:val="en-AU"/>
        </w:rPr>
        <w:t>Where blank values were detected, sample concentrations in that batch that were less than 3 times the blank value were excluded from summary statistics and the PSII-</w:t>
      </w:r>
      <w:r w:rsidR="009D307F">
        <w:rPr>
          <w:lang w:val="en-AU"/>
        </w:rPr>
        <w:t>HEq</w:t>
      </w:r>
      <w:r w:rsidR="0038278E">
        <w:rPr>
          <w:lang w:val="en-AU"/>
        </w:rPr>
        <w:t xml:space="preserve"> </w:t>
      </w:r>
      <w:r w:rsidR="002A0D7D">
        <w:rPr>
          <w:lang w:val="en-AU"/>
        </w:rPr>
        <w:t>calculations</w:t>
      </w:r>
      <w:r w:rsidR="0038278E">
        <w:rPr>
          <w:lang w:val="en-AU"/>
        </w:rPr>
        <w:t xml:space="preserve"> and are </w:t>
      </w:r>
      <w:r w:rsidR="002A0D7D">
        <w:rPr>
          <w:lang w:val="en-AU"/>
        </w:rPr>
        <w:t xml:space="preserve">shown with a “&lt;” in the data tables in </w:t>
      </w:r>
      <w:r w:rsidR="00C91BF5">
        <w:rPr>
          <w:lang w:val="en-AU"/>
        </w:rPr>
        <w:fldChar w:fldCharType="begin"/>
      </w:r>
      <w:r w:rsidR="002A0D7D">
        <w:rPr>
          <w:lang w:val="en-AU"/>
        </w:rPr>
        <w:instrText xml:space="preserve"> REF _Ref335637596 \h </w:instrText>
      </w:r>
      <w:r w:rsidR="00C91BF5">
        <w:rPr>
          <w:lang w:val="en-AU"/>
        </w:rPr>
      </w:r>
      <w:r w:rsidR="00C91BF5">
        <w:rPr>
          <w:lang w:val="en-AU"/>
        </w:rPr>
        <w:fldChar w:fldCharType="separate"/>
      </w:r>
      <w:r w:rsidR="00D12276">
        <w:t>Fixed monitoring sites – sampler returns and individual site results</w:t>
      </w:r>
      <w:r w:rsidR="00C91BF5">
        <w:rPr>
          <w:lang w:val="en-AU"/>
        </w:rPr>
        <w:fldChar w:fldCharType="end"/>
      </w:r>
      <w:r w:rsidR="00041D10">
        <w:rPr>
          <w:lang w:val="en-AU"/>
        </w:rPr>
        <w:t>.</w:t>
      </w:r>
      <w:r w:rsidR="0038278E">
        <w:rPr>
          <w:lang w:val="en-AU"/>
        </w:rPr>
        <w:t xml:space="preserve"> </w:t>
      </w:r>
      <w:r w:rsidR="00160B48" w:rsidRPr="00160B48">
        <w:rPr>
          <w:lang w:val="en-AU"/>
        </w:rPr>
        <w:t xml:space="preserve">Analytical variability was tested by </w:t>
      </w:r>
      <w:r w:rsidR="00041D10" w:rsidRPr="00041D10">
        <w:rPr>
          <w:lang w:val="en-AU"/>
        </w:rPr>
        <w:t>quadru</w:t>
      </w:r>
      <w:r w:rsidR="00160B48" w:rsidRPr="00041D10">
        <w:rPr>
          <w:lang w:val="en-AU"/>
        </w:rPr>
        <w:t>plicate</w:t>
      </w:r>
      <w:r w:rsidR="00160B48" w:rsidRPr="00160B48">
        <w:rPr>
          <w:lang w:val="en-AU"/>
        </w:rPr>
        <w:t xml:space="preserve"> </w:t>
      </w:r>
      <w:r w:rsidR="00041D10">
        <w:rPr>
          <w:lang w:val="en-AU"/>
        </w:rPr>
        <w:t>injections</w:t>
      </w:r>
      <w:r w:rsidR="00160B48" w:rsidRPr="00160B48">
        <w:rPr>
          <w:lang w:val="en-AU"/>
        </w:rPr>
        <w:t xml:space="preserve"> of </w:t>
      </w:r>
      <w:r w:rsidR="00041D10">
        <w:rPr>
          <w:lang w:val="en-AU"/>
        </w:rPr>
        <w:t>1 ppb calibration standard</w:t>
      </w:r>
      <w:r w:rsidR="00160B48" w:rsidRPr="00160B48">
        <w:rPr>
          <w:lang w:val="en-AU"/>
        </w:rPr>
        <w:t xml:space="preserve">, and the </w:t>
      </w:r>
      <w:r w:rsidR="00200C83">
        <w:rPr>
          <w:lang w:val="en-AU"/>
        </w:rPr>
        <w:t xml:space="preserve">median </w:t>
      </w:r>
      <w:r w:rsidR="0078355E">
        <w:rPr>
          <w:lang w:val="en-AU"/>
        </w:rPr>
        <w:t>coefficient of variation</w:t>
      </w:r>
      <w:r w:rsidR="00160B48" w:rsidRPr="00160B48">
        <w:rPr>
          <w:lang w:val="en-AU"/>
        </w:rPr>
        <w:t xml:space="preserve"> for these replicates was</w:t>
      </w:r>
      <w:r w:rsidR="00200C83">
        <w:rPr>
          <w:lang w:val="en-AU"/>
        </w:rPr>
        <w:t xml:space="preserve"> 5.1%</w:t>
      </w:r>
      <w:r w:rsidR="00160B48" w:rsidRPr="00160B48">
        <w:rPr>
          <w:lang w:val="en-AU"/>
        </w:rPr>
        <w:t xml:space="preserve"> </w:t>
      </w:r>
      <w:r w:rsidR="00160B48">
        <w:rPr>
          <w:lang w:val="en-AU"/>
        </w:rPr>
        <w:t>across all pesticides</w:t>
      </w:r>
      <w:r w:rsidR="00160B48" w:rsidRPr="00160B48">
        <w:rPr>
          <w:lang w:val="en-AU"/>
        </w:rPr>
        <w:t>.</w:t>
      </w:r>
    </w:p>
    <w:p w14:paraId="15720E4B" w14:textId="77777777" w:rsidR="0078355E" w:rsidRDefault="0078355E" w:rsidP="00015606">
      <w:pPr>
        <w:spacing w:line="276" w:lineRule="auto"/>
        <w:rPr>
          <w:lang w:val="en-AU"/>
        </w:rPr>
      </w:pPr>
    </w:p>
    <w:p w14:paraId="15720E4C" w14:textId="1ADC911C" w:rsidR="0078355E" w:rsidRPr="0078355E" w:rsidRDefault="0078355E" w:rsidP="00015606">
      <w:pPr>
        <w:spacing w:line="276" w:lineRule="auto"/>
        <w:rPr>
          <w:lang w:val="en-AU"/>
        </w:rPr>
      </w:pPr>
      <w:r w:rsidRPr="0078355E">
        <w:rPr>
          <w:rFonts w:cs="Arial"/>
        </w:rPr>
        <w:t xml:space="preserve">The </w:t>
      </w:r>
      <w:r w:rsidR="009B5FAA">
        <w:rPr>
          <w:rFonts w:cs="Arial"/>
        </w:rPr>
        <w:t>LOD</w:t>
      </w:r>
      <w:r w:rsidRPr="0078355E">
        <w:rPr>
          <w:rFonts w:cs="Arial"/>
        </w:rPr>
        <w:t xml:space="preserve"> for the LC</w:t>
      </w:r>
      <w:r>
        <w:rPr>
          <w:rFonts w:cs="Arial"/>
        </w:rPr>
        <w:t>-</w:t>
      </w:r>
      <w:r w:rsidRPr="0078355E">
        <w:rPr>
          <w:rFonts w:cs="Arial"/>
        </w:rPr>
        <w:t xml:space="preserve">MS/MS instrument data are defined as follows: the LODs are determined by adding a very low level of analyte to a matrix and injecting 9 times into the analytical instrument. The standard deviation of the resultant signals is obtained and a multiplication factor of 3 is applied to obtain the LOD. Values below the LOD are defined as </w:t>
      </w:r>
      <w:r w:rsidR="0083578F">
        <w:rPr>
          <w:rFonts w:cs="Arial"/>
        </w:rPr>
        <w:t>non-detects (</w:t>
      </w:r>
      <w:r w:rsidRPr="0078355E">
        <w:rPr>
          <w:rFonts w:cs="Arial"/>
        </w:rPr>
        <w:t>n.d.</w:t>
      </w:r>
      <w:r w:rsidR="0083578F">
        <w:rPr>
          <w:rFonts w:cs="Arial"/>
        </w:rPr>
        <w:t>)</w:t>
      </w:r>
      <w:r w:rsidRPr="0078355E">
        <w:rPr>
          <w:rFonts w:cs="Arial"/>
        </w:rPr>
        <w:t xml:space="preserve"> in all tables in this report. The limit of reporting (LOR) is defined as 3 times the LOD. Values above </w:t>
      </w:r>
      <w:r w:rsidR="003E3EF9">
        <w:rPr>
          <w:rFonts w:cs="Arial"/>
        </w:rPr>
        <w:t>3 times the blank concentration</w:t>
      </w:r>
      <w:r w:rsidRPr="0078355E">
        <w:rPr>
          <w:rFonts w:cs="Arial"/>
        </w:rPr>
        <w:t xml:space="preserve"> are shown in the tables in this report in italic</w:t>
      </w:r>
      <w:r>
        <w:rPr>
          <w:rFonts w:cs="Arial"/>
        </w:rPr>
        <w:t>s. Whilst there is some uncertainty regarding the accuracy of these relatively low concentrations, to be conservative, these values are included in summary statistics and PSII-</w:t>
      </w:r>
      <w:r w:rsidR="009D307F">
        <w:rPr>
          <w:rFonts w:cs="Arial"/>
        </w:rPr>
        <w:t>HEq</w:t>
      </w:r>
      <w:r>
        <w:rPr>
          <w:rFonts w:cs="Arial"/>
        </w:rPr>
        <w:t xml:space="preserve"> values and thus represent the </w:t>
      </w:r>
      <w:r w:rsidR="00200C83">
        <w:rPr>
          <w:rFonts w:cs="Arial"/>
        </w:rPr>
        <w:t>worst-case</w:t>
      </w:r>
      <w:r>
        <w:rPr>
          <w:rFonts w:cs="Arial"/>
        </w:rPr>
        <w:t xml:space="preserve"> scenario.</w:t>
      </w:r>
    </w:p>
    <w:p w14:paraId="15720E4D" w14:textId="77777777" w:rsidR="0038278E" w:rsidRDefault="0038278E" w:rsidP="00015606">
      <w:pPr>
        <w:spacing w:line="276" w:lineRule="auto"/>
        <w:rPr>
          <w:lang w:val="en-AU"/>
        </w:rPr>
      </w:pPr>
    </w:p>
    <w:p w14:paraId="15720E4E" w14:textId="038EE6E9" w:rsidR="002255B7" w:rsidRPr="00F61105" w:rsidRDefault="002A0D7D" w:rsidP="00015606">
      <w:pPr>
        <w:spacing w:line="276" w:lineRule="auto"/>
        <w:rPr>
          <w:lang w:val="en-AU"/>
        </w:rPr>
      </w:pPr>
      <w:r>
        <w:t>V</w:t>
      </w:r>
      <w:r w:rsidR="0038278E">
        <w:t xml:space="preserve">ariability in the overall performance (chemical uptake) of the </w:t>
      </w:r>
      <w:r w:rsidR="003664EA">
        <w:t>EDs</w:t>
      </w:r>
      <w:r w:rsidR="002255B7" w:rsidRPr="002255B7">
        <w:rPr>
          <w:lang w:val="en-AU"/>
        </w:rPr>
        <w:t xml:space="preserve"> was tested by </w:t>
      </w:r>
      <w:r w:rsidR="002255B7">
        <w:rPr>
          <w:lang w:val="en-AU"/>
        </w:rPr>
        <w:t>duplicate</w:t>
      </w:r>
      <w:r w:rsidR="002255B7" w:rsidRPr="002255B7">
        <w:rPr>
          <w:lang w:val="en-AU"/>
        </w:rPr>
        <w:t xml:space="preserve"> analysis of </w:t>
      </w:r>
      <w:r w:rsidR="00041D10">
        <w:rPr>
          <w:lang w:val="en-AU"/>
        </w:rPr>
        <w:t xml:space="preserve">16 </w:t>
      </w:r>
      <w:r w:rsidR="002255B7">
        <w:rPr>
          <w:lang w:val="en-AU"/>
        </w:rPr>
        <w:t>ED samplers</w:t>
      </w:r>
      <w:r w:rsidR="002255B7" w:rsidRPr="002255B7">
        <w:rPr>
          <w:lang w:val="en-AU"/>
        </w:rPr>
        <w:t xml:space="preserve">, and the </w:t>
      </w:r>
      <w:r>
        <w:rPr>
          <w:lang w:val="en-AU"/>
        </w:rPr>
        <w:t>mean coefficients of variation</w:t>
      </w:r>
      <w:r w:rsidR="002255B7" w:rsidRPr="002255B7">
        <w:rPr>
          <w:lang w:val="en-AU"/>
        </w:rPr>
        <w:t xml:space="preserve"> for these replicates </w:t>
      </w:r>
      <w:r>
        <w:rPr>
          <w:lang w:val="en-AU"/>
        </w:rPr>
        <w:t>ranged from</w:t>
      </w:r>
      <w:r w:rsidR="002255B7" w:rsidRPr="002255B7">
        <w:rPr>
          <w:lang w:val="en-AU"/>
        </w:rPr>
        <w:t xml:space="preserve"> </w:t>
      </w:r>
      <w:r>
        <w:rPr>
          <w:lang w:val="en-AU"/>
        </w:rPr>
        <w:t>1</w:t>
      </w:r>
      <w:r w:rsidR="002255B7" w:rsidRPr="002255B7">
        <w:rPr>
          <w:lang w:val="en-AU"/>
        </w:rPr>
        <w:t xml:space="preserve">.7% </w:t>
      </w:r>
      <w:r>
        <w:rPr>
          <w:lang w:val="en-AU"/>
        </w:rPr>
        <w:t>to 33</w:t>
      </w:r>
      <w:r w:rsidR="002255B7" w:rsidRPr="002255B7">
        <w:rPr>
          <w:lang w:val="en-AU"/>
        </w:rPr>
        <w:t xml:space="preserve">%. Further details on QA/QC measures are summarised in </w:t>
      </w:r>
      <w:r w:rsidR="002255B7" w:rsidRPr="005F48EA">
        <w:rPr>
          <w:lang w:val="en-AU"/>
        </w:rPr>
        <w:t xml:space="preserve">the </w:t>
      </w:r>
      <w:r w:rsidR="002255B7" w:rsidRPr="003F4EDD">
        <w:rPr>
          <w:i/>
          <w:lang w:val="en-AU"/>
        </w:rPr>
        <w:t>Ma</w:t>
      </w:r>
      <w:r w:rsidR="002255B7" w:rsidRPr="00214F05">
        <w:rPr>
          <w:i/>
          <w:lang w:val="en-AU"/>
        </w:rPr>
        <w:t>rine monitoring program quality assurance and quality control manual 201</w:t>
      </w:r>
      <w:r w:rsidR="002255B7">
        <w:rPr>
          <w:i/>
          <w:lang w:val="en-AU"/>
        </w:rPr>
        <w:t>5</w:t>
      </w:r>
      <w:r w:rsidR="002255B7" w:rsidRPr="00214F05">
        <w:rPr>
          <w:i/>
          <w:lang w:val="en-AU"/>
        </w:rPr>
        <w:t>/201</w:t>
      </w:r>
      <w:r w:rsidR="002255B7">
        <w:rPr>
          <w:i/>
          <w:lang w:val="en-AU"/>
        </w:rPr>
        <w:t xml:space="preserve">6 </w:t>
      </w:r>
      <w:r w:rsidR="00C91BF5" w:rsidRPr="00610CA4">
        <w:rPr>
          <w:lang w:val="en-AU"/>
        </w:rPr>
        <w:fldChar w:fldCharType="begin"/>
      </w:r>
      <w:r w:rsidR="009D4492">
        <w:rPr>
          <w:lang w:val="en-AU"/>
        </w:rPr>
        <w:instrText xml:space="preserve"> ADDIN EN.CITE &lt;EndNote&gt;&lt;Cite&gt;&lt;Author&gt;GBRMPA&lt;/Author&gt;&lt;Year&gt;2016&lt;/Year&gt;&lt;RecNum&gt;15&lt;/RecNum&gt;&lt;DisplayText&gt;(GBRMPA, 2016)&lt;/DisplayText&gt;&lt;record&gt;&lt;rec-number&gt;15&lt;/rec-number&gt;&lt;foreign-keys&gt;&lt;key app="EN" db-id="vvtrt2pt4xpx5teta99vvtwg50vzve2aexae" timestamp="1493157343"&gt;15&lt;/key&gt;&lt;/foreign-keys&gt;&lt;ref-type name="Report"&gt;27&lt;/ref-type&gt;&lt;contributors&gt;&lt;authors&gt;&lt;author&gt;GBRMPA,&lt;/author&gt;&lt;/authors&gt;&lt;/contributors&gt;&lt;titles&gt;&lt;title&gt;Marine Monitoring Program: Quality Assurance and Quality Control Manual 2015-2016&lt;/title&gt;&lt;/titles&gt;&lt;dates&gt;&lt;year&gt;2016&lt;/year&gt;&lt;/dates&gt;&lt;pub-location&gt;Townsville&lt;/pub-location&gt;&lt;publisher&gt;Great Barrier Reef Marine Park Authority&lt;/publisher&gt;&lt;urls&gt;&lt;/urls&gt;&lt;/record&gt;&lt;/Cite&gt;&lt;/EndNote&gt;</w:instrText>
      </w:r>
      <w:r w:rsidR="00C91BF5" w:rsidRPr="00610CA4">
        <w:rPr>
          <w:lang w:val="en-AU"/>
        </w:rPr>
        <w:fldChar w:fldCharType="separate"/>
      </w:r>
      <w:r w:rsidR="009D4492">
        <w:rPr>
          <w:noProof/>
          <w:lang w:val="en-AU"/>
        </w:rPr>
        <w:t>(GBRMPA, 2016)</w:t>
      </w:r>
      <w:r w:rsidR="00C91BF5" w:rsidRPr="00610CA4">
        <w:rPr>
          <w:lang w:val="en-AU"/>
        </w:rPr>
        <w:fldChar w:fldCharType="end"/>
      </w:r>
      <w:r w:rsidR="002255B7">
        <w:rPr>
          <w:lang w:val="en-AU"/>
        </w:rPr>
        <w:t xml:space="preserve"> and </w:t>
      </w:r>
      <w:r w:rsidR="00C91BF5">
        <w:rPr>
          <w:lang w:val="en-AU"/>
        </w:rPr>
        <w:fldChar w:fldCharType="begin"/>
      </w:r>
      <w:r w:rsidR="006A6F28">
        <w:rPr>
          <w:lang w:val="en-AU"/>
        </w:rPr>
        <w:instrText xml:space="preserve"> REF _Ref480726594 \n \h </w:instrText>
      </w:r>
      <w:r w:rsidR="00C91BF5">
        <w:rPr>
          <w:lang w:val="en-AU"/>
        </w:rPr>
      </w:r>
      <w:r w:rsidR="00C91BF5">
        <w:rPr>
          <w:lang w:val="en-AU"/>
        </w:rPr>
        <w:fldChar w:fldCharType="separate"/>
      </w:r>
      <w:r w:rsidR="00D12276">
        <w:rPr>
          <w:lang w:val="en-AU"/>
        </w:rPr>
        <w:t xml:space="preserve">Appendix A </w:t>
      </w:r>
      <w:r w:rsidR="00C91BF5">
        <w:rPr>
          <w:lang w:val="en-AU"/>
        </w:rPr>
        <w:fldChar w:fldCharType="end"/>
      </w:r>
      <w:r w:rsidR="00C91BF5">
        <w:rPr>
          <w:lang w:val="en-AU"/>
        </w:rPr>
        <w:fldChar w:fldCharType="begin"/>
      </w:r>
      <w:r w:rsidR="006A6F28">
        <w:rPr>
          <w:lang w:val="en-AU"/>
        </w:rPr>
        <w:instrText xml:space="preserve"> REF _Ref480726609 \h </w:instrText>
      </w:r>
      <w:r w:rsidR="00C91BF5">
        <w:rPr>
          <w:lang w:val="en-AU"/>
        </w:rPr>
      </w:r>
      <w:r w:rsidR="00C91BF5">
        <w:rPr>
          <w:lang w:val="en-AU"/>
        </w:rPr>
        <w:fldChar w:fldCharType="separate"/>
      </w:r>
      <w:r w:rsidR="00D12276">
        <w:t xml:space="preserve">Table </w:t>
      </w:r>
      <w:r w:rsidR="00D12276">
        <w:rPr>
          <w:noProof/>
        </w:rPr>
        <w:t>A</w:t>
      </w:r>
      <w:r w:rsidR="00D12276">
        <w:noBreakHyphen/>
      </w:r>
      <w:r w:rsidR="00D12276">
        <w:rPr>
          <w:noProof/>
        </w:rPr>
        <w:t>1</w:t>
      </w:r>
      <w:r w:rsidR="00C91BF5">
        <w:rPr>
          <w:lang w:val="en-AU"/>
        </w:rPr>
        <w:fldChar w:fldCharType="end"/>
      </w:r>
      <w:r w:rsidR="002255B7" w:rsidRPr="002255B7">
        <w:rPr>
          <w:lang w:val="en-AU"/>
        </w:rPr>
        <w:t>.</w:t>
      </w:r>
    </w:p>
    <w:p w14:paraId="15720E4F" w14:textId="77777777" w:rsidR="0059608E" w:rsidRPr="004E0EF8" w:rsidRDefault="00170EC4" w:rsidP="00220439">
      <w:pPr>
        <w:pStyle w:val="Heading2"/>
        <w:keepNext/>
        <w:keepLines/>
        <w:numPr>
          <w:ilvl w:val="1"/>
          <w:numId w:val="1"/>
        </w:numPr>
        <w:pBdr>
          <w:bottom w:val="none" w:sz="0" w:space="0" w:color="auto"/>
        </w:pBdr>
        <w:spacing w:before="240" w:after="120"/>
        <w:rPr>
          <w:bCs/>
          <w:sz w:val="26"/>
          <w:szCs w:val="26"/>
          <w:lang w:val="en-AU" w:eastAsia="en-US" w:bidi="ar-SA"/>
        </w:rPr>
      </w:pPr>
      <w:bookmarkStart w:id="115" w:name="_Toc455069276"/>
      <w:bookmarkStart w:id="116" w:name="_Toc455069926"/>
      <w:bookmarkStart w:id="117" w:name="_Toc455070198"/>
      <w:bookmarkStart w:id="118" w:name="_Toc455151585"/>
      <w:bookmarkStart w:id="119" w:name="_Toc455069277"/>
      <w:bookmarkStart w:id="120" w:name="_Toc455069927"/>
      <w:bookmarkStart w:id="121" w:name="_Toc455070199"/>
      <w:bookmarkStart w:id="122" w:name="_Toc455151586"/>
      <w:bookmarkStart w:id="123" w:name="_Toc455069278"/>
      <w:bookmarkStart w:id="124" w:name="_Toc455069928"/>
      <w:bookmarkStart w:id="125" w:name="_Toc455070200"/>
      <w:bookmarkStart w:id="126" w:name="_Toc455151587"/>
      <w:bookmarkStart w:id="127" w:name="_Toc455069279"/>
      <w:bookmarkStart w:id="128" w:name="_Toc455069929"/>
      <w:bookmarkStart w:id="129" w:name="_Toc455070201"/>
      <w:bookmarkStart w:id="130" w:name="_Toc455151588"/>
      <w:bookmarkStart w:id="131" w:name="_Toc455069280"/>
      <w:bookmarkStart w:id="132" w:name="_Toc455069930"/>
      <w:bookmarkStart w:id="133" w:name="_Toc455070202"/>
      <w:bookmarkStart w:id="134" w:name="_Toc455151589"/>
      <w:bookmarkStart w:id="135" w:name="_Toc455069281"/>
      <w:bookmarkStart w:id="136" w:name="_Toc455069931"/>
      <w:bookmarkStart w:id="137" w:name="_Toc455070203"/>
      <w:bookmarkStart w:id="138" w:name="_Toc455151590"/>
      <w:bookmarkStart w:id="139" w:name="_Toc455069283"/>
      <w:bookmarkStart w:id="140" w:name="_Toc455069933"/>
      <w:bookmarkStart w:id="141" w:name="_Toc455070205"/>
      <w:bookmarkStart w:id="142" w:name="_Toc455151592"/>
      <w:bookmarkStart w:id="143" w:name="_Toc335638142"/>
      <w:bookmarkStart w:id="144" w:name="_Toc335640752"/>
      <w:bookmarkStart w:id="145" w:name="_Toc335638143"/>
      <w:bookmarkStart w:id="146" w:name="_Toc335640753"/>
      <w:bookmarkStart w:id="147" w:name="_Toc335638144"/>
      <w:bookmarkStart w:id="148" w:name="_Toc335640754"/>
      <w:bookmarkStart w:id="149" w:name="_Toc335638146"/>
      <w:bookmarkStart w:id="150" w:name="_Toc335640756"/>
      <w:bookmarkStart w:id="151" w:name="_Toc335638147"/>
      <w:bookmarkStart w:id="152" w:name="_Toc335640757"/>
      <w:bookmarkStart w:id="153" w:name="_Toc335638148"/>
      <w:bookmarkStart w:id="154" w:name="_Toc335640758"/>
      <w:bookmarkStart w:id="155" w:name="_Toc335638149"/>
      <w:bookmarkStart w:id="156" w:name="_Toc335640759"/>
      <w:bookmarkStart w:id="157" w:name="_Toc335638150"/>
      <w:bookmarkStart w:id="158" w:name="_Toc335640760"/>
      <w:bookmarkStart w:id="159" w:name="_Toc335638152"/>
      <w:bookmarkStart w:id="160" w:name="_Toc335640762"/>
      <w:bookmarkStart w:id="161" w:name="_Toc335638153"/>
      <w:bookmarkStart w:id="162" w:name="_Toc335640763"/>
      <w:bookmarkStart w:id="163" w:name="_Toc335638159"/>
      <w:bookmarkStart w:id="164" w:name="_Toc335640769"/>
      <w:bookmarkStart w:id="165" w:name="_Toc335638211"/>
      <w:bookmarkStart w:id="166" w:name="_Toc335640821"/>
      <w:bookmarkStart w:id="167" w:name="_Toc335638212"/>
      <w:bookmarkStart w:id="168" w:name="_Toc335640822"/>
      <w:bookmarkStart w:id="169" w:name="_Toc335638213"/>
      <w:bookmarkStart w:id="170" w:name="_Toc335640823"/>
      <w:bookmarkStart w:id="171" w:name="_Toc335638215"/>
      <w:bookmarkStart w:id="172" w:name="_Toc335640825"/>
      <w:bookmarkStart w:id="173" w:name="_Toc335638216"/>
      <w:bookmarkStart w:id="174" w:name="_Toc335640826"/>
      <w:bookmarkStart w:id="175" w:name="_Toc335638217"/>
      <w:bookmarkStart w:id="176" w:name="_Toc335640827"/>
      <w:bookmarkStart w:id="177" w:name="_Toc335638218"/>
      <w:bookmarkStart w:id="178" w:name="_Toc335640828"/>
      <w:bookmarkStart w:id="179" w:name="_Toc335638219"/>
      <w:bookmarkStart w:id="180" w:name="_Toc335640829"/>
      <w:bookmarkStart w:id="181" w:name="_Toc335638220"/>
      <w:bookmarkStart w:id="182" w:name="_Toc335640830"/>
      <w:bookmarkStart w:id="183" w:name="_Toc335638221"/>
      <w:bookmarkStart w:id="184" w:name="_Toc335640831"/>
      <w:bookmarkStart w:id="185" w:name="_Toc335638222"/>
      <w:bookmarkStart w:id="186" w:name="_Toc335640832"/>
      <w:bookmarkStart w:id="187" w:name="_Toc335638223"/>
      <w:bookmarkStart w:id="188" w:name="_Toc335640833"/>
      <w:bookmarkStart w:id="189" w:name="_Toc335638224"/>
      <w:bookmarkStart w:id="190" w:name="_Toc335640834"/>
      <w:bookmarkStart w:id="191" w:name="_Toc335638225"/>
      <w:bookmarkStart w:id="192" w:name="_Toc335640835"/>
      <w:bookmarkStart w:id="193" w:name="_Toc335638226"/>
      <w:bookmarkStart w:id="194" w:name="_Toc335640836"/>
      <w:bookmarkStart w:id="195" w:name="_Toc335638227"/>
      <w:bookmarkStart w:id="196" w:name="_Toc335640837"/>
      <w:bookmarkStart w:id="197" w:name="_Toc335638228"/>
      <w:bookmarkStart w:id="198" w:name="_Toc335640838"/>
      <w:bookmarkStart w:id="199" w:name="_Toc335638229"/>
      <w:bookmarkStart w:id="200" w:name="_Toc335640839"/>
      <w:bookmarkStart w:id="201" w:name="_Toc335638230"/>
      <w:bookmarkStart w:id="202" w:name="_Toc335640840"/>
      <w:bookmarkStart w:id="203" w:name="_Toc335638231"/>
      <w:bookmarkStart w:id="204" w:name="_Toc335640841"/>
      <w:bookmarkStart w:id="205" w:name="_Toc335638232"/>
      <w:bookmarkStart w:id="206" w:name="_Toc335640842"/>
      <w:bookmarkStart w:id="207" w:name="_Toc335638233"/>
      <w:bookmarkStart w:id="208" w:name="_Toc335640843"/>
      <w:bookmarkStart w:id="209" w:name="_Toc335638234"/>
      <w:bookmarkStart w:id="210" w:name="_Toc335640844"/>
      <w:bookmarkStart w:id="211" w:name="_Toc335638235"/>
      <w:bookmarkStart w:id="212" w:name="_Toc335640845"/>
      <w:bookmarkStart w:id="213" w:name="_Toc335638236"/>
      <w:bookmarkStart w:id="214" w:name="_Toc335640846"/>
      <w:bookmarkStart w:id="215" w:name="_Toc335638237"/>
      <w:bookmarkStart w:id="216" w:name="_Toc335640847"/>
      <w:bookmarkStart w:id="217" w:name="_Toc335638238"/>
      <w:bookmarkStart w:id="218" w:name="_Toc335640848"/>
      <w:bookmarkStart w:id="219" w:name="_Toc335638239"/>
      <w:bookmarkStart w:id="220" w:name="_Toc335640849"/>
      <w:bookmarkStart w:id="221" w:name="_Toc335638240"/>
      <w:bookmarkStart w:id="222" w:name="_Toc335640850"/>
      <w:bookmarkStart w:id="223" w:name="_Toc335638241"/>
      <w:bookmarkStart w:id="224" w:name="_Toc335640851"/>
      <w:bookmarkStart w:id="225" w:name="_Toc335638242"/>
      <w:bookmarkStart w:id="226" w:name="_Toc335640852"/>
      <w:bookmarkStart w:id="227" w:name="_Toc335638243"/>
      <w:bookmarkStart w:id="228" w:name="_Toc335640853"/>
      <w:bookmarkStart w:id="229" w:name="_Toc335638244"/>
      <w:bookmarkStart w:id="230" w:name="_Toc335640854"/>
      <w:bookmarkStart w:id="231" w:name="_Toc335638245"/>
      <w:bookmarkStart w:id="232" w:name="_Toc335640855"/>
      <w:bookmarkStart w:id="233" w:name="_Toc335638246"/>
      <w:bookmarkStart w:id="234" w:name="_Toc335640856"/>
      <w:bookmarkStart w:id="235" w:name="_Toc335638247"/>
      <w:bookmarkStart w:id="236" w:name="_Toc335640857"/>
      <w:bookmarkStart w:id="237" w:name="_Toc335638248"/>
      <w:bookmarkStart w:id="238" w:name="_Toc335640858"/>
      <w:bookmarkStart w:id="239" w:name="_Toc335638249"/>
      <w:bookmarkStart w:id="240" w:name="_Toc335640859"/>
      <w:bookmarkStart w:id="241" w:name="_Toc335638250"/>
      <w:bookmarkStart w:id="242" w:name="_Toc335640860"/>
      <w:bookmarkStart w:id="243" w:name="_Toc335638251"/>
      <w:bookmarkStart w:id="244" w:name="_Toc335640861"/>
      <w:bookmarkStart w:id="245" w:name="_Toc335638252"/>
      <w:bookmarkStart w:id="246" w:name="_Toc335640862"/>
      <w:bookmarkStart w:id="247" w:name="_Toc335638253"/>
      <w:bookmarkStart w:id="248" w:name="_Toc335640863"/>
      <w:bookmarkStart w:id="249" w:name="_Toc335638254"/>
      <w:bookmarkStart w:id="250" w:name="_Toc335640864"/>
      <w:bookmarkStart w:id="251" w:name="_Toc335638255"/>
      <w:bookmarkStart w:id="252" w:name="_Toc335640865"/>
      <w:bookmarkStart w:id="253" w:name="_Toc335638256"/>
      <w:bookmarkStart w:id="254" w:name="_Toc335640866"/>
      <w:bookmarkStart w:id="255" w:name="_Toc335638257"/>
      <w:bookmarkStart w:id="256" w:name="_Toc335640867"/>
      <w:bookmarkStart w:id="257" w:name="_Toc335638258"/>
      <w:bookmarkStart w:id="258" w:name="_Toc335640868"/>
      <w:bookmarkStart w:id="259" w:name="_Toc335638259"/>
      <w:bookmarkStart w:id="260" w:name="_Toc335640869"/>
      <w:bookmarkStart w:id="261" w:name="_Toc461186680"/>
      <w:bookmarkStart w:id="262" w:name="_Toc461457759"/>
      <w:bookmarkStart w:id="263" w:name="_Toc461459023"/>
      <w:bookmarkStart w:id="264" w:name="_Toc461459108"/>
      <w:bookmarkStart w:id="265" w:name="_Toc461459196"/>
      <w:bookmarkStart w:id="266" w:name="_Toc461459243"/>
      <w:bookmarkStart w:id="267" w:name="_Toc461459304"/>
      <w:bookmarkStart w:id="268" w:name="_Toc461459473"/>
      <w:bookmarkStart w:id="269" w:name="_Toc461457760"/>
      <w:bookmarkStart w:id="270" w:name="_Toc502499997"/>
      <w:bookmarkEnd w:id="25"/>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r w:rsidRPr="004E0EF8">
        <w:rPr>
          <w:bCs/>
          <w:sz w:val="26"/>
          <w:szCs w:val="26"/>
          <w:lang w:val="en-AU" w:eastAsia="en-US" w:bidi="ar-SA"/>
        </w:rPr>
        <w:t xml:space="preserve">Data analyses and reporting </w:t>
      </w:r>
      <w:bookmarkEnd w:id="269"/>
      <w:r w:rsidRPr="004E0EF8">
        <w:rPr>
          <w:bCs/>
          <w:sz w:val="26"/>
          <w:szCs w:val="26"/>
          <w:lang w:val="en-AU" w:eastAsia="en-US" w:bidi="ar-SA"/>
        </w:rPr>
        <w:t>metrics</w:t>
      </w:r>
      <w:bookmarkEnd w:id="270"/>
      <w:r w:rsidRPr="004E0EF8">
        <w:rPr>
          <w:bCs/>
          <w:sz w:val="26"/>
          <w:szCs w:val="26"/>
          <w:lang w:val="en-AU" w:eastAsia="en-US" w:bidi="ar-SA"/>
        </w:rPr>
        <w:t xml:space="preserve"> </w:t>
      </w:r>
    </w:p>
    <w:p w14:paraId="15720E50" w14:textId="77777777" w:rsidR="00BA71CA" w:rsidRPr="004E0EF8" w:rsidRDefault="00BA71CA" w:rsidP="00220439">
      <w:pPr>
        <w:pStyle w:val="Heading30"/>
        <w:numPr>
          <w:ilvl w:val="2"/>
          <w:numId w:val="1"/>
        </w:numPr>
      </w:pPr>
      <w:bookmarkStart w:id="271" w:name="_Ref480727057"/>
      <w:bookmarkStart w:id="272" w:name="_Toc502499998"/>
      <w:r>
        <w:t>Water quality guideline values (GVs)</w:t>
      </w:r>
      <w:bookmarkEnd w:id="271"/>
      <w:bookmarkEnd w:id="272"/>
    </w:p>
    <w:p w14:paraId="15720E51" w14:textId="4702C914" w:rsidR="004172A1" w:rsidRDefault="00935C61" w:rsidP="00015606">
      <w:pPr>
        <w:spacing w:line="276" w:lineRule="auto"/>
        <w:rPr>
          <w:lang w:val="en-AU" w:eastAsia="en-AU"/>
        </w:rPr>
      </w:pPr>
      <w:r>
        <w:rPr>
          <w:lang w:val="en-AU" w:eastAsia="en-AU"/>
        </w:rPr>
        <w:t xml:space="preserve">A key aim of this </w:t>
      </w:r>
      <w:r w:rsidR="00941667">
        <w:rPr>
          <w:lang w:val="en-AU" w:eastAsia="en-AU"/>
        </w:rPr>
        <w:t>program</w:t>
      </w:r>
      <w:r>
        <w:rPr>
          <w:lang w:val="en-AU" w:eastAsia="en-AU"/>
        </w:rPr>
        <w:t xml:space="preserve"> is to compare m</w:t>
      </w:r>
      <w:r w:rsidR="0059608E" w:rsidRPr="00150F01">
        <w:rPr>
          <w:lang w:val="en-AU" w:eastAsia="en-AU"/>
        </w:rPr>
        <w:t xml:space="preserve">easured concentrations of pesticides and </w:t>
      </w:r>
      <w:r w:rsidR="0059608E">
        <w:rPr>
          <w:lang w:val="en-AU" w:eastAsia="en-AU"/>
        </w:rPr>
        <w:t>herbicides to</w:t>
      </w:r>
      <w:r w:rsidR="00BA71CA">
        <w:rPr>
          <w:lang w:val="en-AU" w:eastAsia="en-AU"/>
        </w:rPr>
        <w:t xml:space="preserve"> </w:t>
      </w:r>
      <w:r>
        <w:rPr>
          <w:lang w:val="en-AU" w:eastAsia="en-AU"/>
        </w:rPr>
        <w:t xml:space="preserve">current </w:t>
      </w:r>
      <w:r w:rsidR="008B115C" w:rsidRPr="008B115C">
        <w:rPr>
          <w:lang w:val="en-AU" w:eastAsia="en-AU"/>
        </w:rPr>
        <w:t xml:space="preserve">limits for chemicals in </w:t>
      </w:r>
      <w:r w:rsidR="008B115C">
        <w:rPr>
          <w:lang w:val="en-AU" w:eastAsia="en-AU"/>
        </w:rPr>
        <w:t xml:space="preserve">marine </w:t>
      </w:r>
      <w:r w:rsidR="008B115C" w:rsidRPr="008B115C">
        <w:rPr>
          <w:lang w:val="en-AU" w:eastAsia="en-AU"/>
        </w:rPr>
        <w:t>water</w:t>
      </w:r>
      <w:r w:rsidR="008B115C">
        <w:rPr>
          <w:lang w:val="en-AU" w:eastAsia="en-AU"/>
        </w:rPr>
        <w:t>s</w:t>
      </w:r>
      <w:r w:rsidR="008B115C" w:rsidRPr="008B115C">
        <w:rPr>
          <w:lang w:val="en-AU" w:eastAsia="en-AU"/>
        </w:rPr>
        <w:t>.</w:t>
      </w:r>
      <w:r>
        <w:rPr>
          <w:lang w:val="en-AU" w:eastAsia="en-AU"/>
        </w:rPr>
        <w:t xml:space="preserve"> W</w:t>
      </w:r>
      <w:r w:rsidRPr="00935C61">
        <w:rPr>
          <w:lang w:val="en-AU" w:eastAsia="en-AU"/>
        </w:rPr>
        <w:t xml:space="preserve">ater quality in Australia is </w:t>
      </w:r>
      <w:r w:rsidR="00415744">
        <w:rPr>
          <w:lang w:val="en-AU" w:eastAsia="en-AU"/>
        </w:rPr>
        <w:t xml:space="preserve">currently </w:t>
      </w:r>
      <w:r w:rsidRPr="00935C61">
        <w:rPr>
          <w:lang w:val="en-AU" w:eastAsia="en-AU"/>
        </w:rPr>
        <w:t>managed in accordance with the Australian and New Zealand Guidelines for Fresh and Marine Water Quality</w:t>
      </w:r>
      <w:r>
        <w:rPr>
          <w:lang w:val="en-AU" w:eastAsia="en-AU"/>
        </w:rPr>
        <w:t xml:space="preserve"> </w:t>
      </w:r>
      <w:r w:rsidR="00C91BF5">
        <w:rPr>
          <w:lang w:val="en-AU" w:eastAsia="en-AU"/>
        </w:rPr>
        <w:fldChar w:fldCharType="begin"/>
      </w:r>
      <w:r w:rsidR="009D4492">
        <w:rPr>
          <w:lang w:val="en-AU" w:eastAsia="en-AU"/>
        </w:rPr>
        <w:instrText xml:space="preserve"> ADDIN EN.CITE &lt;EndNote&gt;&lt;Cite&gt;&lt;Author&gt;ANZECC&lt;/Author&gt;&lt;Year&gt;2000&lt;/Year&gt;&lt;RecNum&gt;26&lt;/RecNum&gt;&lt;DisplayText&gt;(ANZECC and ARMCANZ, 2000a)&lt;/DisplayText&gt;&lt;record&gt;&lt;rec-number&gt;26&lt;/rec-number&gt;&lt;foreign-keys&gt;&lt;key app="EN" db-id="vvtrt2pt4xpx5teta99vvtwg50vzve2aexae" timestamp="1493157355"&gt;26&lt;/key&gt;&lt;/foreign-keys&gt;&lt;ref-type name="Report"&gt;27&lt;/ref-type&gt;&lt;contributors&gt;&lt;authors&gt;&lt;author&gt;ANZECC&lt;/author&gt;&lt;author&gt;ARMCANZ&lt;/author&gt;&lt;/authors&gt;&lt;/contributors&gt;&lt;titles&gt;&lt;title&gt;Australian and New Zealand Guidelines for Fresh and Marine Water Quality. Volume 1. The Guidelines (Chapters 1-7). National Water Quality Management Strategy Paper No. 4.&lt;/title&gt;&lt;/titles&gt;&lt;volume&gt;1&lt;/volume&gt;&lt;dates&gt;&lt;year&gt;2000&lt;/year&gt;&lt;/dates&gt;&lt;pub-location&gt;Australian &amp;amp; New Zealand Environment &amp;amp; Conservation Council and the Agriculture &amp;amp; Resource Management Council of Australia &amp;amp; New Zealand.&lt;/pub-location&gt;&lt;urls&gt;&lt;/urls&gt;&lt;/record&gt;&lt;/Cite&gt;&lt;/EndNote&gt;</w:instrText>
      </w:r>
      <w:r w:rsidR="00C91BF5">
        <w:rPr>
          <w:lang w:val="en-AU" w:eastAsia="en-AU"/>
        </w:rPr>
        <w:fldChar w:fldCharType="separate"/>
      </w:r>
      <w:r w:rsidR="009D4492">
        <w:rPr>
          <w:noProof/>
          <w:lang w:val="en-AU" w:eastAsia="en-AU"/>
        </w:rPr>
        <w:t>(ANZECC and ARMCANZ, 2000a)</w:t>
      </w:r>
      <w:r w:rsidR="00C91BF5">
        <w:rPr>
          <w:lang w:val="en-AU" w:eastAsia="en-AU"/>
        </w:rPr>
        <w:fldChar w:fldCharType="end"/>
      </w:r>
      <w:r w:rsidR="00D537B3">
        <w:rPr>
          <w:lang w:val="en-AU" w:eastAsia="en-AU"/>
        </w:rPr>
        <w:t xml:space="preserve">. Trigger values are defined for a range of </w:t>
      </w:r>
      <w:r w:rsidR="004172A1">
        <w:rPr>
          <w:lang w:val="en-AU" w:eastAsia="en-AU"/>
        </w:rPr>
        <w:t xml:space="preserve">pesticides and an indication of the reliability of the value (low, moderate, high) is given </w:t>
      </w:r>
      <w:r w:rsidR="0059608E">
        <w:rPr>
          <w:lang w:val="en-AU" w:eastAsia="en-AU"/>
        </w:rPr>
        <w:t>(</w:t>
      </w:r>
      <w:r w:rsidR="00C91BF5">
        <w:rPr>
          <w:highlight w:val="yellow"/>
          <w:lang w:val="en-AU" w:eastAsia="en-AU"/>
        </w:rPr>
        <w:fldChar w:fldCharType="begin"/>
      </w:r>
      <w:r w:rsidR="006A6F28">
        <w:rPr>
          <w:lang w:val="en-AU" w:eastAsia="en-AU"/>
        </w:rPr>
        <w:instrText xml:space="preserve"> REF _Ref480726661 \n \h </w:instrText>
      </w:r>
      <w:r w:rsidR="00C91BF5">
        <w:rPr>
          <w:highlight w:val="yellow"/>
          <w:lang w:val="en-AU" w:eastAsia="en-AU"/>
        </w:rPr>
      </w:r>
      <w:r w:rsidR="00C91BF5">
        <w:rPr>
          <w:highlight w:val="yellow"/>
          <w:lang w:val="en-AU" w:eastAsia="en-AU"/>
        </w:rPr>
        <w:fldChar w:fldCharType="separate"/>
      </w:r>
      <w:r w:rsidR="00D12276">
        <w:rPr>
          <w:lang w:val="en-AU" w:eastAsia="en-AU"/>
        </w:rPr>
        <w:t xml:space="preserve">Appendix B </w:t>
      </w:r>
      <w:r w:rsidR="00C91BF5">
        <w:rPr>
          <w:highlight w:val="yellow"/>
          <w:lang w:val="en-AU" w:eastAsia="en-AU"/>
        </w:rPr>
        <w:fldChar w:fldCharType="end"/>
      </w:r>
      <w:r w:rsidR="00C91BF5">
        <w:rPr>
          <w:highlight w:val="yellow"/>
          <w:lang w:val="en-AU" w:eastAsia="en-AU"/>
        </w:rPr>
        <w:fldChar w:fldCharType="begin"/>
      </w:r>
      <w:r w:rsidR="006A6F28">
        <w:rPr>
          <w:highlight w:val="yellow"/>
          <w:lang w:val="en-AU" w:eastAsia="en-AU"/>
        </w:rPr>
        <w:instrText xml:space="preserve"> REF _Ref480726648 \h </w:instrText>
      </w:r>
      <w:r w:rsidR="00C91BF5">
        <w:rPr>
          <w:highlight w:val="yellow"/>
          <w:lang w:val="en-AU" w:eastAsia="en-AU"/>
        </w:rPr>
      </w:r>
      <w:r w:rsidR="00C91BF5">
        <w:rPr>
          <w:highlight w:val="yellow"/>
          <w:lang w:val="en-AU" w:eastAsia="en-AU"/>
        </w:rPr>
        <w:fldChar w:fldCharType="separate"/>
      </w:r>
      <w:r w:rsidR="00D12276">
        <w:t xml:space="preserve">Table </w:t>
      </w:r>
      <w:r w:rsidR="00D12276">
        <w:rPr>
          <w:noProof/>
        </w:rPr>
        <w:t>B</w:t>
      </w:r>
      <w:r w:rsidR="00D12276">
        <w:noBreakHyphen/>
      </w:r>
      <w:r w:rsidR="00D12276">
        <w:rPr>
          <w:noProof/>
        </w:rPr>
        <w:t>1</w:t>
      </w:r>
      <w:r w:rsidR="00C91BF5">
        <w:rPr>
          <w:highlight w:val="yellow"/>
          <w:lang w:val="en-AU" w:eastAsia="en-AU"/>
        </w:rPr>
        <w:fldChar w:fldCharType="end"/>
      </w:r>
      <w:r w:rsidR="0059608E">
        <w:rPr>
          <w:lang w:val="en-AU" w:eastAsia="en-AU"/>
        </w:rPr>
        <w:t>)</w:t>
      </w:r>
      <w:r w:rsidR="0059608E" w:rsidRPr="00150F01">
        <w:rPr>
          <w:lang w:val="en-AU" w:eastAsia="en-AU"/>
        </w:rPr>
        <w:t xml:space="preserve">. </w:t>
      </w:r>
      <w:r w:rsidR="002147A4">
        <w:rPr>
          <w:lang w:val="en-AU" w:eastAsia="en-AU"/>
        </w:rPr>
        <w:t xml:space="preserve">The 2000 </w:t>
      </w:r>
      <w:r w:rsidR="000D6E4C">
        <w:rPr>
          <w:lang w:val="en-AU" w:eastAsia="en-AU"/>
        </w:rPr>
        <w:t>g</w:t>
      </w:r>
      <w:r w:rsidR="002147A4">
        <w:rPr>
          <w:lang w:val="en-AU" w:eastAsia="en-AU"/>
        </w:rPr>
        <w:t xml:space="preserve">uidelines paid considerable attention to values derived </w:t>
      </w:r>
      <w:r w:rsidR="00236C1C">
        <w:rPr>
          <w:lang w:val="en-AU" w:eastAsia="en-AU"/>
        </w:rPr>
        <w:t xml:space="preserve">using </w:t>
      </w:r>
      <w:r w:rsidR="002147A4">
        <w:rPr>
          <w:lang w:val="en-AU" w:eastAsia="en-AU"/>
        </w:rPr>
        <w:t>the</w:t>
      </w:r>
      <w:r w:rsidR="00236C1C" w:rsidRPr="004172A1">
        <w:rPr>
          <w:lang w:val="en-AU" w:eastAsia="en-AU"/>
        </w:rPr>
        <w:t xml:space="preserve"> assessment factor </w:t>
      </w:r>
      <w:r w:rsidR="002147A4">
        <w:rPr>
          <w:lang w:val="en-AU" w:eastAsia="en-AU"/>
        </w:rPr>
        <w:t xml:space="preserve">approach </w:t>
      </w:r>
      <w:r w:rsidR="00C91BF5">
        <w:rPr>
          <w:lang w:val="en-AU" w:eastAsia="en-AU"/>
        </w:rPr>
        <w:fldChar w:fldCharType="begin"/>
      </w:r>
      <w:r w:rsidR="009D4492">
        <w:rPr>
          <w:lang w:val="en-AU" w:eastAsia="en-AU"/>
        </w:rPr>
        <w:instrText xml:space="preserve"> ADDIN EN.CITE &lt;EndNote&gt;&lt;Cite&gt;&lt;Author&gt;Batley&lt;/Author&gt;&lt;Year&gt;2014&lt;/Year&gt;&lt;RecNum&gt;27&lt;/RecNum&gt;&lt;DisplayText&gt;(Batley et al., 2014)&lt;/DisplayText&gt;&lt;record&gt;&lt;rec-number&gt;27&lt;/rec-number&gt;&lt;foreign-keys&gt;&lt;key app="EN" db-id="vvtrt2pt4xpx5teta99vvtwg50vzve2aexae" timestamp="1493157356"&gt;27&lt;/key&gt;&lt;/foreign-keys&gt;&lt;ref-type name="Report"&gt;27&lt;/ref-type&gt;&lt;contributors&gt;&lt;authors&gt;&lt;author&gt;Batley, G.E.&lt;/author&gt;&lt;author&gt;van Dam, R.&lt;/author&gt;&lt;author&gt;Warne, M.St.J.&lt;/author&gt;&lt;author&gt;Chapman, J.C.&lt;/author&gt;&lt;author&gt;Fox, D.R.&lt;/author&gt;&lt;author&gt;Hickey, C.W. &lt;/author&gt;&lt;author&gt;Stauber, J.L&lt;/author&gt;&lt;/authors&gt;&lt;/contributors&gt;&lt;titles&gt;&lt;title&gt;Revision of the Method for Deriving Water Quality Guideline Values for Toxicants. A Water for a Healthy Country Flagship Report. Prepared for the Council of Australian Government’s Standing Council on Environment and Water (SCEW)&lt;/title&gt;&lt;/titles&gt;&lt;dates&gt;&lt;year&gt;2014&lt;/year&gt;&lt;/dates&gt;&lt;pub-location&gt;CSIRO&lt;/pub-location&gt;&lt;urls&gt;&lt;/urls&gt;&lt;/record&gt;&lt;/Cite&gt;&lt;/EndNote&gt;</w:instrText>
      </w:r>
      <w:r w:rsidR="00C91BF5">
        <w:rPr>
          <w:lang w:val="en-AU" w:eastAsia="en-AU"/>
        </w:rPr>
        <w:fldChar w:fldCharType="separate"/>
      </w:r>
      <w:r w:rsidR="009D4492">
        <w:rPr>
          <w:noProof/>
          <w:lang w:val="en-AU" w:eastAsia="en-AU"/>
        </w:rPr>
        <w:t>(Batley et al., 2014)</w:t>
      </w:r>
      <w:r w:rsidR="00C91BF5">
        <w:rPr>
          <w:lang w:val="en-AU" w:eastAsia="en-AU"/>
        </w:rPr>
        <w:fldChar w:fldCharType="end"/>
      </w:r>
      <w:r w:rsidR="002147A4">
        <w:rPr>
          <w:lang w:val="en-AU" w:eastAsia="en-AU"/>
        </w:rPr>
        <w:t xml:space="preserve">. </w:t>
      </w:r>
      <w:r w:rsidR="004172A1">
        <w:rPr>
          <w:lang w:val="en-AU" w:eastAsia="en-AU"/>
        </w:rPr>
        <w:t>For some pesticides</w:t>
      </w:r>
      <w:r w:rsidR="004172A1" w:rsidRPr="00150F01">
        <w:rPr>
          <w:lang w:val="en-AU" w:eastAsia="en-AU"/>
        </w:rPr>
        <w:t>,</w:t>
      </w:r>
      <w:r w:rsidR="004172A1">
        <w:rPr>
          <w:lang w:val="en-AU" w:eastAsia="en-AU"/>
        </w:rPr>
        <w:t xml:space="preserve"> </w:t>
      </w:r>
      <w:r w:rsidR="004172A1" w:rsidRPr="00150F01">
        <w:rPr>
          <w:lang w:val="en-AU" w:eastAsia="en-AU"/>
        </w:rPr>
        <w:t>only freshwater guidelines</w:t>
      </w:r>
      <w:r w:rsidR="00CC1A49">
        <w:rPr>
          <w:lang w:val="en-AU" w:eastAsia="en-AU"/>
        </w:rPr>
        <w:t xml:space="preserve"> </w:t>
      </w:r>
      <w:r w:rsidR="004172A1" w:rsidRPr="00150F01">
        <w:rPr>
          <w:lang w:val="en-AU" w:eastAsia="en-AU"/>
        </w:rPr>
        <w:t xml:space="preserve">or </w:t>
      </w:r>
      <w:r w:rsidR="00CC1A49">
        <w:rPr>
          <w:lang w:val="en-AU" w:eastAsia="en-AU"/>
        </w:rPr>
        <w:t xml:space="preserve">low reliability marine </w:t>
      </w:r>
      <w:r w:rsidR="004172A1" w:rsidRPr="00150F01">
        <w:rPr>
          <w:lang w:val="en-AU" w:eastAsia="en-AU"/>
        </w:rPr>
        <w:t>“interim working levels” (IWLs)</w:t>
      </w:r>
      <w:r w:rsidR="00CC1A49">
        <w:rPr>
          <w:lang w:val="en-AU" w:eastAsia="en-AU"/>
        </w:rPr>
        <w:t>, e.g. for diuron,</w:t>
      </w:r>
      <w:r w:rsidR="00CC1A49" w:rsidRPr="00150F01">
        <w:rPr>
          <w:lang w:val="en-AU" w:eastAsia="en-AU"/>
        </w:rPr>
        <w:t xml:space="preserve"> </w:t>
      </w:r>
      <w:r w:rsidR="00415744">
        <w:rPr>
          <w:lang w:val="en-AU" w:eastAsia="en-AU"/>
        </w:rPr>
        <w:t>are</w:t>
      </w:r>
      <w:r w:rsidR="004172A1" w:rsidRPr="00150F01">
        <w:rPr>
          <w:lang w:val="en-AU" w:eastAsia="en-AU"/>
        </w:rPr>
        <w:t xml:space="preserve"> available </w:t>
      </w:r>
      <w:r w:rsidR="00C91BF5">
        <w:rPr>
          <w:lang w:val="en-AU" w:eastAsia="en-AU"/>
        </w:rPr>
        <w:fldChar w:fldCharType="begin"/>
      </w:r>
      <w:r w:rsidR="009D4492">
        <w:rPr>
          <w:lang w:val="en-AU" w:eastAsia="en-AU"/>
        </w:rPr>
        <w:instrText xml:space="preserve"> ADDIN EN.CITE &lt;EndNote&gt;&lt;Cite&gt;&lt;Author&gt;ANZECC&lt;/Author&gt;&lt;Year&gt;2000&lt;/Year&gt;&lt;RecNum&gt;26&lt;/RecNum&gt;&lt;DisplayText&gt;(ANZECC and ARMCANZ, 2000a)&lt;/DisplayText&gt;&lt;record&gt;&lt;rec-number&gt;26&lt;/rec-number&gt;&lt;foreign-keys&gt;&lt;key app="EN" db-id="vvtrt2pt4xpx5teta99vvtwg50vzve2aexae" timestamp="1493157355"&gt;26&lt;/key&gt;&lt;/foreign-keys&gt;&lt;ref-type name="Report"&gt;27&lt;/ref-type&gt;&lt;contributors&gt;&lt;authors&gt;&lt;author&gt;ANZECC&lt;/author&gt;&lt;author&gt;ARMCANZ&lt;/author&gt;&lt;/authors&gt;&lt;/contributors&gt;&lt;titles&gt;&lt;title&gt;Australian and New Zealand Guidelines for Fresh and Marine Water Quality. Volume 1. The Guidelines (Chapters 1-7). National Water Quality Management Strategy Paper No. 4.&lt;/title&gt;&lt;/titles&gt;&lt;volume&gt;1&lt;/volume&gt;&lt;dates&gt;&lt;year&gt;2000&lt;/year&gt;&lt;/dates&gt;&lt;pub-location&gt;Australian &amp;amp; New Zealand Environment &amp;amp; Conservation Council and the Agriculture &amp;amp; Resource Management Council of Australia &amp;amp; New Zealand.&lt;/pub-location&gt;&lt;urls&gt;&lt;/urls&gt;&lt;/record&gt;&lt;/Cite&gt;&lt;/EndNote&gt;</w:instrText>
      </w:r>
      <w:r w:rsidR="00C91BF5">
        <w:rPr>
          <w:lang w:val="en-AU" w:eastAsia="en-AU"/>
        </w:rPr>
        <w:fldChar w:fldCharType="separate"/>
      </w:r>
      <w:r w:rsidR="009D4492">
        <w:rPr>
          <w:noProof/>
          <w:lang w:val="en-AU" w:eastAsia="en-AU"/>
        </w:rPr>
        <w:t>(ANZECC and ARMCANZ, 2000a)</w:t>
      </w:r>
      <w:r w:rsidR="00C91BF5">
        <w:rPr>
          <w:lang w:val="en-AU" w:eastAsia="en-AU"/>
        </w:rPr>
        <w:fldChar w:fldCharType="end"/>
      </w:r>
      <w:r w:rsidR="004172A1" w:rsidRPr="00150F01">
        <w:rPr>
          <w:lang w:val="en-AU" w:eastAsia="en-AU"/>
        </w:rPr>
        <w:t>.</w:t>
      </w:r>
      <w:r w:rsidR="004B6BC7" w:rsidRPr="004B6BC7">
        <w:rPr>
          <w:lang w:val="en-AU" w:eastAsia="en-AU"/>
        </w:rPr>
        <w:t xml:space="preserve"> </w:t>
      </w:r>
      <w:r w:rsidR="00415744">
        <w:rPr>
          <w:lang w:val="en-AU" w:eastAsia="en-AU"/>
        </w:rPr>
        <w:t>For several of the</w:t>
      </w:r>
      <w:r w:rsidR="00415744" w:rsidRPr="00415744">
        <w:rPr>
          <w:lang w:val="en-AU" w:eastAsia="en-AU"/>
        </w:rPr>
        <w:t xml:space="preserve"> </w:t>
      </w:r>
      <w:r w:rsidR="002748AA">
        <w:rPr>
          <w:lang w:val="en-AU" w:eastAsia="en-AU"/>
        </w:rPr>
        <w:t xml:space="preserve">pesticides </w:t>
      </w:r>
      <w:r w:rsidR="00415744" w:rsidRPr="00150F01">
        <w:rPr>
          <w:lang w:val="en-AU" w:eastAsia="en-AU"/>
        </w:rPr>
        <w:t>detected in this current monitoring year</w:t>
      </w:r>
      <w:r w:rsidR="004B6BC7" w:rsidRPr="00150F01">
        <w:rPr>
          <w:lang w:val="en-AU" w:eastAsia="en-AU"/>
        </w:rPr>
        <w:t xml:space="preserve">, no </w:t>
      </w:r>
      <w:r w:rsidR="004B6BC7">
        <w:rPr>
          <w:lang w:val="en-AU" w:eastAsia="en-AU"/>
        </w:rPr>
        <w:t>trigger values</w:t>
      </w:r>
      <w:r w:rsidR="004B6BC7" w:rsidRPr="00150F01">
        <w:rPr>
          <w:lang w:val="en-AU" w:eastAsia="en-AU"/>
        </w:rPr>
        <w:t xml:space="preserve"> </w:t>
      </w:r>
      <w:r w:rsidR="002748AA">
        <w:rPr>
          <w:lang w:val="en-AU" w:eastAsia="en-AU"/>
        </w:rPr>
        <w:t>were</w:t>
      </w:r>
      <w:r w:rsidR="002748AA" w:rsidRPr="00150F01">
        <w:rPr>
          <w:lang w:val="en-AU" w:eastAsia="en-AU"/>
        </w:rPr>
        <w:t xml:space="preserve"> </w:t>
      </w:r>
      <w:r w:rsidR="004B6BC7" w:rsidRPr="00150F01">
        <w:rPr>
          <w:lang w:val="en-AU" w:eastAsia="en-AU"/>
        </w:rPr>
        <w:t>availa</w:t>
      </w:r>
      <w:r w:rsidR="00415744">
        <w:rPr>
          <w:lang w:val="en-AU" w:eastAsia="en-AU"/>
        </w:rPr>
        <w:t>ble</w:t>
      </w:r>
      <w:r w:rsidR="004B6BC7" w:rsidRPr="00150F01">
        <w:rPr>
          <w:lang w:val="en-AU" w:eastAsia="en-AU"/>
        </w:rPr>
        <w:t>.</w:t>
      </w:r>
    </w:p>
    <w:p w14:paraId="15720E52" w14:textId="77777777" w:rsidR="004172A1" w:rsidRDefault="004172A1" w:rsidP="00015606">
      <w:pPr>
        <w:spacing w:line="276" w:lineRule="auto"/>
        <w:rPr>
          <w:lang w:val="en-AU" w:eastAsia="en-AU"/>
        </w:rPr>
      </w:pPr>
    </w:p>
    <w:p w14:paraId="15720E53" w14:textId="1F0ACA4C" w:rsidR="00CC1A49" w:rsidRDefault="00A90628" w:rsidP="00CC1A49">
      <w:pPr>
        <w:spacing w:line="276" w:lineRule="auto"/>
        <w:rPr>
          <w:lang w:val="en-AU" w:eastAsia="en-AU"/>
        </w:rPr>
      </w:pPr>
      <w:r>
        <w:rPr>
          <w:lang w:val="en-AU" w:eastAsia="en-AU"/>
        </w:rPr>
        <w:t>The use of species sensitivity distributions (SSDs) is the</w:t>
      </w:r>
      <w:r w:rsidR="004172A1">
        <w:rPr>
          <w:lang w:val="en-AU" w:eastAsia="en-AU"/>
        </w:rPr>
        <w:t xml:space="preserve"> preferred method of deriving water quality guidelines  </w:t>
      </w:r>
      <w:r w:rsidR="00C91BF5">
        <w:rPr>
          <w:lang w:val="en-AU" w:eastAsia="en-AU"/>
        </w:rPr>
        <w:fldChar w:fldCharType="begin"/>
      </w:r>
      <w:r w:rsidR="009D4492">
        <w:rPr>
          <w:lang w:val="en-AU" w:eastAsia="en-AU"/>
        </w:rPr>
        <w:instrText xml:space="preserve"> ADDIN EN.CITE &lt;EndNote&gt;&lt;Cite&gt;&lt;Author&gt;Warne&lt;/Author&gt;&lt;Year&gt;2015&lt;/Year&gt;&lt;RecNum&gt;28&lt;/RecNum&gt;&lt;DisplayText&gt;(Warne et al., 2015)&lt;/DisplayText&gt;&lt;record&gt;&lt;rec-number&gt;28&lt;/rec-number&gt;&lt;foreign-keys&gt;&lt;key app="EN" db-id="vvtrt2pt4xpx5teta99vvtwg50vzve2aexae" timestamp="1493157358"&gt;28&lt;/key&gt;&lt;/foreign-keys&gt;&lt;ref-type name="Report"&gt;27&lt;/ref-type&gt;&lt;contributors&gt;&lt;authors&gt;&lt;author&gt;Warne, M.St J.&lt;/author&gt;&lt;author&gt;Batley, G.E.&lt;/author&gt;&lt;author&gt;van Dam, R.A.&lt;/author&gt;&lt;author&gt;Chapman, J.C.&lt;/author&gt;&lt;author&gt;Fox, D.R.&lt;/author&gt;&lt;author&gt;Hickey, C.W.&lt;/author&gt;&lt;author&gt;Stauber, J.L.&lt;/author&gt;&lt;/authors&gt;&lt;/contributors&gt;&lt;titles&gt;&lt;title&gt;Revised Method for Deriving Australian and New Zealand Water Quality Guideline Values for Toxicants. Prepared for the Council of Australian Government’s Standing Council on Environment and Water (SCEW)&lt;/title&gt;&lt;/titles&gt;&lt;pages&gt;50 pp&lt;/pages&gt;&lt;dates&gt;&lt;year&gt;2015&lt;/year&gt;&lt;/dates&gt;&lt;pub-location&gt;Department of Science, Information Technology and Innovation, Brisbane&lt;/pub-location&gt;&lt;urls&gt;&lt;/urls&gt;&lt;/record&gt;&lt;/Cite&gt;&lt;/EndNote&gt;</w:instrText>
      </w:r>
      <w:r w:rsidR="00C91BF5">
        <w:rPr>
          <w:lang w:val="en-AU" w:eastAsia="en-AU"/>
        </w:rPr>
        <w:fldChar w:fldCharType="separate"/>
      </w:r>
      <w:r w:rsidR="009D4492">
        <w:rPr>
          <w:noProof/>
          <w:lang w:val="en-AU" w:eastAsia="en-AU"/>
        </w:rPr>
        <w:t>(Warne et al., 2015)</w:t>
      </w:r>
      <w:r w:rsidR="00C91BF5">
        <w:rPr>
          <w:lang w:val="en-AU" w:eastAsia="en-AU"/>
        </w:rPr>
        <w:fldChar w:fldCharType="end"/>
      </w:r>
      <w:r w:rsidR="004172A1">
        <w:rPr>
          <w:lang w:val="en-AU" w:eastAsia="en-AU"/>
        </w:rPr>
        <w:t xml:space="preserve">. </w:t>
      </w:r>
      <w:r w:rsidR="009723BE">
        <w:rPr>
          <w:lang w:val="en-AU" w:eastAsia="en-AU"/>
        </w:rPr>
        <w:t>A SSD is a model</w:t>
      </w:r>
      <w:r w:rsidR="009723BE" w:rsidRPr="009723BE">
        <w:rPr>
          <w:lang w:val="en-AU" w:eastAsia="en-AU"/>
        </w:rPr>
        <w:t xml:space="preserve"> </w:t>
      </w:r>
      <w:r w:rsidR="009723BE" w:rsidRPr="009723BE">
        <w:rPr>
          <w:lang w:val="en-AU" w:eastAsia="en-AU"/>
        </w:rPr>
        <w:lastRenderedPageBreak/>
        <w:t xml:space="preserve">of the variation in sensitivity of species </w:t>
      </w:r>
      <w:r w:rsidR="00415744">
        <w:rPr>
          <w:lang w:val="en-AU" w:eastAsia="en-AU"/>
        </w:rPr>
        <w:t xml:space="preserve">in an ecosystem </w:t>
      </w:r>
      <w:r w:rsidR="009723BE" w:rsidRPr="009723BE">
        <w:rPr>
          <w:lang w:val="en-AU" w:eastAsia="en-AU"/>
        </w:rPr>
        <w:t>to a particular stresso</w:t>
      </w:r>
      <w:r w:rsidR="00CC1A49">
        <w:rPr>
          <w:lang w:val="en-AU" w:eastAsia="en-AU"/>
        </w:rPr>
        <w:t>r</w:t>
      </w:r>
      <w:r w:rsidR="008A489C">
        <w:rPr>
          <w:lang w:val="en-AU" w:eastAsia="en-AU"/>
        </w:rPr>
        <w:t xml:space="preserve"> and allows prediction of</w:t>
      </w:r>
      <w:r w:rsidR="00200C83">
        <w:rPr>
          <w:lang w:val="en-AU" w:eastAsia="en-AU"/>
        </w:rPr>
        <w:t xml:space="preserve"> </w:t>
      </w:r>
      <w:r w:rsidR="009723BE" w:rsidRPr="009723BE">
        <w:rPr>
          <w:lang w:val="en-AU" w:eastAsia="en-AU"/>
        </w:rPr>
        <w:t xml:space="preserve">the percentage of species that is expected to be </w:t>
      </w:r>
      <w:r w:rsidR="009723BE">
        <w:rPr>
          <w:lang w:val="en-AU" w:eastAsia="en-AU"/>
        </w:rPr>
        <w:t xml:space="preserve">adversely </w:t>
      </w:r>
      <w:r w:rsidR="009723BE" w:rsidRPr="009723BE">
        <w:rPr>
          <w:lang w:val="en-AU" w:eastAsia="en-AU"/>
        </w:rPr>
        <w:t xml:space="preserve">affected at a given environmental </w:t>
      </w:r>
      <w:r w:rsidR="00200C83">
        <w:rPr>
          <w:lang w:val="en-AU" w:eastAsia="en-AU"/>
        </w:rPr>
        <w:t>stressor level (e.g. pesticide concentration)</w:t>
      </w:r>
      <w:r w:rsidR="009723BE">
        <w:rPr>
          <w:lang w:val="en-AU" w:eastAsia="en-AU"/>
        </w:rPr>
        <w:t>.</w:t>
      </w:r>
      <w:r w:rsidR="009723BE" w:rsidRPr="009723BE">
        <w:rPr>
          <w:lang w:val="en-AU" w:eastAsia="en-AU"/>
        </w:rPr>
        <w:t xml:space="preserve"> </w:t>
      </w:r>
      <w:r w:rsidR="004172A1">
        <w:rPr>
          <w:lang w:val="en-AU" w:eastAsia="en-AU"/>
        </w:rPr>
        <w:t xml:space="preserve">Under this approach, </w:t>
      </w:r>
      <w:r w:rsidR="004172A1" w:rsidRPr="004172A1">
        <w:rPr>
          <w:lang w:val="en-AU" w:eastAsia="en-AU"/>
        </w:rPr>
        <w:t xml:space="preserve">protective concentrations </w:t>
      </w:r>
      <w:r w:rsidR="004172A1">
        <w:rPr>
          <w:lang w:val="en-AU" w:eastAsia="en-AU"/>
        </w:rPr>
        <w:t xml:space="preserve">can be defined that </w:t>
      </w:r>
      <w:r w:rsidR="009723BE">
        <w:rPr>
          <w:lang w:val="en-AU" w:eastAsia="en-AU"/>
        </w:rPr>
        <w:t xml:space="preserve">typically </w:t>
      </w:r>
      <w:r w:rsidR="004172A1" w:rsidRPr="004172A1">
        <w:rPr>
          <w:lang w:val="en-AU" w:eastAsia="en-AU"/>
        </w:rPr>
        <w:t xml:space="preserve">offer four levels of protection: 99, 95, 90 and 80 per cent of species in the ecosystem being </w:t>
      </w:r>
      <w:r w:rsidR="002748AA">
        <w:rPr>
          <w:lang w:val="en-AU" w:eastAsia="en-AU"/>
        </w:rPr>
        <w:t>protected</w:t>
      </w:r>
      <w:r w:rsidR="004172A1">
        <w:rPr>
          <w:lang w:val="en-AU" w:eastAsia="en-AU"/>
        </w:rPr>
        <w:t xml:space="preserve">, referred to as </w:t>
      </w:r>
      <w:r w:rsidR="004172A1" w:rsidRPr="004172A1">
        <w:rPr>
          <w:lang w:val="en-AU" w:eastAsia="en-AU"/>
        </w:rPr>
        <w:t>PC99, PC95, PC90 and PC80, respectively</w:t>
      </w:r>
      <w:r w:rsidR="000F089E">
        <w:rPr>
          <w:lang w:val="en-AU" w:eastAsia="en-AU"/>
        </w:rPr>
        <w:t xml:space="preserve"> </w:t>
      </w:r>
      <w:r w:rsidR="00C91BF5">
        <w:rPr>
          <w:lang w:val="en-AU" w:eastAsia="en-AU"/>
        </w:rPr>
        <w:fldChar w:fldCharType="begin"/>
      </w:r>
      <w:r w:rsidR="009D4492">
        <w:rPr>
          <w:lang w:val="en-AU" w:eastAsia="en-AU"/>
        </w:rPr>
        <w:instrText xml:space="preserve"> ADDIN EN.CITE &lt;EndNote&gt;&lt;Cite&gt;&lt;Author&gt;Batley&lt;/Author&gt;&lt;Year&gt;2014&lt;/Year&gt;&lt;RecNum&gt;27&lt;/RecNum&gt;&lt;DisplayText&gt;(Batley et al., 2014)&lt;/DisplayText&gt;&lt;record&gt;&lt;rec-number&gt;27&lt;/rec-number&gt;&lt;foreign-keys&gt;&lt;key app="EN" db-id="vvtrt2pt4xpx5teta99vvtwg50vzve2aexae" timestamp="1493157356"&gt;27&lt;/key&gt;&lt;/foreign-keys&gt;&lt;ref-type name="Report"&gt;27&lt;/ref-type&gt;&lt;contributors&gt;&lt;authors&gt;&lt;author&gt;Batley, G.E.&lt;/author&gt;&lt;author&gt;van Dam, R.&lt;/author&gt;&lt;author&gt;Warne, M.St.J.&lt;/author&gt;&lt;author&gt;Chapman, J.C.&lt;/author&gt;&lt;author&gt;Fox, D.R.&lt;/author&gt;&lt;author&gt;Hickey, C.W. &lt;/author&gt;&lt;author&gt;Stauber, J.L&lt;/author&gt;&lt;/authors&gt;&lt;/contributors&gt;&lt;titles&gt;&lt;title&gt;Revision of the Method for Deriving Water Quality Guideline Values for Toxicants. A Water for a Healthy Country Flagship Report. Prepared for the Council of Australian Government’s Standing Council on Environment and Water (SCEW)&lt;/title&gt;&lt;/titles&gt;&lt;dates&gt;&lt;year&gt;2014&lt;/year&gt;&lt;/dates&gt;&lt;pub-location&gt;CSIRO&lt;/pub-location&gt;&lt;urls&gt;&lt;/urls&gt;&lt;/record&gt;&lt;/Cite&gt;&lt;/EndNote&gt;</w:instrText>
      </w:r>
      <w:r w:rsidR="00C91BF5">
        <w:rPr>
          <w:lang w:val="en-AU" w:eastAsia="en-AU"/>
        </w:rPr>
        <w:fldChar w:fldCharType="separate"/>
      </w:r>
      <w:r w:rsidR="009D4492">
        <w:rPr>
          <w:noProof/>
          <w:lang w:val="en-AU" w:eastAsia="en-AU"/>
        </w:rPr>
        <w:t>(Batley et al., 2014)</w:t>
      </w:r>
      <w:r w:rsidR="00C91BF5">
        <w:rPr>
          <w:lang w:val="en-AU" w:eastAsia="en-AU"/>
        </w:rPr>
        <w:fldChar w:fldCharType="end"/>
      </w:r>
      <w:r w:rsidR="000F089E">
        <w:rPr>
          <w:lang w:val="en-AU" w:eastAsia="en-AU"/>
        </w:rPr>
        <w:t>.</w:t>
      </w:r>
      <w:r w:rsidR="004172A1">
        <w:rPr>
          <w:lang w:val="en-AU" w:eastAsia="en-AU"/>
        </w:rPr>
        <w:t xml:space="preserve"> Using this approach, </w:t>
      </w:r>
      <w:r w:rsidR="004172A1" w:rsidRPr="004172A1">
        <w:rPr>
          <w:lang w:val="en-AU" w:eastAsia="en-AU"/>
        </w:rPr>
        <w:t xml:space="preserve">marine </w:t>
      </w:r>
      <w:r w:rsidR="008C7DB4">
        <w:rPr>
          <w:lang w:val="en-AU" w:eastAsia="en-AU"/>
        </w:rPr>
        <w:t>protective concentrations</w:t>
      </w:r>
      <w:r w:rsidR="004172A1" w:rsidRPr="004172A1">
        <w:rPr>
          <w:lang w:val="en-AU" w:eastAsia="en-AU"/>
        </w:rPr>
        <w:t xml:space="preserve"> </w:t>
      </w:r>
      <w:r w:rsidR="009723BE">
        <w:rPr>
          <w:lang w:val="en-AU" w:eastAsia="en-AU"/>
        </w:rPr>
        <w:t xml:space="preserve">were </w:t>
      </w:r>
      <w:r w:rsidR="004172A1" w:rsidRPr="004172A1">
        <w:rPr>
          <w:lang w:val="en-AU" w:eastAsia="en-AU"/>
        </w:rPr>
        <w:t xml:space="preserve">derived by the Great Barrier Reef Marine Park Authority </w:t>
      </w:r>
      <w:r w:rsidR="00C91BF5">
        <w:rPr>
          <w:lang w:val="en-AU" w:eastAsia="en-AU"/>
        </w:rPr>
        <w:fldChar w:fldCharType="begin"/>
      </w:r>
      <w:r w:rsidR="009D4492">
        <w:rPr>
          <w:lang w:val="en-AU" w:eastAsia="en-AU"/>
        </w:rPr>
        <w:instrText xml:space="preserve"> ADDIN EN.CITE &lt;EndNote&gt;&lt;Cite&gt;&lt;Author&gt;GBRMPA&lt;/Author&gt;&lt;Year&gt;2010&lt;/Year&gt;&lt;RecNum&gt;29&lt;/RecNum&gt;&lt;DisplayText&gt;(GBRMPA, 2010)&lt;/DisplayText&gt;&lt;record&gt;&lt;rec-number&gt;29&lt;/rec-number&gt;&lt;foreign-keys&gt;&lt;key app="EN" db-id="vvtrt2pt4xpx5teta99vvtwg50vzve2aexae" timestamp="1493157359"&gt;29&lt;/key&gt;&lt;/foreign-keys&gt;&lt;ref-type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2010.&lt;/title&gt;&lt;/titles&gt;&lt;dates&gt;&lt;year&gt;2010&lt;/year&gt;&lt;/dates&gt;&lt;pub-location&gt;Great Barrier Reef Marine Park Authority, Townsville&lt;/pub-location&gt;&lt;urls&gt;&lt;/urls&gt;&lt;/record&gt;&lt;/Cite&gt;&lt;/EndNote&gt;</w:instrText>
      </w:r>
      <w:r w:rsidR="00C91BF5">
        <w:rPr>
          <w:lang w:val="en-AU" w:eastAsia="en-AU"/>
        </w:rPr>
        <w:fldChar w:fldCharType="separate"/>
      </w:r>
      <w:r w:rsidR="009D4492">
        <w:rPr>
          <w:noProof/>
          <w:lang w:val="en-AU" w:eastAsia="en-AU"/>
        </w:rPr>
        <w:t>(GBRMPA, 2010)</w:t>
      </w:r>
      <w:r w:rsidR="00C91BF5">
        <w:rPr>
          <w:lang w:val="en-AU" w:eastAsia="en-AU"/>
        </w:rPr>
        <w:fldChar w:fldCharType="end"/>
      </w:r>
      <w:r w:rsidR="009723BE">
        <w:rPr>
          <w:lang w:val="en-AU" w:eastAsia="en-AU"/>
        </w:rPr>
        <w:t xml:space="preserve"> </w:t>
      </w:r>
      <w:r w:rsidR="004172A1" w:rsidRPr="004172A1">
        <w:rPr>
          <w:lang w:val="en-AU" w:eastAsia="en-AU"/>
        </w:rPr>
        <w:t>for tropical species</w:t>
      </w:r>
      <w:r w:rsidR="00415744">
        <w:rPr>
          <w:lang w:val="en-AU" w:eastAsia="en-AU"/>
        </w:rPr>
        <w:t xml:space="preserve"> (</w:t>
      </w:r>
      <w:r w:rsidR="00C91BF5">
        <w:rPr>
          <w:highlight w:val="yellow"/>
          <w:lang w:val="en-AU" w:eastAsia="en-AU"/>
        </w:rPr>
        <w:fldChar w:fldCharType="begin"/>
      </w:r>
      <w:r w:rsidR="006A6F28">
        <w:rPr>
          <w:lang w:val="en-AU" w:eastAsia="en-AU"/>
        </w:rPr>
        <w:instrText xml:space="preserve"> REF _Ref480726661 \n \h </w:instrText>
      </w:r>
      <w:r w:rsidR="00C91BF5">
        <w:rPr>
          <w:highlight w:val="yellow"/>
          <w:lang w:val="en-AU" w:eastAsia="en-AU"/>
        </w:rPr>
      </w:r>
      <w:r w:rsidR="00C91BF5">
        <w:rPr>
          <w:highlight w:val="yellow"/>
          <w:lang w:val="en-AU" w:eastAsia="en-AU"/>
        </w:rPr>
        <w:fldChar w:fldCharType="separate"/>
      </w:r>
      <w:r w:rsidR="00D12276">
        <w:rPr>
          <w:lang w:val="en-AU" w:eastAsia="en-AU"/>
        </w:rPr>
        <w:t xml:space="preserve">Appendix B </w:t>
      </w:r>
      <w:r w:rsidR="00C91BF5">
        <w:rPr>
          <w:highlight w:val="yellow"/>
          <w:lang w:val="en-AU" w:eastAsia="en-AU"/>
        </w:rPr>
        <w:fldChar w:fldCharType="end"/>
      </w:r>
      <w:r w:rsidR="00C91BF5">
        <w:rPr>
          <w:highlight w:val="yellow"/>
          <w:lang w:val="en-AU" w:eastAsia="en-AU"/>
        </w:rPr>
        <w:fldChar w:fldCharType="begin"/>
      </w:r>
      <w:r w:rsidR="006A6F28">
        <w:rPr>
          <w:highlight w:val="yellow"/>
          <w:lang w:val="en-AU" w:eastAsia="en-AU"/>
        </w:rPr>
        <w:instrText xml:space="preserve"> REF _Ref480726648 \h </w:instrText>
      </w:r>
      <w:r w:rsidR="00C91BF5">
        <w:rPr>
          <w:highlight w:val="yellow"/>
          <w:lang w:val="en-AU" w:eastAsia="en-AU"/>
        </w:rPr>
      </w:r>
      <w:r w:rsidR="00C91BF5">
        <w:rPr>
          <w:highlight w:val="yellow"/>
          <w:lang w:val="en-AU" w:eastAsia="en-AU"/>
        </w:rPr>
        <w:fldChar w:fldCharType="separate"/>
      </w:r>
      <w:r w:rsidR="00D12276">
        <w:t xml:space="preserve">Table </w:t>
      </w:r>
      <w:r w:rsidR="00D12276">
        <w:rPr>
          <w:noProof/>
        </w:rPr>
        <w:t>B</w:t>
      </w:r>
      <w:r w:rsidR="00D12276">
        <w:noBreakHyphen/>
      </w:r>
      <w:r w:rsidR="00D12276">
        <w:rPr>
          <w:noProof/>
        </w:rPr>
        <w:t>1</w:t>
      </w:r>
      <w:r w:rsidR="00C91BF5">
        <w:rPr>
          <w:highlight w:val="yellow"/>
          <w:lang w:val="en-AU" w:eastAsia="en-AU"/>
        </w:rPr>
        <w:fldChar w:fldCharType="end"/>
      </w:r>
      <w:r w:rsidR="00415744">
        <w:rPr>
          <w:lang w:val="en-AU" w:eastAsia="en-AU"/>
        </w:rPr>
        <w:t>)</w:t>
      </w:r>
      <w:r w:rsidR="009723BE" w:rsidRPr="00150F01">
        <w:rPr>
          <w:lang w:val="en-AU" w:eastAsia="en-AU"/>
        </w:rPr>
        <w:t>.</w:t>
      </w:r>
      <w:r w:rsidR="00CC1A49" w:rsidRPr="00CC1A49">
        <w:rPr>
          <w:lang w:val="en-AU" w:eastAsia="en-AU"/>
        </w:rPr>
        <w:t xml:space="preserve"> </w:t>
      </w:r>
      <w:r w:rsidR="008C7DB4">
        <w:rPr>
          <w:lang w:val="en-AU" w:eastAsia="en-AU"/>
        </w:rPr>
        <w:t xml:space="preserve">These values </w:t>
      </w:r>
      <w:r w:rsidR="008C7DB4" w:rsidRPr="008C7DB4">
        <w:rPr>
          <w:lang w:val="en-AU" w:eastAsia="en-AU"/>
        </w:rPr>
        <w:t xml:space="preserve">were not proposed to be adopted as guidelines, but rather were published to provide concentrations to compare with ongoing monitoring data as </w:t>
      </w:r>
      <w:r w:rsidR="008C7DB4">
        <w:rPr>
          <w:lang w:val="en-AU" w:eastAsia="en-AU"/>
        </w:rPr>
        <w:t xml:space="preserve">part of </w:t>
      </w:r>
      <w:r w:rsidR="00642A99">
        <w:rPr>
          <w:lang w:val="en-AU" w:eastAsia="en-AU"/>
        </w:rPr>
        <w:t>Reef Plan</w:t>
      </w:r>
      <w:r w:rsidR="00CC2C99">
        <w:rPr>
          <w:lang w:val="en-AU" w:eastAsia="en-AU"/>
        </w:rPr>
        <w:t xml:space="preserve"> (2009 and 2013)</w:t>
      </w:r>
      <w:r w:rsidR="008C7DB4" w:rsidRPr="008C7DB4">
        <w:rPr>
          <w:lang w:val="en-AU" w:eastAsia="en-AU"/>
        </w:rPr>
        <w:t>.</w:t>
      </w:r>
      <w:r w:rsidR="008C7DB4">
        <w:rPr>
          <w:lang w:val="en-AU" w:eastAsia="en-AU"/>
        </w:rPr>
        <w:t xml:space="preserve"> </w:t>
      </w:r>
      <w:r w:rsidR="00CC1A49" w:rsidRPr="00150F01">
        <w:rPr>
          <w:lang w:val="en-AU" w:eastAsia="en-AU"/>
        </w:rPr>
        <w:t xml:space="preserve">The </w:t>
      </w:r>
      <w:r w:rsidR="00CC2C99">
        <w:rPr>
          <w:lang w:val="en-AU" w:eastAsia="en-AU"/>
        </w:rPr>
        <w:t xml:space="preserve">Great Barrier </w:t>
      </w:r>
      <w:r w:rsidR="00CC1A49">
        <w:rPr>
          <w:lang w:val="en-AU" w:eastAsia="en-AU"/>
        </w:rPr>
        <w:t xml:space="preserve">Reef </w:t>
      </w:r>
      <w:r w:rsidR="00CC2C99">
        <w:rPr>
          <w:lang w:val="en-AU" w:eastAsia="en-AU"/>
        </w:rPr>
        <w:t>is considered as a high ecological value (HEV) ecosystem and</w:t>
      </w:r>
      <w:r w:rsidR="007E5A1E">
        <w:rPr>
          <w:lang w:val="en-AU" w:eastAsia="en-AU"/>
        </w:rPr>
        <w:t>,</w:t>
      </w:r>
      <w:r w:rsidR="00CC2C99">
        <w:rPr>
          <w:lang w:val="en-AU" w:eastAsia="en-AU"/>
        </w:rPr>
        <w:t xml:space="preserve"> therefore</w:t>
      </w:r>
      <w:r w:rsidR="007E5A1E">
        <w:rPr>
          <w:lang w:val="en-AU" w:eastAsia="en-AU"/>
        </w:rPr>
        <w:t>,</w:t>
      </w:r>
      <w:r w:rsidR="00CC2C99">
        <w:rPr>
          <w:lang w:val="en-AU" w:eastAsia="en-AU"/>
        </w:rPr>
        <w:t xml:space="preserve"> </w:t>
      </w:r>
      <w:r w:rsidR="007E5A1E">
        <w:rPr>
          <w:lang w:val="en-AU" w:eastAsia="en-AU"/>
        </w:rPr>
        <w:t>afforded</w:t>
      </w:r>
      <w:r w:rsidR="00CC2C99">
        <w:rPr>
          <w:lang w:val="en-AU" w:eastAsia="en-AU"/>
        </w:rPr>
        <w:t xml:space="preserve"> </w:t>
      </w:r>
      <w:r w:rsidR="007E5A1E">
        <w:rPr>
          <w:lang w:val="en-AU" w:eastAsia="en-AU"/>
        </w:rPr>
        <w:t>t</w:t>
      </w:r>
      <w:r w:rsidR="00CC2C99">
        <w:rPr>
          <w:lang w:val="en-AU" w:eastAsia="en-AU"/>
        </w:rPr>
        <w:t xml:space="preserve">he highest </w:t>
      </w:r>
      <w:r w:rsidR="007E5A1E">
        <w:rPr>
          <w:lang w:val="en-AU" w:eastAsia="en-AU"/>
        </w:rPr>
        <w:t xml:space="preserve">water quality </w:t>
      </w:r>
      <w:r w:rsidR="00CC2C99">
        <w:rPr>
          <w:lang w:val="en-AU" w:eastAsia="en-AU"/>
        </w:rPr>
        <w:t>protection level, i.e. protection of at least</w:t>
      </w:r>
      <w:r w:rsidR="00CC1A49">
        <w:rPr>
          <w:lang w:val="en-AU" w:eastAsia="en-AU"/>
        </w:rPr>
        <w:t xml:space="preserve"> 99</w:t>
      </w:r>
      <w:r w:rsidR="005E379C">
        <w:rPr>
          <w:lang w:val="en-AU" w:eastAsia="en-AU"/>
        </w:rPr>
        <w:t xml:space="preserve"> per cent</w:t>
      </w:r>
      <w:r w:rsidR="00CC1A49" w:rsidRPr="00150F01">
        <w:rPr>
          <w:lang w:val="en-AU" w:eastAsia="en-AU"/>
        </w:rPr>
        <w:t xml:space="preserve"> of species</w:t>
      </w:r>
      <w:r w:rsidR="00CC2C99">
        <w:rPr>
          <w:lang w:val="en-AU" w:eastAsia="en-AU"/>
        </w:rPr>
        <w:t xml:space="preserve"> (</w:t>
      </w:r>
      <w:r w:rsidR="00CC1A49">
        <w:rPr>
          <w:lang w:val="en-AU" w:eastAsia="en-AU"/>
        </w:rPr>
        <w:t>PC99</w:t>
      </w:r>
      <w:r w:rsidR="00CC2C99">
        <w:rPr>
          <w:lang w:val="en-AU" w:eastAsia="en-AU"/>
        </w:rPr>
        <w:t>)</w:t>
      </w:r>
      <w:r w:rsidR="00CC1A49" w:rsidRPr="00150F01">
        <w:rPr>
          <w:lang w:val="en-AU" w:eastAsia="en-AU"/>
        </w:rPr>
        <w:t xml:space="preserve">. This level of protection </w:t>
      </w:r>
      <w:r w:rsidR="00CC1A49">
        <w:rPr>
          <w:lang w:val="en-AU" w:eastAsia="en-AU"/>
        </w:rPr>
        <w:t>is</w:t>
      </w:r>
      <w:r w:rsidR="00CC1A49" w:rsidRPr="00150F01">
        <w:rPr>
          <w:lang w:val="en-AU" w:eastAsia="en-AU"/>
        </w:rPr>
        <w:t xml:space="preserve"> judged the most suitable for th</w:t>
      </w:r>
      <w:r w:rsidR="00CC1A49">
        <w:rPr>
          <w:lang w:val="en-AU" w:eastAsia="en-AU"/>
        </w:rPr>
        <w:t xml:space="preserve">is </w:t>
      </w:r>
      <w:r w:rsidR="00CC1A49" w:rsidRPr="00150F01">
        <w:rPr>
          <w:lang w:val="en-AU" w:eastAsia="en-AU"/>
        </w:rPr>
        <w:t xml:space="preserve">World Heritage Area, which is classified as having outstanding </w:t>
      </w:r>
      <w:r w:rsidR="00CC1A49">
        <w:rPr>
          <w:lang w:val="en-AU" w:eastAsia="en-AU"/>
        </w:rPr>
        <w:t>universal</w:t>
      </w:r>
      <w:r w:rsidR="00CC1A49" w:rsidRPr="00150F01">
        <w:rPr>
          <w:lang w:val="en-AU" w:eastAsia="en-AU"/>
        </w:rPr>
        <w:t xml:space="preserve"> value and no change in the indicators of biological diversity beyond the natural variation is recommended</w:t>
      </w:r>
      <w:r w:rsidR="00CC1A49">
        <w:rPr>
          <w:lang w:val="en-AU" w:eastAsia="en-AU"/>
        </w:rPr>
        <w:t>.</w:t>
      </w:r>
      <w:r w:rsidR="00CC1A49" w:rsidRPr="00150F01">
        <w:rPr>
          <w:lang w:val="en-AU" w:eastAsia="en-AU"/>
        </w:rPr>
        <w:t xml:space="preserve"> </w:t>
      </w:r>
    </w:p>
    <w:p w14:paraId="15720E54" w14:textId="77777777" w:rsidR="004172A1" w:rsidRDefault="004172A1" w:rsidP="00015606">
      <w:pPr>
        <w:spacing w:line="276" w:lineRule="auto"/>
        <w:rPr>
          <w:lang w:val="en-AU" w:eastAsia="en-AU"/>
        </w:rPr>
      </w:pPr>
    </w:p>
    <w:p w14:paraId="15720E55" w14:textId="00AE2A3C" w:rsidR="00152D7C" w:rsidRDefault="009B5FAA" w:rsidP="00015606">
      <w:pPr>
        <w:spacing w:line="276" w:lineRule="auto"/>
        <w:rPr>
          <w:lang w:val="en-AU" w:eastAsia="en-AU"/>
        </w:rPr>
      </w:pPr>
      <w:r w:rsidRPr="009B5FAA">
        <w:rPr>
          <w:lang w:val="en-AU" w:eastAsia="en-AU"/>
        </w:rPr>
        <w:t xml:space="preserve">The </w:t>
      </w:r>
      <w:r w:rsidR="007E5A1E">
        <w:rPr>
          <w:lang w:val="en-AU" w:eastAsia="en-AU"/>
        </w:rPr>
        <w:t xml:space="preserve">Australian and New Zealand </w:t>
      </w:r>
      <w:r w:rsidR="009723BE">
        <w:rPr>
          <w:lang w:val="en-AU" w:eastAsia="en-AU"/>
        </w:rPr>
        <w:t xml:space="preserve">water quality </w:t>
      </w:r>
      <w:r w:rsidRPr="009B5FAA">
        <w:rPr>
          <w:lang w:val="en-AU" w:eastAsia="en-AU"/>
        </w:rPr>
        <w:t xml:space="preserve">guidelines </w:t>
      </w:r>
      <w:r w:rsidR="007E5A1E">
        <w:rPr>
          <w:lang w:val="en-AU" w:eastAsia="en-AU"/>
        </w:rPr>
        <w:t xml:space="preserve">for freshwater and marine ecosystems </w:t>
      </w:r>
      <w:r w:rsidRPr="009B5FAA">
        <w:rPr>
          <w:lang w:val="en-AU" w:eastAsia="en-AU"/>
        </w:rPr>
        <w:t xml:space="preserve">are currently being revised to provide new </w:t>
      </w:r>
      <w:r w:rsidR="007E5A1E">
        <w:rPr>
          <w:lang w:val="en-AU" w:eastAsia="en-AU"/>
        </w:rPr>
        <w:t>guideline values (GVs) (previously termed trigger values)</w:t>
      </w:r>
      <w:r w:rsidR="007E5A1E" w:rsidRPr="009B5FAA">
        <w:rPr>
          <w:lang w:val="en-AU" w:eastAsia="en-AU"/>
        </w:rPr>
        <w:t xml:space="preserve"> </w:t>
      </w:r>
      <w:r w:rsidR="00C91BF5">
        <w:rPr>
          <w:lang w:val="en-AU" w:eastAsia="en-AU"/>
        </w:rPr>
        <w:fldChar w:fldCharType="begin"/>
      </w:r>
      <w:r w:rsidR="009D4492">
        <w:rPr>
          <w:lang w:val="en-AU" w:eastAsia="en-AU"/>
        </w:rPr>
        <w:instrText xml:space="preserve"> ADDIN EN.CITE &lt;EndNote&gt;&lt;Cite&gt;&lt;Author&gt;DoE&lt;/Author&gt;&lt;Year&gt;2016&lt;/Year&gt;&lt;RecNum&gt;30&lt;/RecNum&gt;&lt;DisplayText&gt;(Warne et al., 2015, DoE, 2016)&lt;/DisplayText&gt;&lt;record&gt;&lt;rec-number&gt;30&lt;/rec-number&gt;&lt;foreign-keys&gt;&lt;key app="EN" db-id="vvtrt2pt4xpx5teta99vvtwg50vzve2aexae" timestamp="1493157360"&gt;30&lt;/key&gt;&lt;/foreign-keys&gt;&lt;ref-type name="Web Page"&gt;12&lt;/ref-type&gt;&lt;contributors&gt;&lt;authors&gt;&lt;author&gt;DoE&lt;/author&gt;&lt;/authors&gt;&lt;/contributors&gt;&lt;titles&gt;&lt;title&gt;National Water Quality Management Strategy&lt;/title&gt;&lt;/titles&gt;&lt;volume&gt;2016&lt;/volume&gt;&lt;number&gt;14 June&lt;/number&gt;&lt;dates&gt;&lt;year&gt;2016&lt;/year&gt;&lt;/dates&gt;&lt;pub-location&gt;Department of the Environment, Canberra&lt;/pub-location&gt;&lt;urls&gt;&lt;related-urls&gt;&lt;url&gt;https://www.environment.gov.au/water/quality/national-water-quality-management-strategy#process&lt;/url&gt;&lt;/related-urls&gt;&lt;/urls&gt;&lt;/record&gt;&lt;/Cite&gt;&lt;Cite&gt;&lt;Author&gt;Warne&lt;/Author&gt;&lt;Year&gt;2015&lt;/Year&gt;&lt;RecNum&gt;28&lt;/RecNum&gt;&lt;record&gt;&lt;rec-number&gt;28&lt;/rec-number&gt;&lt;foreign-keys&gt;&lt;key app="EN" db-id="vvtrt2pt4xpx5teta99vvtwg50vzve2aexae" timestamp="1493157358"&gt;28&lt;/key&gt;&lt;/foreign-keys&gt;&lt;ref-type name="Report"&gt;27&lt;/ref-type&gt;&lt;contributors&gt;&lt;authors&gt;&lt;author&gt;Warne, M.St J.&lt;/author&gt;&lt;author&gt;Batley, G.E.&lt;/author&gt;&lt;author&gt;van Dam, R.A.&lt;/author&gt;&lt;author&gt;Chapman, J.C.&lt;/author&gt;&lt;author&gt;Fox, D.R.&lt;/author&gt;&lt;author&gt;Hickey, C.W.&lt;/author&gt;&lt;author&gt;Stauber, J.L.&lt;/author&gt;&lt;/authors&gt;&lt;/contributors&gt;&lt;titles&gt;&lt;title&gt;Revised Method for Deriving Australian and New Zealand Water Quality Guideline Values for Toxicants. Prepared for the Council of Australian Government’s Standing Council on Environment and Water (SCEW)&lt;/title&gt;&lt;/titles&gt;&lt;pages&gt;50 pp&lt;/pages&gt;&lt;dates&gt;&lt;year&gt;2015&lt;/year&gt;&lt;/dates&gt;&lt;pub-location&gt;Department of Science, Information Technology and Innovation, Brisbane&lt;/pub-location&gt;&lt;urls&gt;&lt;/urls&gt;&lt;/record&gt;&lt;/Cite&gt;&lt;/EndNote&gt;</w:instrText>
      </w:r>
      <w:r w:rsidR="00C91BF5">
        <w:rPr>
          <w:lang w:val="en-AU" w:eastAsia="en-AU"/>
        </w:rPr>
        <w:fldChar w:fldCharType="separate"/>
      </w:r>
      <w:r w:rsidR="009D4492">
        <w:rPr>
          <w:noProof/>
          <w:lang w:val="en-AU" w:eastAsia="en-AU"/>
        </w:rPr>
        <w:t>(Warne et al., 2015, DoE, 2016)</w:t>
      </w:r>
      <w:r w:rsidR="00C91BF5">
        <w:rPr>
          <w:lang w:val="en-AU" w:eastAsia="en-AU"/>
        </w:rPr>
        <w:fldChar w:fldCharType="end"/>
      </w:r>
      <w:r w:rsidRPr="00CC1A49">
        <w:rPr>
          <w:lang w:val="en-AU" w:eastAsia="en-AU"/>
        </w:rPr>
        <w:t xml:space="preserve">. </w:t>
      </w:r>
      <w:r w:rsidR="00810E0C">
        <w:rPr>
          <w:lang w:val="en-AU" w:eastAsia="en-AU"/>
        </w:rPr>
        <w:t>P</w:t>
      </w:r>
      <w:r w:rsidR="00CC1A49">
        <w:rPr>
          <w:rFonts w:cs="Arial"/>
          <w:lang w:val="en-AU"/>
        </w:rPr>
        <w:t>roposed</w:t>
      </w:r>
      <w:r w:rsidR="009723BE" w:rsidRPr="00CC1A49">
        <w:rPr>
          <w:rFonts w:cs="Arial"/>
          <w:lang w:val="en-AU"/>
        </w:rPr>
        <w:t xml:space="preserve"> GVs</w:t>
      </w:r>
      <w:r w:rsidR="007E5A1E">
        <w:rPr>
          <w:rFonts w:cs="Arial"/>
          <w:lang w:val="en-AU"/>
        </w:rPr>
        <w:t xml:space="preserve"> for 28 pesticides for freshwater and marine ecosystems</w:t>
      </w:r>
      <w:r w:rsidR="00810E0C">
        <w:rPr>
          <w:rFonts w:cs="Arial"/>
          <w:lang w:val="en-AU"/>
        </w:rPr>
        <w:t>,</w:t>
      </w:r>
      <w:r w:rsidR="004B6BC7">
        <w:rPr>
          <w:rFonts w:cs="Arial"/>
          <w:lang w:val="en-AU"/>
        </w:rPr>
        <w:t xml:space="preserve"> determined using SSDs</w:t>
      </w:r>
      <w:r w:rsidR="00810E0C">
        <w:rPr>
          <w:rFonts w:cs="Arial"/>
          <w:lang w:val="en-AU"/>
        </w:rPr>
        <w:t xml:space="preserve">, </w:t>
      </w:r>
      <w:r w:rsidR="00C72CA2">
        <w:rPr>
          <w:rFonts w:cs="Arial"/>
          <w:lang w:val="en-AU"/>
        </w:rPr>
        <w:t>are being</w:t>
      </w:r>
      <w:r w:rsidR="00810E0C">
        <w:rPr>
          <w:rFonts w:cs="Arial"/>
          <w:lang w:val="en-AU"/>
        </w:rPr>
        <w:t xml:space="preserve"> </w:t>
      </w:r>
      <w:r w:rsidR="007E5A1E">
        <w:rPr>
          <w:rFonts w:cs="Arial"/>
          <w:lang w:val="en-AU"/>
        </w:rPr>
        <w:t xml:space="preserve">derived </w:t>
      </w:r>
      <w:r w:rsidR="00C72CA2">
        <w:rPr>
          <w:rFonts w:cs="Arial"/>
          <w:lang w:val="en-AU"/>
        </w:rPr>
        <w:t xml:space="preserve">by </w:t>
      </w:r>
      <w:r w:rsidR="008C7DB4">
        <w:rPr>
          <w:rFonts w:cs="Arial"/>
          <w:lang w:val="en-AU"/>
        </w:rPr>
        <w:t xml:space="preserve">the </w:t>
      </w:r>
      <w:r w:rsidR="008C7DB4" w:rsidRPr="008C7DB4">
        <w:rPr>
          <w:rFonts w:cs="Arial"/>
          <w:lang w:val="en-AU"/>
        </w:rPr>
        <w:t>Department of Science, Information Technology and Innovation</w:t>
      </w:r>
      <w:r w:rsidR="008C7DB4">
        <w:rPr>
          <w:rFonts w:cs="Arial"/>
          <w:lang w:val="en-AU"/>
        </w:rPr>
        <w:t xml:space="preserve"> (</w:t>
      </w:r>
      <w:r w:rsidR="00C72CA2">
        <w:rPr>
          <w:rFonts w:cs="Arial"/>
          <w:lang w:val="en-AU"/>
        </w:rPr>
        <w:t>DSITI</w:t>
      </w:r>
      <w:r w:rsidR="008C7DB4">
        <w:rPr>
          <w:rFonts w:cs="Arial"/>
          <w:lang w:val="en-AU"/>
        </w:rPr>
        <w:t>)</w:t>
      </w:r>
      <w:r w:rsidR="001A21B2">
        <w:rPr>
          <w:rFonts w:cs="Arial"/>
          <w:lang w:val="en-AU"/>
        </w:rPr>
        <w:t xml:space="preserve"> and </w:t>
      </w:r>
      <w:r w:rsidR="00C72CA2" w:rsidRPr="00C72CA2">
        <w:rPr>
          <w:rFonts w:cs="Arial"/>
          <w:lang w:val="en-AU"/>
        </w:rPr>
        <w:t xml:space="preserve">will be submitted for </w:t>
      </w:r>
      <w:r w:rsidR="001A21B2" w:rsidRPr="00C72CA2">
        <w:rPr>
          <w:rFonts w:cs="Arial"/>
          <w:lang w:val="en-AU"/>
        </w:rPr>
        <w:t>consid</w:t>
      </w:r>
      <w:r w:rsidR="001A21B2">
        <w:rPr>
          <w:rFonts w:cs="Arial"/>
          <w:lang w:val="en-AU"/>
        </w:rPr>
        <w:t>e</w:t>
      </w:r>
      <w:r w:rsidR="001A21B2" w:rsidRPr="00C72CA2">
        <w:rPr>
          <w:rFonts w:cs="Arial"/>
          <w:lang w:val="en-AU"/>
        </w:rPr>
        <w:t>ration</w:t>
      </w:r>
      <w:r w:rsidR="00C72CA2" w:rsidRPr="00C72CA2">
        <w:rPr>
          <w:rFonts w:cs="Arial"/>
          <w:lang w:val="en-AU"/>
        </w:rPr>
        <w:t>, national endorsement and inclusion into the Australian and New Zealand water quality guidelines</w:t>
      </w:r>
      <w:r w:rsidR="00C72CA2">
        <w:rPr>
          <w:rFonts w:cs="Arial"/>
          <w:lang w:val="en-AU"/>
        </w:rPr>
        <w:t xml:space="preserve"> </w:t>
      </w:r>
      <w:r w:rsidR="00C91BF5">
        <w:rPr>
          <w:rFonts w:cs="Arial"/>
          <w:lang w:val="en-AU"/>
        </w:rPr>
        <w:fldChar w:fldCharType="begin"/>
      </w:r>
      <w:r w:rsidR="009D4492">
        <w:rPr>
          <w:rFonts w:cs="Arial"/>
          <w:lang w:val="en-AU"/>
        </w:rPr>
        <w:instrText xml:space="preserve"> ADDIN EN.CITE &lt;EndNote&gt;&lt;Cite&gt;&lt;Author&gt;DSITI&lt;/Author&gt;&lt;Year&gt;2017&lt;/Year&gt;&lt;RecNum&gt;31&lt;/RecNum&gt;&lt;DisplayText&gt;(DSITI, 2017)&lt;/DisplayText&gt;&lt;record&gt;&lt;rec-number&gt;31&lt;/rec-number&gt;&lt;foreign-keys&gt;&lt;key app="EN" db-id="vvtrt2pt4xpx5teta99vvtwg50vzve2aexae" timestamp="1493157361"&gt;31&lt;/key&gt;&lt;/foreign-keys&gt;&lt;ref-type name="Report"&gt;27&lt;/ref-type&gt;&lt;contributors&gt;&lt;authors&gt;&lt;author&gt;DSITI,&lt;/author&gt;&lt;/authors&gt;&lt;/contributors&gt;&lt;titles&gt;&lt;title&gt;Comparison of the proposed ecosystem protection guideline values for diuron in fresh and marine ecosystems with the existing guideline and protective concentration values&lt;/title&gt;&lt;/titles&gt;&lt;pages&gt;9 pp&lt;/pages&gt;&lt;dates&gt;&lt;year&gt;2017&lt;/year&gt;&lt;/dates&gt;&lt;pub-location&gt;Brisbane, Australia&lt;/pub-location&gt;&lt;publisher&gt;Department of Science, Information Technology and Innovation, Water Quality and Investigations&lt;/publisher&gt;&lt;urls&gt;&lt;/urls&gt;&lt;/record&gt;&lt;/Cite&gt;&lt;/EndNote&gt;</w:instrText>
      </w:r>
      <w:r w:rsidR="00C91BF5">
        <w:rPr>
          <w:rFonts w:cs="Arial"/>
          <w:lang w:val="en-AU"/>
        </w:rPr>
        <w:fldChar w:fldCharType="separate"/>
      </w:r>
      <w:r w:rsidR="009D4492">
        <w:rPr>
          <w:rFonts w:cs="Arial"/>
          <w:noProof/>
          <w:lang w:val="en-AU"/>
        </w:rPr>
        <w:t>(DSITI, 2017)</w:t>
      </w:r>
      <w:r w:rsidR="00C91BF5">
        <w:rPr>
          <w:rFonts w:cs="Arial"/>
          <w:lang w:val="en-AU"/>
        </w:rPr>
        <w:fldChar w:fldCharType="end"/>
      </w:r>
      <w:r w:rsidR="00C72CA2" w:rsidRPr="00C72CA2">
        <w:rPr>
          <w:rFonts w:cs="Arial"/>
          <w:lang w:val="en-AU"/>
        </w:rPr>
        <w:t>. If they are endorsed they will supersede the Water Quality Guidelines for the Great Barrier Reef Marine Park</w:t>
      </w:r>
      <w:r w:rsidR="008C7DB4">
        <w:rPr>
          <w:rFonts w:cs="Arial"/>
          <w:lang w:val="en-AU"/>
        </w:rPr>
        <w:t xml:space="preserve"> </w:t>
      </w:r>
      <w:r w:rsidR="00C91BF5">
        <w:rPr>
          <w:rFonts w:cs="Arial"/>
          <w:lang w:val="en-AU"/>
        </w:rPr>
        <w:fldChar w:fldCharType="begin"/>
      </w:r>
      <w:r w:rsidR="009D4492">
        <w:rPr>
          <w:rFonts w:cs="Arial"/>
          <w:lang w:val="en-AU"/>
        </w:rPr>
        <w:instrText xml:space="preserve"> ADDIN EN.CITE &lt;EndNote&gt;&lt;Cite&gt;&lt;Author&gt;GBRMPA&lt;/Author&gt;&lt;Year&gt;2017&lt;/Year&gt;&lt;RecNum&gt;32&lt;/RecNum&gt;&lt;DisplayText&gt;(GBRMPA, 2017)&lt;/DisplayText&gt;&lt;record&gt;&lt;rec-number&gt;32&lt;/rec-number&gt;&lt;foreign-keys&gt;&lt;key app="EN" db-id="vvtrt2pt4xpx5teta99vvtwg50vzve2aexae" timestamp="1493157362"&gt;32&lt;/key&gt;&lt;/foreign-keys&gt;&lt;ref-type name="Personal Communication"&gt;26&lt;/ref-type&gt;&lt;contributors&gt;&lt;authors&gt;&lt;author&gt;GBRMPA&lt;/author&gt;&lt;/authors&gt;&lt;/contributors&gt;&lt;titles&gt;&lt;title&gt;Water Quality Guidelines for the Great Barrier Reef. Great Barrier Reef Marine Park Authority, Townsville, Queensland, Australia. http://www.gbrmpa.gov.au/managing-the-reef/how-the-reefs-managed/water-quality-in-the-great-barrier-reef/water-quality-guidelines-for-the-great-barrier-reef&lt;/title&gt;&lt;/titles&gt;&lt;dates&gt;&lt;year&gt;2017&lt;/year&gt;&lt;/dates&gt;&lt;urls&gt;&lt;related-urls&gt;&lt;url&gt;http://www.gbrmpa.gov.au/managing-the-reef/how-the-reefs-managed/water-quality-in-the-great-barrier-reef/water-quality-guidelines-for-the-great-barrier-reef&lt;/url&gt;&lt;/related-urls&gt;&lt;/urls&gt;&lt;/record&gt;&lt;/Cite&gt;&lt;/EndNote&gt;</w:instrText>
      </w:r>
      <w:r w:rsidR="00C91BF5">
        <w:rPr>
          <w:rFonts w:cs="Arial"/>
          <w:lang w:val="en-AU"/>
        </w:rPr>
        <w:fldChar w:fldCharType="separate"/>
      </w:r>
      <w:r w:rsidR="009D4492">
        <w:rPr>
          <w:rFonts w:cs="Arial"/>
          <w:noProof/>
          <w:lang w:val="en-AU"/>
        </w:rPr>
        <w:t>(GBRMPA, 2017)</w:t>
      </w:r>
      <w:r w:rsidR="00C91BF5">
        <w:rPr>
          <w:rFonts w:cs="Arial"/>
          <w:lang w:val="en-AU"/>
        </w:rPr>
        <w:fldChar w:fldCharType="end"/>
      </w:r>
      <w:r w:rsidR="00C72CA2" w:rsidRPr="00C72CA2">
        <w:rPr>
          <w:rFonts w:cs="Arial"/>
          <w:lang w:val="en-AU"/>
        </w:rPr>
        <w:t>.</w:t>
      </w:r>
      <w:r w:rsidR="00C72CA2">
        <w:rPr>
          <w:rFonts w:cs="Arial"/>
          <w:lang w:val="en-AU"/>
        </w:rPr>
        <w:t>The p</w:t>
      </w:r>
      <w:r w:rsidR="004B6BC7" w:rsidRPr="004B6BC7">
        <w:rPr>
          <w:rFonts w:cs="Arial"/>
          <w:lang w:val="en-AU"/>
        </w:rPr>
        <w:t>roposed GV</w:t>
      </w:r>
      <w:r w:rsidR="00C72CA2">
        <w:rPr>
          <w:rFonts w:cs="Arial"/>
          <w:lang w:val="en-AU"/>
        </w:rPr>
        <w:t>s</w:t>
      </w:r>
      <w:r w:rsidR="004B6BC7" w:rsidRPr="004B6BC7">
        <w:rPr>
          <w:rFonts w:cs="Arial"/>
          <w:lang w:val="en-AU"/>
        </w:rPr>
        <w:t xml:space="preserve"> for diuron </w:t>
      </w:r>
      <w:r w:rsidR="00C72CA2">
        <w:rPr>
          <w:rFonts w:cs="Arial"/>
          <w:lang w:val="en-AU"/>
        </w:rPr>
        <w:t>in marine water (PC</w:t>
      </w:r>
      <w:r w:rsidR="004B6BC7">
        <w:rPr>
          <w:rFonts w:cs="Arial"/>
          <w:lang w:val="en-AU"/>
        </w:rPr>
        <w:t>99, 95, 90, 80) ha</w:t>
      </w:r>
      <w:r w:rsidR="00C72CA2">
        <w:rPr>
          <w:rFonts w:cs="Arial"/>
          <w:lang w:val="en-AU"/>
        </w:rPr>
        <w:t>ve</w:t>
      </w:r>
      <w:r w:rsidR="004B6BC7" w:rsidRPr="004B6BC7">
        <w:rPr>
          <w:rFonts w:cs="Arial"/>
          <w:lang w:val="en-AU"/>
        </w:rPr>
        <w:t xml:space="preserve"> recently been announced</w:t>
      </w:r>
      <w:r w:rsidR="004B6BC7">
        <w:rPr>
          <w:rFonts w:cs="Arial"/>
          <w:lang w:val="en-AU"/>
        </w:rPr>
        <w:t xml:space="preserve"> based on </w:t>
      </w:r>
      <w:r w:rsidR="004B6BC7" w:rsidRPr="004B6BC7">
        <w:rPr>
          <w:rFonts w:cs="Arial"/>
          <w:lang w:val="en-AU"/>
        </w:rPr>
        <w:t xml:space="preserve">ecotoxicity data </w:t>
      </w:r>
      <w:r w:rsidR="001A21B2">
        <w:rPr>
          <w:rFonts w:cs="Arial"/>
          <w:lang w:val="en-AU"/>
        </w:rPr>
        <w:t xml:space="preserve">for </w:t>
      </w:r>
      <w:r w:rsidR="001A21B2" w:rsidRPr="001A21B2">
        <w:rPr>
          <w:rFonts w:cs="Arial"/>
          <w:lang w:val="en-AU"/>
        </w:rPr>
        <w:t xml:space="preserve">20 marine phototrophic species </w:t>
      </w:r>
      <w:r w:rsidR="001A21B2">
        <w:rPr>
          <w:rFonts w:cs="Arial"/>
          <w:lang w:val="en-AU"/>
        </w:rPr>
        <w:t>belonging</w:t>
      </w:r>
      <w:r w:rsidR="001A21B2" w:rsidRPr="001A21B2">
        <w:rPr>
          <w:rFonts w:cs="Arial"/>
          <w:lang w:val="en-AU"/>
        </w:rPr>
        <w:t xml:space="preserve"> to six phyla and 11 classes</w:t>
      </w:r>
      <w:r w:rsidR="001A21B2">
        <w:rPr>
          <w:rFonts w:cs="Arial"/>
          <w:lang w:val="en-AU"/>
        </w:rPr>
        <w:t xml:space="preserve"> and have been classified as very high reliability </w:t>
      </w:r>
      <w:r w:rsidR="00C91BF5">
        <w:rPr>
          <w:rFonts w:cs="Arial"/>
          <w:lang w:val="en-AU"/>
        </w:rPr>
        <w:fldChar w:fldCharType="begin"/>
      </w:r>
      <w:r w:rsidR="009D4492">
        <w:rPr>
          <w:rFonts w:cs="Arial"/>
          <w:lang w:val="en-AU"/>
        </w:rPr>
        <w:instrText xml:space="preserve"> ADDIN EN.CITE &lt;EndNote&gt;&lt;Cite&gt;&lt;Author&gt;King&lt;/Author&gt;&lt;Year&gt;2017&lt;/Year&gt;&lt;RecNum&gt;33&lt;/RecNum&gt;&lt;DisplayText&gt;(King et al., 2017a)&lt;/DisplayText&gt;&lt;record&gt;&lt;rec-number&gt;33&lt;/rec-number&gt;&lt;foreign-keys&gt;&lt;key app="EN" db-id="vvtrt2pt4xpx5teta99vvtwg50vzve2aexae" timestamp="1493157363"&gt;33&lt;/key&gt;&lt;/foreign-keys&gt;&lt;ref-type name="Report"&gt;27&lt;/ref-type&gt;&lt;contributors&gt;&lt;authors&gt;&lt;author&gt;King, O.C.&lt;/author&gt;&lt;author&gt;Smith, R.A.&lt;/author&gt;&lt;author&gt;Warne M. St J.&lt;/author&gt;&lt;/authors&gt;&lt;/contributors&gt;&lt;titles&gt;&lt;title&gt;Proposed Default Guideline Values for Toxicants: Diuron – Marine&lt;/title&gt;&lt;/titles&gt;&lt;pages&gt;pp 37 &lt;/pages&gt;&lt;dates&gt;&lt;year&gt;2017&lt;/year&gt;&lt;/dates&gt;&lt;pub-location&gt;Brisbane, Australia&lt;/pub-location&gt;&lt;publisher&gt;Department of Science, Information Technology and Innovation&lt;/publisher&gt;&lt;urls&gt;&lt;/urls&gt;&lt;/record&gt;&lt;/Cite&gt;&lt;/EndNote&gt;</w:instrText>
      </w:r>
      <w:r w:rsidR="00C91BF5">
        <w:rPr>
          <w:rFonts w:cs="Arial"/>
          <w:lang w:val="en-AU"/>
        </w:rPr>
        <w:fldChar w:fldCharType="separate"/>
      </w:r>
      <w:r w:rsidR="009D4492">
        <w:rPr>
          <w:rFonts w:cs="Arial"/>
          <w:noProof/>
          <w:lang w:val="en-AU"/>
        </w:rPr>
        <w:t>(King et al., 2017a)</w:t>
      </w:r>
      <w:r w:rsidR="00C91BF5">
        <w:rPr>
          <w:rFonts w:cs="Arial"/>
          <w:lang w:val="en-AU"/>
        </w:rPr>
        <w:fldChar w:fldCharType="end"/>
      </w:r>
      <w:r w:rsidR="00662785">
        <w:rPr>
          <w:rFonts w:cs="Arial"/>
          <w:lang w:val="en-AU"/>
        </w:rPr>
        <w:t xml:space="preserve"> </w:t>
      </w:r>
      <w:r w:rsidR="00662785">
        <w:rPr>
          <w:lang w:val="en-AU" w:eastAsia="en-AU"/>
        </w:rPr>
        <w:t>(</w:t>
      </w:r>
      <w:r w:rsidR="00C91BF5">
        <w:rPr>
          <w:highlight w:val="yellow"/>
          <w:lang w:val="en-AU" w:eastAsia="en-AU"/>
        </w:rPr>
        <w:fldChar w:fldCharType="begin"/>
      </w:r>
      <w:r w:rsidR="006A6F28">
        <w:rPr>
          <w:highlight w:val="yellow"/>
          <w:lang w:val="en-AU" w:eastAsia="en-AU"/>
        </w:rPr>
        <w:instrText xml:space="preserve"> REF _Ref480726648 \h </w:instrText>
      </w:r>
      <w:r w:rsidR="00C91BF5">
        <w:rPr>
          <w:highlight w:val="yellow"/>
          <w:lang w:val="en-AU" w:eastAsia="en-AU"/>
        </w:rPr>
      </w:r>
      <w:r w:rsidR="00C91BF5">
        <w:rPr>
          <w:highlight w:val="yellow"/>
          <w:lang w:val="en-AU" w:eastAsia="en-AU"/>
        </w:rPr>
        <w:fldChar w:fldCharType="separate"/>
      </w:r>
      <w:r w:rsidR="00D12276">
        <w:t xml:space="preserve">Table </w:t>
      </w:r>
      <w:r w:rsidR="00D12276">
        <w:rPr>
          <w:noProof/>
        </w:rPr>
        <w:t>B</w:t>
      </w:r>
      <w:r w:rsidR="00D12276">
        <w:noBreakHyphen/>
      </w:r>
      <w:r w:rsidR="00D12276">
        <w:rPr>
          <w:noProof/>
        </w:rPr>
        <w:t>1</w:t>
      </w:r>
      <w:r w:rsidR="00C91BF5">
        <w:rPr>
          <w:highlight w:val="yellow"/>
          <w:lang w:val="en-AU" w:eastAsia="en-AU"/>
        </w:rPr>
        <w:fldChar w:fldCharType="end"/>
      </w:r>
      <w:r w:rsidR="00662785">
        <w:rPr>
          <w:lang w:val="en-AU" w:eastAsia="en-AU"/>
        </w:rPr>
        <w:t>)</w:t>
      </w:r>
      <w:r w:rsidR="004B6BC7" w:rsidRPr="004B6BC7">
        <w:rPr>
          <w:rFonts w:cs="Arial"/>
          <w:lang w:val="en-AU"/>
        </w:rPr>
        <w:t>.</w:t>
      </w:r>
      <w:r w:rsidR="00662785">
        <w:rPr>
          <w:rFonts w:cs="Arial"/>
          <w:lang w:val="en-AU"/>
        </w:rPr>
        <w:t xml:space="preserve"> </w:t>
      </w:r>
      <w:r w:rsidR="001A21B2">
        <w:rPr>
          <w:rFonts w:cs="Arial"/>
          <w:lang w:val="en-AU"/>
        </w:rPr>
        <w:t>Proposed</w:t>
      </w:r>
      <w:r w:rsidR="00662785">
        <w:rPr>
          <w:rFonts w:cs="Arial"/>
          <w:lang w:val="en-AU"/>
        </w:rPr>
        <w:t xml:space="preserve"> GVs for 2</w:t>
      </w:r>
      <w:r w:rsidR="00402D91">
        <w:rPr>
          <w:rFonts w:cs="Arial"/>
          <w:lang w:val="en-AU"/>
        </w:rPr>
        <w:t>7</w:t>
      </w:r>
      <w:r w:rsidR="00662785">
        <w:rPr>
          <w:rFonts w:cs="Arial"/>
          <w:lang w:val="en-AU"/>
        </w:rPr>
        <w:t xml:space="preserve"> other pesticides</w:t>
      </w:r>
      <w:r w:rsidR="007E5A1E">
        <w:rPr>
          <w:rFonts w:cs="Arial"/>
          <w:lang w:val="en-AU"/>
        </w:rPr>
        <w:t>,</w:t>
      </w:r>
      <w:r w:rsidR="00662785">
        <w:rPr>
          <w:rFonts w:cs="Arial"/>
          <w:lang w:val="en-AU"/>
        </w:rPr>
        <w:t xml:space="preserve"> relevant to the current monitoring period</w:t>
      </w:r>
      <w:r w:rsidR="007E5A1E">
        <w:rPr>
          <w:rFonts w:cs="Arial"/>
          <w:lang w:val="en-AU"/>
        </w:rPr>
        <w:t>,</w:t>
      </w:r>
      <w:r w:rsidR="00662785">
        <w:rPr>
          <w:rFonts w:cs="Arial"/>
          <w:lang w:val="en-AU"/>
        </w:rPr>
        <w:t xml:space="preserve"> have </w:t>
      </w:r>
      <w:r w:rsidR="007E5A1E">
        <w:rPr>
          <w:rFonts w:cs="Arial"/>
          <w:lang w:val="en-AU"/>
        </w:rPr>
        <w:t xml:space="preserve">also </w:t>
      </w:r>
      <w:r w:rsidR="00662785">
        <w:rPr>
          <w:rFonts w:cs="Arial"/>
          <w:lang w:val="en-AU"/>
        </w:rPr>
        <w:t xml:space="preserve">been </w:t>
      </w:r>
      <w:r w:rsidR="007E5A1E">
        <w:rPr>
          <w:rFonts w:cs="Arial"/>
          <w:lang w:val="en-AU"/>
        </w:rPr>
        <w:t xml:space="preserve">derived </w:t>
      </w:r>
      <w:r w:rsidR="00662785">
        <w:rPr>
          <w:rFonts w:cs="Arial"/>
          <w:lang w:val="en-AU"/>
        </w:rPr>
        <w:t xml:space="preserve">and </w:t>
      </w:r>
      <w:r w:rsidR="001A21B2">
        <w:rPr>
          <w:rFonts w:cs="Arial"/>
          <w:lang w:val="en-AU"/>
        </w:rPr>
        <w:t>wil</w:t>
      </w:r>
      <w:r w:rsidR="00472A6B">
        <w:rPr>
          <w:rFonts w:cs="Arial"/>
          <w:lang w:val="en-AU"/>
        </w:rPr>
        <w:t xml:space="preserve">l be submitted for endorsement </w:t>
      </w:r>
      <w:r w:rsidR="00662785">
        <w:rPr>
          <w:lang w:val="en-AU" w:eastAsia="en-AU"/>
        </w:rPr>
        <w:t>(</w:t>
      </w:r>
      <w:r w:rsidR="00C91BF5">
        <w:rPr>
          <w:highlight w:val="yellow"/>
          <w:lang w:val="en-AU" w:eastAsia="en-AU"/>
        </w:rPr>
        <w:fldChar w:fldCharType="begin"/>
      </w:r>
      <w:r w:rsidR="006A6F28">
        <w:rPr>
          <w:lang w:val="en-AU" w:eastAsia="en-AU"/>
        </w:rPr>
        <w:instrText xml:space="preserve"> REF _Ref480726661 \n \h </w:instrText>
      </w:r>
      <w:r w:rsidR="00C91BF5">
        <w:rPr>
          <w:highlight w:val="yellow"/>
          <w:lang w:val="en-AU" w:eastAsia="en-AU"/>
        </w:rPr>
      </w:r>
      <w:r w:rsidR="00C91BF5">
        <w:rPr>
          <w:highlight w:val="yellow"/>
          <w:lang w:val="en-AU" w:eastAsia="en-AU"/>
        </w:rPr>
        <w:fldChar w:fldCharType="separate"/>
      </w:r>
      <w:r w:rsidR="00D12276">
        <w:rPr>
          <w:lang w:val="en-AU" w:eastAsia="en-AU"/>
        </w:rPr>
        <w:t xml:space="preserve">Appendix B </w:t>
      </w:r>
      <w:r w:rsidR="00C91BF5">
        <w:rPr>
          <w:highlight w:val="yellow"/>
          <w:lang w:val="en-AU" w:eastAsia="en-AU"/>
        </w:rPr>
        <w:fldChar w:fldCharType="end"/>
      </w:r>
      <w:r w:rsidR="00C91BF5">
        <w:rPr>
          <w:highlight w:val="yellow"/>
          <w:lang w:val="en-AU" w:eastAsia="en-AU"/>
        </w:rPr>
        <w:fldChar w:fldCharType="begin"/>
      </w:r>
      <w:r w:rsidR="006A6F28">
        <w:rPr>
          <w:highlight w:val="yellow"/>
          <w:lang w:val="en-AU" w:eastAsia="en-AU"/>
        </w:rPr>
        <w:instrText xml:space="preserve"> REF _Ref480726648 \h </w:instrText>
      </w:r>
      <w:r w:rsidR="00C91BF5">
        <w:rPr>
          <w:highlight w:val="yellow"/>
          <w:lang w:val="en-AU" w:eastAsia="en-AU"/>
        </w:rPr>
      </w:r>
      <w:r w:rsidR="00C91BF5">
        <w:rPr>
          <w:highlight w:val="yellow"/>
          <w:lang w:val="en-AU" w:eastAsia="en-AU"/>
        </w:rPr>
        <w:fldChar w:fldCharType="separate"/>
      </w:r>
      <w:r w:rsidR="00D12276">
        <w:t xml:space="preserve">Table </w:t>
      </w:r>
      <w:r w:rsidR="00D12276">
        <w:rPr>
          <w:noProof/>
        </w:rPr>
        <w:t>B</w:t>
      </w:r>
      <w:r w:rsidR="00D12276">
        <w:noBreakHyphen/>
      </w:r>
      <w:r w:rsidR="00D12276">
        <w:rPr>
          <w:noProof/>
        </w:rPr>
        <w:t>1</w:t>
      </w:r>
      <w:r w:rsidR="00C91BF5">
        <w:rPr>
          <w:highlight w:val="yellow"/>
          <w:lang w:val="en-AU" w:eastAsia="en-AU"/>
        </w:rPr>
        <w:fldChar w:fldCharType="end"/>
      </w:r>
      <w:r w:rsidR="00662785">
        <w:rPr>
          <w:lang w:val="en-AU" w:eastAsia="en-AU"/>
        </w:rPr>
        <w:t>).</w:t>
      </w:r>
      <w:r w:rsidR="001A21B2" w:rsidRPr="001A21B2">
        <w:rPr>
          <w:lang w:val="en-AU" w:eastAsia="en-AU"/>
        </w:rPr>
        <w:t xml:space="preserve"> </w:t>
      </w:r>
    </w:p>
    <w:p w14:paraId="15720E56" w14:textId="77777777" w:rsidR="00152D7C" w:rsidRDefault="00152D7C" w:rsidP="00015606">
      <w:pPr>
        <w:spacing w:line="276" w:lineRule="auto"/>
        <w:rPr>
          <w:lang w:val="en-AU" w:eastAsia="en-AU"/>
        </w:rPr>
      </w:pPr>
    </w:p>
    <w:p w14:paraId="15720E57" w14:textId="4834D191" w:rsidR="009723BE" w:rsidRDefault="001A21B2" w:rsidP="00015606">
      <w:pPr>
        <w:spacing w:line="276" w:lineRule="auto"/>
        <w:rPr>
          <w:lang w:val="en-AU" w:eastAsia="en-AU"/>
        </w:rPr>
      </w:pPr>
      <w:r>
        <w:rPr>
          <w:lang w:val="en-AU" w:eastAsia="en-AU"/>
        </w:rPr>
        <w:t xml:space="preserve">For the purposes of this report, proposed GVs, trigger values and GBRMPA PC values are </w:t>
      </w:r>
      <w:r w:rsidR="00152D7C">
        <w:rPr>
          <w:lang w:val="en-AU" w:eastAsia="en-AU"/>
        </w:rPr>
        <w:t>tabled</w:t>
      </w:r>
      <w:r>
        <w:rPr>
          <w:lang w:val="en-AU" w:eastAsia="en-AU"/>
        </w:rPr>
        <w:t xml:space="preserve"> in </w:t>
      </w:r>
      <w:r w:rsidR="00C91BF5">
        <w:rPr>
          <w:highlight w:val="yellow"/>
          <w:lang w:val="en-AU" w:eastAsia="en-AU"/>
        </w:rPr>
        <w:fldChar w:fldCharType="begin"/>
      </w:r>
      <w:r w:rsidR="006A6F28">
        <w:rPr>
          <w:lang w:val="en-AU" w:eastAsia="en-AU"/>
        </w:rPr>
        <w:instrText xml:space="preserve"> REF _Ref480726661 \n \h </w:instrText>
      </w:r>
      <w:r w:rsidR="00C91BF5">
        <w:rPr>
          <w:highlight w:val="yellow"/>
          <w:lang w:val="en-AU" w:eastAsia="en-AU"/>
        </w:rPr>
      </w:r>
      <w:r w:rsidR="00C91BF5">
        <w:rPr>
          <w:highlight w:val="yellow"/>
          <w:lang w:val="en-AU" w:eastAsia="en-AU"/>
        </w:rPr>
        <w:fldChar w:fldCharType="separate"/>
      </w:r>
      <w:r w:rsidR="00D12276">
        <w:rPr>
          <w:lang w:val="en-AU" w:eastAsia="en-AU"/>
        </w:rPr>
        <w:t xml:space="preserve">Appendix B </w:t>
      </w:r>
      <w:r w:rsidR="00C91BF5">
        <w:rPr>
          <w:highlight w:val="yellow"/>
          <w:lang w:val="en-AU" w:eastAsia="en-AU"/>
        </w:rPr>
        <w:fldChar w:fldCharType="end"/>
      </w:r>
      <w:r>
        <w:rPr>
          <w:lang w:val="en-AU" w:eastAsia="en-AU"/>
        </w:rPr>
        <w:t xml:space="preserve">and monitoring data are compared against the proposed GVs. Whilst these proposed values are still undergoing endorsement, adopting these </w:t>
      </w:r>
      <w:r w:rsidRPr="001A21B2">
        <w:rPr>
          <w:lang w:val="en-AU" w:eastAsia="en-AU"/>
        </w:rPr>
        <w:t xml:space="preserve">proposed </w:t>
      </w:r>
      <w:r>
        <w:rPr>
          <w:lang w:val="en-AU" w:eastAsia="en-AU"/>
        </w:rPr>
        <w:t>GVs</w:t>
      </w:r>
      <w:r w:rsidRPr="001A21B2">
        <w:rPr>
          <w:lang w:val="en-AU" w:eastAsia="en-AU"/>
        </w:rPr>
        <w:t xml:space="preserve"> is recommended in preference to any of the GVs or protective concentration values derived prior to 2017</w:t>
      </w:r>
      <w:r>
        <w:rPr>
          <w:lang w:val="en-AU" w:eastAsia="en-AU"/>
        </w:rPr>
        <w:t xml:space="preserve"> </w:t>
      </w:r>
      <w:r w:rsidR="00C91BF5">
        <w:rPr>
          <w:lang w:val="en-AU" w:eastAsia="en-AU"/>
        </w:rPr>
        <w:fldChar w:fldCharType="begin"/>
      </w:r>
      <w:r w:rsidR="009D4492">
        <w:rPr>
          <w:lang w:val="en-AU" w:eastAsia="en-AU"/>
        </w:rPr>
        <w:instrText xml:space="preserve"> ADDIN EN.CITE &lt;EndNote&gt;&lt;Cite&gt;&lt;Author&gt;DSITI&lt;/Author&gt;&lt;Year&gt;2017&lt;/Year&gt;&lt;RecNum&gt;31&lt;/RecNum&gt;&lt;DisplayText&gt;(DSITI, 2017)&lt;/DisplayText&gt;&lt;record&gt;&lt;rec-number&gt;31&lt;/rec-number&gt;&lt;foreign-keys&gt;&lt;key app="EN" db-id="vvtrt2pt4xpx5teta99vvtwg50vzve2aexae" timestamp="1493157361"&gt;31&lt;/key&gt;&lt;/foreign-keys&gt;&lt;ref-type name="Report"&gt;27&lt;/ref-type&gt;&lt;contributors&gt;&lt;authors&gt;&lt;author&gt;DSITI,&lt;/author&gt;&lt;/authors&gt;&lt;/contributors&gt;&lt;titles&gt;&lt;title&gt;Comparison of the proposed ecosystem protection guideline values for diuron in fresh and marine ecosystems with the existing guideline and protective concentration values&lt;/title&gt;&lt;/titles&gt;&lt;pages&gt;9 pp&lt;/pages&gt;&lt;dates&gt;&lt;year&gt;2017&lt;/year&gt;&lt;/dates&gt;&lt;pub-location&gt;Brisbane, Australia&lt;/pub-location&gt;&lt;publisher&gt;Department of Science, Information Technology and Innovation, Water Quality and Investigations&lt;/publisher&gt;&lt;urls&gt;&lt;/urls&gt;&lt;/record&gt;&lt;/Cite&gt;&lt;/EndNote&gt;</w:instrText>
      </w:r>
      <w:r w:rsidR="00C91BF5">
        <w:rPr>
          <w:lang w:val="en-AU" w:eastAsia="en-AU"/>
        </w:rPr>
        <w:fldChar w:fldCharType="separate"/>
      </w:r>
      <w:r w:rsidR="009D4492">
        <w:rPr>
          <w:noProof/>
          <w:lang w:val="en-AU" w:eastAsia="en-AU"/>
        </w:rPr>
        <w:t>(DSITI, 2017)</w:t>
      </w:r>
      <w:r w:rsidR="00C91BF5">
        <w:rPr>
          <w:lang w:val="en-AU" w:eastAsia="en-AU"/>
        </w:rPr>
        <w:fldChar w:fldCharType="end"/>
      </w:r>
      <w:r w:rsidRPr="001A21B2">
        <w:rPr>
          <w:lang w:val="en-AU" w:eastAsia="en-AU"/>
        </w:rPr>
        <w:t>.</w:t>
      </w:r>
    </w:p>
    <w:p w14:paraId="15720E58" w14:textId="77777777" w:rsidR="005E379C" w:rsidRDefault="005E379C" w:rsidP="00015606">
      <w:pPr>
        <w:spacing w:line="276" w:lineRule="auto"/>
        <w:rPr>
          <w:lang w:val="en-AU" w:eastAsia="en-AU"/>
        </w:rPr>
      </w:pPr>
    </w:p>
    <w:p w14:paraId="15720E59" w14:textId="77777777" w:rsidR="005E379C" w:rsidRPr="009D4492" w:rsidRDefault="005E379C" w:rsidP="00220439">
      <w:pPr>
        <w:pStyle w:val="Heading30"/>
        <w:numPr>
          <w:ilvl w:val="2"/>
          <w:numId w:val="1"/>
        </w:numPr>
      </w:pPr>
      <w:bookmarkStart w:id="273" w:name="_Toc502499999"/>
      <w:r w:rsidRPr="009D4492">
        <w:t>Comparison to end-of-catchment annual loads</w:t>
      </w:r>
      <w:bookmarkEnd w:id="273"/>
      <w:r w:rsidRPr="009D4492">
        <w:t xml:space="preserve"> </w:t>
      </w:r>
    </w:p>
    <w:p w14:paraId="19F1B6C6" w14:textId="6B19B808" w:rsidR="009D4492" w:rsidRPr="009D4492" w:rsidRDefault="005E379C" w:rsidP="005E379C">
      <w:pPr>
        <w:spacing w:line="276" w:lineRule="auto"/>
        <w:rPr>
          <w:lang w:val="en-AU"/>
        </w:rPr>
      </w:pPr>
      <w:r w:rsidRPr="009D4492">
        <w:rPr>
          <w:lang w:val="en-AU"/>
        </w:rPr>
        <w:t>One of the aims of this program is to link inshore concentrations of pesticides and their end-of-catchment loads. One approach to</w:t>
      </w:r>
      <w:r w:rsidR="009F2A46" w:rsidRPr="009D4492">
        <w:rPr>
          <w:lang w:val="en-AU"/>
        </w:rPr>
        <w:t xml:space="preserve"> achieve</w:t>
      </w:r>
      <w:r w:rsidRPr="009D4492">
        <w:rPr>
          <w:lang w:val="en-AU"/>
        </w:rPr>
        <w:t xml:space="preserve"> this is to assess gradients in concentrations during flood plume events extending out from a river mouth into the Reef lagoon where fixed monitoring sites are located </w:t>
      </w:r>
      <w:r w:rsidR="0077066D" w:rsidRPr="009D4492">
        <w:rPr>
          <w:lang w:val="en-AU"/>
        </w:rPr>
        <w:t>adjacent to</w:t>
      </w:r>
      <w:r w:rsidRPr="009D4492">
        <w:rPr>
          <w:lang w:val="en-AU"/>
        </w:rPr>
        <w:t xml:space="preserve"> sensitive coral reefs and seagrass b</w:t>
      </w:r>
      <w:r w:rsidR="006A6F28" w:rsidRPr="009D4492">
        <w:rPr>
          <w:lang w:val="en-AU"/>
        </w:rPr>
        <w:t>ed</w:t>
      </w:r>
      <w:r w:rsidR="003664EA" w:rsidRPr="009D4492">
        <w:rPr>
          <w:lang w:val="en-AU"/>
        </w:rPr>
        <w:t>s</w:t>
      </w:r>
      <w:r w:rsidR="0077066D" w:rsidRPr="009D4492">
        <w:rPr>
          <w:lang w:val="en-AU"/>
        </w:rPr>
        <w:t xml:space="preserve"> (see flood plume monitoring, Section </w:t>
      </w:r>
      <w:r w:rsidR="00C91BF5" w:rsidRPr="009D4492">
        <w:rPr>
          <w:lang w:val="en-AU"/>
        </w:rPr>
        <w:fldChar w:fldCharType="begin"/>
      </w:r>
      <w:r w:rsidR="0077066D" w:rsidRPr="009D4492">
        <w:rPr>
          <w:lang w:val="en-AU"/>
        </w:rPr>
        <w:instrText xml:space="preserve"> REF _Ref480606014 \r \h </w:instrText>
      </w:r>
      <w:r w:rsidR="00C15196" w:rsidRPr="009D4492">
        <w:rPr>
          <w:lang w:val="en-AU"/>
        </w:rPr>
        <w:instrText xml:space="preserve"> \* MERGEFORMAT </w:instrText>
      </w:r>
      <w:r w:rsidR="00C91BF5" w:rsidRPr="009D4492">
        <w:rPr>
          <w:lang w:val="en-AU"/>
        </w:rPr>
      </w:r>
      <w:r w:rsidR="00C91BF5" w:rsidRPr="009D4492">
        <w:rPr>
          <w:lang w:val="en-AU"/>
        </w:rPr>
        <w:fldChar w:fldCharType="separate"/>
      </w:r>
      <w:r w:rsidR="00D12276">
        <w:rPr>
          <w:lang w:val="en-AU"/>
        </w:rPr>
        <w:t>3.2.2</w:t>
      </w:r>
      <w:r w:rsidR="00C91BF5" w:rsidRPr="009D4492">
        <w:rPr>
          <w:lang w:val="en-AU"/>
        </w:rPr>
        <w:fldChar w:fldCharType="end"/>
      </w:r>
      <w:r w:rsidR="0077066D" w:rsidRPr="009D4492">
        <w:rPr>
          <w:lang w:val="en-AU"/>
        </w:rPr>
        <w:t xml:space="preserve">). </w:t>
      </w:r>
    </w:p>
    <w:p w14:paraId="0C378924" w14:textId="77777777" w:rsidR="00B71525" w:rsidRDefault="00B71525" w:rsidP="005E379C">
      <w:pPr>
        <w:spacing w:line="276" w:lineRule="auto"/>
        <w:rPr>
          <w:highlight w:val="cyan"/>
          <w:lang w:val="en-AU"/>
        </w:rPr>
      </w:pPr>
    </w:p>
    <w:p w14:paraId="15720E5A" w14:textId="7F980940" w:rsidR="005E379C" w:rsidRDefault="00B71525" w:rsidP="005E379C">
      <w:pPr>
        <w:spacing w:line="276" w:lineRule="auto"/>
        <w:rPr>
          <w:lang w:val="en-AU"/>
        </w:rPr>
      </w:pPr>
      <w:r w:rsidRPr="008475BD">
        <w:rPr>
          <w:lang w:val="en-AU"/>
        </w:rPr>
        <w:t xml:space="preserve">Annual pesticide loads are determined and reported through an ongoing monitoring program for major catchments discharging to the Reef under the Great Barrier Reef Catchment Loads Monitoring Program (GBRCLMP). </w:t>
      </w:r>
      <w:r w:rsidR="008475BD">
        <w:rPr>
          <w:lang w:val="en-AU"/>
        </w:rPr>
        <w:t>Due to the timing of the MMP reporting cycle, t</w:t>
      </w:r>
      <w:r w:rsidRPr="008475BD">
        <w:rPr>
          <w:lang w:val="en-AU"/>
        </w:rPr>
        <w:t xml:space="preserve">he GBRCLMP </w:t>
      </w:r>
      <w:r w:rsidR="000A1670">
        <w:rPr>
          <w:lang w:val="en-AU"/>
        </w:rPr>
        <w:t>information</w:t>
      </w:r>
      <w:r w:rsidRPr="008475BD">
        <w:rPr>
          <w:lang w:val="en-AU"/>
        </w:rPr>
        <w:t xml:space="preserve"> </w:t>
      </w:r>
      <w:r w:rsidR="008475BD">
        <w:rPr>
          <w:lang w:val="en-AU"/>
        </w:rPr>
        <w:t xml:space="preserve">available to </w:t>
      </w:r>
      <w:r w:rsidRPr="008475BD">
        <w:rPr>
          <w:lang w:val="en-AU"/>
        </w:rPr>
        <w:t>the MMP is a single annual load per catchment</w:t>
      </w:r>
      <w:r w:rsidR="008475BD">
        <w:rPr>
          <w:lang w:val="en-AU"/>
        </w:rPr>
        <w:t xml:space="preserve">. In contrast, temporal (time integrated) </w:t>
      </w:r>
      <w:r w:rsidR="008475BD" w:rsidRPr="008475BD">
        <w:rPr>
          <w:lang w:val="en-AU"/>
        </w:rPr>
        <w:t>pesticide concentration</w:t>
      </w:r>
      <w:r w:rsidR="008475BD">
        <w:rPr>
          <w:lang w:val="en-AU"/>
        </w:rPr>
        <w:t>s</w:t>
      </w:r>
      <w:r w:rsidR="008475BD" w:rsidRPr="008475BD">
        <w:rPr>
          <w:lang w:val="en-AU"/>
        </w:rPr>
        <w:t xml:space="preserve"> are measured at the near-shore monitoring sites. </w:t>
      </w:r>
      <w:r w:rsidR="00465B04" w:rsidRPr="008475BD">
        <w:rPr>
          <w:lang w:val="en-AU"/>
        </w:rPr>
        <w:t xml:space="preserve">Quantitative comparisons between the </w:t>
      </w:r>
      <w:r w:rsidR="00465B04">
        <w:rPr>
          <w:lang w:val="en-AU"/>
        </w:rPr>
        <w:t>GBRCLMP load data</w:t>
      </w:r>
      <w:r w:rsidR="00465B04" w:rsidRPr="008475BD">
        <w:rPr>
          <w:lang w:val="en-AU"/>
        </w:rPr>
        <w:t xml:space="preserve"> and the pesticide </w:t>
      </w:r>
      <w:r w:rsidR="00465B04">
        <w:rPr>
          <w:lang w:val="en-AU"/>
        </w:rPr>
        <w:t>concentration data at the</w:t>
      </w:r>
      <w:r w:rsidR="00465B04" w:rsidRPr="008475BD">
        <w:rPr>
          <w:lang w:val="en-AU"/>
        </w:rPr>
        <w:t xml:space="preserve"> monitoring sites are, </w:t>
      </w:r>
      <w:r w:rsidR="00465B04">
        <w:rPr>
          <w:lang w:val="en-AU"/>
        </w:rPr>
        <w:t>therefore</w:t>
      </w:r>
      <w:r w:rsidR="00465B04" w:rsidRPr="008475BD">
        <w:rPr>
          <w:lang w:val="en-AU"/>
        </w:rPr>
        <w:t xml:space="preserve">, </w:t>
      </w:r>
      <w:r w:rsidR="00465B04">
        <w:rPr>
          <w:lang w:val="en-AU"/>
        </w:rPr>
        <w:t>not meaningful</w:t>
      </w:r>
      <w:r w:rsidR="00465B04" w:rsidRPr="008475BD">
        <w:rPr>
          <w:lang w:val="en-AU"/>
        </w:rPr>
        <w:t xml:space="preserve">. </w:t>
      </w:r>
      <w:r w:rsidR="008475BD">
        <w:rPr>
          <w:lang w:val="en-AU"/>
        </w:rPr>
        <w:t>T</w:t>
      </w:r>
      <w:r w:rsidRPr="008475BD">
        <w:rPr>
          <w:lang w:val="en-AU"/>
        </w:rPr>
        <w:t xml:space="preserve">emporal </w:t>
      </w:r>
      <w:r w:rsidR="008475BD">
        <w:rPr>
          <w:lang w:val="en-AU"/>
        </w:rPr>
        <w:t xml:space="preserve">end-of-catchment concentration </w:t>
      </w:r>
      <w:r w:rsidR="008475BD" w:rsidRPr="008475BD">
        <w:rPr>
          <w:lang w:val="en-AU"/>
        </w:rPr>
        <w:t>data</w:t>
      </w:r>
      <w:r w:rsidR="00A82DBA">
        <w:rPr>
          <w:lang w:val="en-AU"/>
        </w:rPr>
        <w:t xml:space="preserve">, reflecting </w:t>
      </w:r>
      <w:r w:rsidR="000A1670">
        <w:rPr>
          <w:lang w:val="en-AU"/>
        </w:rPr>
        <w:t xml:space="preserve">the </w:t>
      </w:r>
      <w:r w:rsidR="008475BD">
        <w:rPr>
          <w:lang w:val="en-AU"/>
        </w:rPr>
        <w:t xml:space="preserve">concentrations of pesticides being discharged with </w:t>
      </w:r>
      <w:r w:rsidRPr="008475BD">
        <w:rPr>
          <w:lang w:val="en-AU"/>
        </w:rPr>
        <w:t xml:space="preserve">individual flow events, </w:t>
      </w:r>
      <w:r w:rsidR="00A82DBA">
        <w:rPr>
          <w:lang w:val="en-AU"/>
        </w:rPr>
        <w:t>would allow</w:t>
      </w:r>
      <w:r w:rsidR="008475BD">
        <w:rPr>
          <w:lang w:val="en-AU"/>
        </w:rPr>
        <w:t xml:space="preserve"> correlations </w:t>
      </w:r>
      <w:r w:rsidR="00A82DBA">
        <w:rPr>
          <w:lang w:val="en-AU"/>
        </w:rPr>
        <w:t>with</w:t>
      </w:r>
      <w:r w:rsidR="008475BD">
        <w:rPr>
          <w:lang w:val="en-AU"/>
        </w:rPr>
        <w:t xml:space="preserve"> the </w:t>
      </w:r>
      <w:r w:rsidR="000A1670">
        <w:rPr>
          <w:lang w:val="en-AU"/>
        </w:rPr>
        <w:t xml:space="preserve">temporal </w:t>
      </w:r>
      <w:r w:rsidR="008475BD">
        <w:rPr>
          <w:lang w:val="en-AU"/>
        </w:rPr>
        <w:t xml:space="preserve">marine monitoring data (also expressed as concentrations) </w:t>
      </w:r>
      <w:r w:rsidR="00A82DBA">
        <w:rPr>
          <w:lang w:val="en-AU"/>
        </w:rPr>
        <w:t>to</w:t>
      </w:r>
      <w:r w:rsidR="00465B04">
        <w:rPr>
          <w:lang w:val="en-AU"/>
        </w:rPr>
        <w:t xml:space="preserve"> be investigated</w:t>
      </w:r>
      <w:r w:rsidR="008475BD">
        <w:rPr>
          <w:lang w:val="en-AU"/>
        </w:rPr>
        <w:t>.</w:t>
      </w:r>
      <w:r w:rsidRPr="008475BD">
        <w:rPr>
          <w:lang w:val="en-AU"/>
        </w:rPr>
        <w:t xml:space="preserve"> </w:t>
      </w:r>
      <w:r w:rsidR="000A1670">
        <w:rPr>
          <w:lang w:val="en-AU"/>
        </w:rPr>
        <w:t xml:space="preserve">In the absence of </w:t>
      </w:r>
      <w:r w:rsidR="00465B04">
        <w:rPr>
          <w:lang w:val="en-AU"/>
        </w:rPr>
        <w:t>end-of-</w:t>
      </w:r>
      <w:r w:rsidR="00A82DBA">
        <w:rPr>
          <w:lang w:val="en-AU"/>
        </w:rPr>
        <w:t>catchment</w:t>
      </w:r>
      <w:r w:rsidR="00465B04">
        <w:rPr>
          <w:lang w:val="en-AU"/>
        </w:rPr>
        <w:t xml:space="preserve"> tempo</w:t>
      </w:r>
      <w:r w:rsidR="00A82DBA">
        <w:rPr>
          <w:lang w:val="en-AU"/>
        </w:rPr>
        <w:t>r</w:t>
      </w:r>
      <w:r w:rsidR="00465B04">
        <w:rPr>
          <w:lang w:val="en-AU"/>
        </w:rPr>
        <w:t>al</w:t>
      </w:r>
      <w:r w:rsidR="000A1670">
        <w:rPr>
          <w:lang w:val="en-AU"/>
        </w:rPr>
        <w:t xml:space="preserve"> data</w:t>
      </w:r>
      <w:r w:rsidRPr="008475BD">
        <w:rPr>
          <w:lang w:val="en-AU"/>
        </w:rPr>
        <w:t xml:space="preserve">, </w:t>
      </w:r>
      <w:r w:rsidR="008475BD">
        <w:rPr>
          <w:lang w:val="en-AU"/>
        </w:rPr>
        <w:t xml:space="preserve">for the purposes of this report, </w:t>
      </w:r>
      <w:r w:rsidRPr="008475BD">
        <w:rPr>
          <w:lang w:val="en-AU"/>
        </w:rPr>
        <w:t xml:space="preserve">qualitative comparisons </w:t>
      </w:r>
      <w:r w:rsidR="000A1670">
        <w:rPr>
          <w:lang w:val="en-AU"/>
        </w:rPr>
        <w:t xml:space="preserve">of the types of pesticides discharge from </w:t>
      </w:r>
      <w:r w:rsidR="000A1670">
        <w:rPr>
          <w:lang w:val="en-AU"/>
        </w:rPr>
        <w:lastRenderedPageBreak/>
        <w:t xml:space="preserve">catchments and observed at monitoring sites </w:t>
      </w:r>
      <w:r w:rsidRPr="008475BD">
        <w:rPr>
          <w:lang w:val="en-AU"/>
        </w:rPr>
        <w:t>are performed</w:t>
      </w:r>
      <w:r w:rsidR="000A1670">
        <w:rPr>
          <w:lang w:val="en-AU"/>
        </w:rPr>
        <w:t xml:space="preserve"> (see </w:t>
      </w:r>
      <w:r w:rsidR="00A82DBA">
        <w:rPr>
          <w:lang w:val="en-AU"/>
        </w:rPr>
        <w:t>S</w:t>
      </w:r>
      <w:r w:rsidR="000A1670">
        <w:rPr>
          <w:lang w:val="en-AU"/>
        </w:rPr>
        <w:t xml:space="preserve">ection </w:t>
      </w:r>
      <w:r w:rsidR="000A1670">
        <w:rPr>
          <w:lang w:val="en-AU"/>
        </w:rPr>
        <w:fldChar w:fldCharType="begin"/>
      </w:r>
      <w:r w:rsidR="000A1670">
        <w:rPr>
          <w:lang w:val="en-AU"/>
        </w:rPr>
        <w:instrText xml:space="preserve"> REF _Ref501785760 \r \h </w:instrText>
      </w:r>
      <w:r w:rsidR="000A1670">
        <w:rPr>
          <w:lang w:val="en-AU"/>
        </w:rPr>
      </w:r>
      <w:r w:rsidR="000A1670">
        <w:rPr>
          <w:lang w:val="en-AU"/>
        </w:rPr>
        <w:fldChar w:fldCharType="separate"/>
      </w:r>
      <w:r w:rsidR="00D12276">
        <w:rPr>
          <w:lang w:val="en-AU"/>
        </w:rPr>
        <w:t>4.1.3</w:t>
      </w:r>
      <w:r w:rsidR="000A1670">
        <w:rPr>
          <w:lang w:val="en-AU"/>
        </w:rPr>
        <w:fldChar w:fldCharType="end"/>
      </w:r>
      <w:r w:rsidR="000A1670">
        <w:rPr>
          <w:lang w:val="en-AU"/>
        </w:rPr>
        <w:t>).</w:t>
      </w:r>
    </w:p>
    <w:p w14:paraId="15720E5B" w14:textId="77777777" w:rsidR="007A36C8" w:rsidRDefault="007A36C8" w:rsidP="005E379C">
      <w:pPr>
        <w:spacing w:line="276" w:lineRule="auto"/>
        <w:rPr>
          <w:lang w:val="en-AU"/>
        </w:rPr>
      </w:pPr>
    </w:p>
    <w:p w14:paraId="15720E5E" w14:textId="77777777" w:rsidR="00BA71CA" w:rsidRPr="004E0EF8" w:rsidRDefault="00035468" w:rsidP="00220439">
      <w:pPr>
        <w:pStyle w:val="Heading30"/>
        <w:numPr>
          <w:ilvl w:val="2"/>
          <w:numId w:val="1"/>
        </w:numPr>
      </w:pPr>
      <w:bookmarkStart w:id="274" w:name="_Toc502500000"/>
      <w:r>
        <w:t>Risk assessment</w:t>
      </w:r>
      <w:r w:rsidR="00BA71CA">
        <w:t xml:space="preserve"> </w:t>
      </w:r>
      <w:r w:rsidR="00EE27E7">
        <w:t>metric</w:t>
      </w:r>
      <w:r w:rsidR="00BA71CA">
        <w:t xml:space="preserve"> – PSII herbicide equivalent concentrations</w:t>
      </w:r>
      <w:bookmarkEnd w:id="274"/>
    </w:p>
    <w:p w14:paraId="15720E5F" w14:textId="7494EFDE" w:rsidR="0059608E" w:rsidRDefault="0059608E" w:rsidP="00015606">
      <w:pPr>
        <w:spacing w:line="276" w:lineRule="auto"/>
        <w:rPr>
          <w:lang w:val="en-AU"/>
        </w:rPr>
      </w:pPr>
      <w:r>
        <w:rPr>
          <w:rFonts w:cs="Arial"/>
          <w:lang w:val="en-AU"/>
        </w:rPr>
        <w:t xml:space="preserve">The risk of PSII inhibition </w:t>
      </w:r>
      <w:r w:rsidR="00650CD3">
        <w:rPr>
          <w:rFonts w:cs="Arial"/>
          <w:lang w:val="en-AU"/>
        </w:rPr>
        <w:t xml:space="preserve">to Reef species </w:t>
      </w:r>
      <w:r>
        <w:rPr>
          <w:rFonts w:cs="Arial"/>
          <w:lang w:val="en-AU"/>
        </w:rPr>
        <w:t xml:space="preserve">may be underestimated when concentrations of herbicides are considered individually rather than as part of a more complex mixture. </w:t>
      </w:r>
      <w:bookmarkStart w:id="275" w:name="_Toc405835414"/>
      <w:bookmarkStart w:id="276" w:name="_Toc406329914"/>
      <w:bookmarkStart w:id="277" w:name="_Toc406330008"/>
      <w:bookmarkStart w:id="278" w:name="_Toc406770637"/>
      <w:bookmarkStart w:id="279" w:name="_Toc405835415"/>
      <w:bookmarkStart w:id="280" w:name="_Toc406329915"/>
      <w:bookmarkStart w:id="281" w:name="_Toc406330009"/>
      <w:bookmarkStart w:id="282" w:name="_Toc406770638"/>
      <w:bookmarkStart w:id="283" w:name="_Toc405835416"/>
      <w:bookmarkStart w:id="284" w:name="_Toc406329916"/>
      <w:bookmarkStart w:id="285" w:name="_Toc406330010"/>
      <w:bookmarkStart w:id="286" w:name="_Toc406770639"/>
      <w:bookmarkStart w:id="287" w:name="_Toc405835417"/>
      <w:bookmarkStart w:id="288" w:name="_Toc406329917"/>
      <w:bookmarkStart w:id="289" w:name="_Toc406330011"/>
      <w:bookmarkStart w:id="290" w:name="_Toc406770640"/>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r>
        <w:rPr>
          <w:lang w:val="en-AU"/>
        </w:rPr>
        <w:t>In this report,</w:t>
      </w:r>
      <w:r w:rsidRPr="00C11BBA">
        <w:rPr>
          <w:lang w:val="en-AU"/>
        </w:rPr>
        <w:t xml:space="preserve"> </w:t>
      </w:r>
      <w:r>
        <w:rPr>
          <w:lang w:val="en-AU"/>
        </w:rPr>
        <w:t>PSII herbicide concentrations (ng L</w:t>
      </w:r>
      <w:r>
        <w:rPr>
          <w:vertAlign w:val="superscript"/>
          <w:lang w:val="en-AU"/>
        </w:rPr>
        <w:t>-1</w:t>
      </w:r>
      <w:r>
        <w:rPr>
          <w:lang w:val="en-AU"/>
        </w:rPr>
        <w:t>) are also expressed as PSII herbicide equivalent concentrations (PSII-</w:t>
      </w:r>
      <w:r w:rsidR="009D307F">
        <w:rPr>
          <w:lang w:val="en-AU"/>
        </w:rPr>
        <w:t>HEq</w:t>
      </w:r>
      <w:r>
        <w:rPr>
          <w:lang w:val="en-AU"/>
        </w:rPr>
        <w:t>) (ng L</w:t>
      </w:r>
      <w:r>
        <w:rPr>
          <w:vertAlign w:val="superscript"/>
          <w:lang w:val="en-AU"/>
        </w:rPr>
        <w:t>-1</w:t>
      </w:r>
      <w:r>
        <w:rPr>
          <w:lang w:val="en-AU"/>
        </w:rPr>
        <w:t>). PSII-</w:t>
      </w:r>
      <w:r w:rsidR="009D307F">
        <w:rPr>
          <w:lang w:val="en-AU"/>
        </w:rPr>
        <w:t>HEq</w:t>
      </w:r>
      <w:r>
        <w:rPr>
          <w:lang w:val="en-AU"/>
        </w:rPr>
        <w:t xml:space="preserve"> concentrations are derived using relative potency factors (RPF) for each individual PSII herbicide with respect to a reference PSII herbicide</w:t>
      </w:r>
      <w:r w:rsidR="00E264EA">
        <w:rPr>
          <w:lang w:val="en-AU"/>
        </w:rPr>
        <w:t>,</w:t>
      </w:r>
      <w:r>
        <w:rPr>
          <w:lang w:val="en-AU"/>
        </w:rPr>
        <w:t xml:space="preserve"> </w:t>
      </w:r>
      <w:r w:rsidRPr="008D6B14">
        <w:rPr>
          <w:lang w:val="en-AU"/>
        </w:rPr>
        <w:t>diuron</w:t>
      </w:r>
      <w:r>
        <w:rPr>
          <w:lang w:val="en-AU"/>
        </w:rPr>
        <w:t xml:space="preserve"> (</w:t>
      </w:r>
      <w:r w:rsidR="00C91BF5">
        <w:rPr>
          <w:highlight w:val="yellow"/>
          <w:lang w:val="en-AU"/>
        </w:rPr>
        <w:fldChar w:fldCharType="begin"/>
      </w:r>
      <w:r w:rsidR="006A6F28">
        <w:rPr>
          <w:lang w:val="en-AU"/>
        </w:rPr>
        <w:instrText xml:space="preserve"> REF _Ref480726820 \n \h </w:instrText>
      </w:r>
      <w:r w:rsidR="00C91BF5">
        <w:rPr>
          <w:highlight w:val="yellow"/>
          <w:lang w:val="en-AU"/>
        </w:rPr>
      </w:r>
      <w:r w:rsidR="00C91BF5">
        <w:rPr>
          <w:highlight w:val="yellow"/>
          <w:lang w:val="en-AU"/>
        </w:rPr>
        <w:fldChar w:fldCharType="separate"/>
      </w:r>
      <w:r w:rsidR="00D12276">
        <w:rPr>
          <w:lang w:val="en-AU"/>
        </w:rPr>
        <w:t xml:space="preserve">Appendix C </w:t>
      </w:r>
      <w:r w:rsidR="00C91BF5">
        <w:rPr>
          <w:highlight w:val="yellow"/>
          <w:lang w:val="en-AU"/>
        </w:rPr>
        <w:fldChar w:fldCharType="end"/>
      </w:r>
      <w:r w:rsidR="00C91BF5">
        <w:rPr>
          <w:highlight w:val="yellow"/>
          <w:lang w:val="en-AU"/>
        </w:rPr>
        <w:fldChar w:fldCharType="begin"/>
      </w:r>
      <w:r w:rsidR="006A6F28">
        <w:rPr>
          <w:highlight w:val="yellow"/>
          <w:lang w:val="en-AU"/>
        </w:rPr>
        <w:instrText xml:space="preserve"> REF _Ref480726847 \h </w:instrText>
      </w:r>
      <w:r w:rsidR="00C91BF5">
        <w:rPr>
          <w:highlight w:val="yellow"/>
          <w:lang w:val="en-AU"/>
        </w:rPr>
      </w:r>
      <w:r w:rsidR="00C91BF5">
        <w:rPr>
          <w:highlight w:val="yellow"/>
          <w:lang w:val="en-AU"/>
        </w:rPr>
        <w:fldChar w:fldCharType="separate"/>
      </w:r>
      <w:r w:rsidR="00D12276">
        <w:t xml:space="preserve">Table </w:t>
      </w:r>
      <w:r w:rsidR="00D12276">
        <w:rPr>
          <w:noProof/>
        </w:rPr>
        <w:t>C</w:t>
      </w:r>
      <w:r w:rsidR="00D12276">
        <w:noBreakHyphen/>
      </w:r>
      <w:r w:rsidR="00D12276">
        <w:rPr>
          <w:noProof/>
        </w:rPr>
        <w:t>3</w:t>
      </w:r>
      <w:r w:rsidR="00C91BF5">
        <w:rPr>
          <w:highlight w:val="yellow"/>
          <w:lang w:val="en-AU"/>
        </w:rPr>
        <w:fldChar w:fldCharType="end"/>
      </w:r>
      <w:r>
        <w:rPr>
          <w:lang w:val="en-AU"/>
        </w:rPr>
        <w:t>)</w:t>
      </w:r>
      <w:r w:rsidR="000D6E4C">
        <w:rPr>
          <w:lang w:val="en-AU"/>
        </w:rPr>
        <w:t>. The PSII-</w:t>
      </w:r>
      <w:r w:rsidR="009D307F">
        <w:rPr>
          <w:lang w:val="en-AU"/>
        </w:rPr>
        <w:t>HEq</w:t>
      </w:r>
      <w:r w:rsidR="000D6E4C">
        <w:rPr>
          <w:lang w:val="en-AU"/>
        </w:rPr>
        <w:t xml:space="preserve"> concentration </w:t>
      </w:r>
      <w:r>
        <w:rPr>
          <w:lang w:val="en-AU"/>
        </w:rPr>
        <w:t>is the sum of the individual RPF-corrected concentrations of each individual PSII herbicide</w:t>
      </w:r>
      <w:r w:rsidRPr="00B21F9F">
        <w:rPr>
          <w:lang w:val="en-AU"/>
        </w:rPr>
        <w:t xml:space="preserve"> </w:t>
      </w:r>
      <w:r>
        <w:rPr>
          <w:lang w:val="en-AU"/>
        </w:rPr>
        <w:t xml:space="preserve">detected in each sample (either grab sample or passive sampler). </w:t>
      </w:r>
      <w:r w:rsidR="000D1A8A">
        <w:rPr>
          <w:lang w:val="en-AU"/>
        </w:rPr>
        <w:t xml:space="preserve">RPF values for </w:t>
      </w:r>
      <w:r w:rsidR="00A90628">
        <w:rPr>
          <w:lang w:val="en-AU"/>
        </w:rPr>
        <w:t>8</w:t>
      </w:r>
      <w:r w:rsidR="000D1A8A">
        <w:rPr>
          <w:lang w:val="en-AU"/>
        </w:rPr>
        <w:t xml:space="preserve"> PSII herbicides </w:t>
      </w:r>
      <w:r w:rsidR="00A90628">
        <w:rPr>
          <w:lang w:val="en-AU"/>
        </w:rPr>
        <w:t xml:space="preserve">and 2 metabolites of atrazine </w:t>
      </w:r>
      <w:r w:rsidR="000D1A8A">
        <w:rPr>
          <w:lang w:val="en-AU"/>
        </w:rPr>
        <w:t>have been previously determined</w:t>
      </w:r>
      <w:r w:rsidR="00D627F1">
        <w:rPr>
          <w:lang w:val="en-AU"/>
        </w:rPr>
        <w:t xml:space="preserve"> </w:t>
      </w:r>
      <w:r w:rsidR="00B31A9E">
        <w:rPr>
          <w:lang w:val="en-AU"/>
        </w:rPr>
        <w:t>based on</w:t>
      </w:r>
      <w:r w:rsidR="00B31A9E" w:rsidRPr="00B31A9E">
        <w:rPr>
          <w:lang w:val="en-AU"/>
        </w:rPr>
        <w:t xml:space="preserve"> the ecotoxicity response of five microalgal marine species (including zooxanthellae) and one freshwater microalgal species </w:t>
      </w:r>
      <w:r w:rsidR="00D627F1">
        <w:rPr>
          <w:lang w:val="en-AU"/>
        </w:rPr>
        <w:t>(</w:t>
      </w:r>
      <w:r w:rsidR="00A90628">
        <w:rPr>
          <w:lang w:val="en-AU"/>
        </w:rPr>
        <w:t xml:space="preserve">see </w:t>
      </w:r>
      <w:r w:rsidR="00C15196">
        <w:rPr>
          <w:lang w:val="en-AU"/>
        </w:rPr>
        <w:t>Appendix C</w:t>
      </w:r>
      <w:r w:rsidR="00D627F1">
        <w:rPr>
          <w:lang w:val="en-AU"/>
        </w:rPr>
        <w:t>)</w:t>
      </w:r>
      <w:r w:rsidR="000D1A8A">
        <w:rPr>
          <w:lang w:val="en-AU"/>
        </w:rPr>
        <w:t xml:space="preserve">. </w:t>
      </w:r>
      <w:r>
        <w:rPr>
          <w:lang w:val="en-AU"/>
        </w:rPr>
        <w:t>Also reported are the PSII-</w:t>
      </w:r>
      <w:r w:rsidR="009D307F">
        <w:rPr>
          <w:lang w:val="en-AU"/>
        </w:rPr>
        <w:t>HEq</w:t>
      </w:r>
      <w:r>
        <w:rPr>
          <w:lang w:val="en-AU"/>
        </w:rPr>
        <w:t xml:space="preserve"> Max values (the maximum PSII-</w:t>
      </w:r>
      <w:r w:rsidR="009D307F">
        <w:rPr>
          <w:lang w:val="en-AU"/>
        </w:rPr>
        <w:t>HEq</w:t>
      </w:r>
      <w:r>
        <w:rPr>
          <w:lang w:val="en-AU"/>
        </w:rPr>
        <w:t xml:space="preserve"> concentration detected at a given fixed monitoring site in a monitoring year) and PSII-</w:t>
      </w:r>
      <w:r w:rsidR="009D307F">
        <w:rPr>
          <w:lang w:val="en-AU"/>
        </w:rPr>
        <w:t>HEq</w:t>
      </w:r>
      <w:r>
        <w:rPr>
          <w:lang w:val="en-AU"/>
        </w:rPr>
        <w:t xml:space="preserve"> Wet Avg </w:t>
      </w:r>
      <w:r w:rsidR="00EE27E7">
        <w:rPr>
          <w:lang w:val="en-AU"/>
        </w:rPr>
        <w:t>and PSII-</w:t>
      </w:r>
      <w:r w:rsidR="009D307F">
        <w:rPr>
          <w:lang w:val="en-AU"/>
        </w:rPr>
        <w:t>HEq</w:t>
      </w:r>
      <w:r w:rsidR="00EE27E7">
        <w:rPr>
          <w:lang w:val="en-AU"/>
        </w:rPr>
        <w:t xml:space="preserve"> Dry Avg </w:t>
      </w:r>
      <w:r>
        <w:rPr>
          <w:lang w:val="en-AU"/>
        </w:rPr>
        <w:t>values (the average PSII-</w:t>
      </w:r>
      <w:r w:rsidR="009D307F">
        <w:rPr>
          <w:lang w:val="en-AU"/>
        </w:rPr>
        <w:t>HEq</w:t>
      </w:r>
      <w:r>
        <w:rPr>
          <w:lang w:val="en-AU"/>
        </w:rPr>
        <w:t xml:space="preserve"> concentration detected at a given fixed monitoring site during the wet </w:t>
      </w:r>
      <w:r w:rsidR="0083578F">
        <w:rPr>
          <w:lang w:val="en-AU"/>
        </w:rPr>
        <w:t>and dry season</w:t>
      </w:r>
      <w:r w:rsidR="00EE27E7">
        <w:rPr>
          <w:lang w:val="en-AU"/>
        </w:rPr>
        <w:t>, respectively)</w:t>
      </w:r>
      <w:r>
        <w:rPr>
          <w:lang w:val="en-AU"/>
        </w:rPr>
        <w:t>. These values allow a</w:t>
      </w:r>
      <w:r w:rsidR="00C15196">
        <w:rPr>
          <w:lang w:val="en-AU"/>
        </w:rPr>
        <w:t>n</w:t>
      </w:r>
      <w:r>
        <w:rPr>
          <w:lang w:val="en-AU"/>
        </w:rPr>
        <w:t xml:space="preserve"> assessment of the </w:t>
      </w:r>
      <w:r w:rsidR="00E264EA">
        <w:rPr>
          <w:lang w:val="en-AU"/>
        </w:rPr>
        <w:t>worst-case</w:t>
      </w:r>
      <w:r>
        <w:rPr>
          <w:lang w:val="en-AU"/>
        </w:rPr>
        <w:t xml:space="preserve"> scenario of PSII herbicide exposure encountered during a monitoring year</w:t>
      </w:r>
      <w:r w:rsidR="007E5C5B">
        <w:rPr>
          <w:lang w:val="en-AU"/>
        </w:rPr>
        <w:t>,</w:t>
      </w:r>
      <w:r>
        <w:rPr>
          <w:lang w:val="en-AU"/>
        </w:rPr>
        <w:t xml:space="preserve"> the seasonal variation in the risk of PSII inhibition, and their trends over time. </w:t>
      </w:r>
    </w:p>
    <w:p w14:paraId="15720E60" w14:textId="77777777" w:rsidR="00502D22" w:rsidRDefault="00502D22" w:rsidP="00015606">
      <w:pPr>
        <w:spacing w:line="276" w:lineRule="auto"/>
        <w:rPr>
          <w:lang w:val="en-AU"/>
        </w:rPr>
      </w:pPr>
    </w:p>
    <w:p w14:paraId="15720E61" w14:textId="571808B0" w:rsidR="00420835" w:rsidRDefault="0059608E" w:rsidP="00015606">
      <w:pPr>
        <w:pStyle w:val="ListParagraph"/>
        <w:spacing w:line="276" w:lineRule="auto"/>
        <w:ind w:left="0"/>
        <w:contextualSpacing w:val="0"/>
        <w:rPr>
          <w:lang w:val="en-AU"/>
        </w:rPr>
      </w:pPr>
      <w:r>
        <w:rPr>
          <w:lang w:val="en-AU" w:eastAsia="en-AU"/>
        </w:rPr>
        <w:t>To interpret</w:t>
      </w:r>
      <w:r w:rsidRPr="00C11BBA">
        <w:rPr>
          <w:lang w:val="en-AU" w:eastAsia="en-AU"/>
        </w:rPr>
        <w:t xml:space="preserve"> data reported as PSII-</w:t>
      </w:r>
      <w:r w:rsidR="009D307F">
        <w:rPr>
          <w:lang w:val="en-AU" w:eastAsia="en-AU"/>
        </w:rPr>
        <w:t>HEq</w:t>
      </w:r>
      <w:r>
        <w:rPr>
          <w:lang w:val="en-AU" w:eastAsia="en-AU"/>
        </w:rPr>
        <w:t xml:space="preserve">, the </w:t>
      </w:r>
      <w:r w:rsidR="00650CD3">
        <w:rPr>
          <w:lang w:val="en-AU" w:eastAsia="en-AU"/>
        </w:rPr>
        <w:t>“</w:t>
      </w:r>
      <w:r>
        <w:rPr>
          <w:lang w:val="en-AU" w:eastAsia="en-AU"/>
        </w:rPr>
        <w:t>PSII Herbicide</w:t>
      </w:r>
      <w:r w:rsidRPr="00C11BBA">
        <w:rPr>
          <w:lang w:val="en-AU" w:eastAsia="en-AU"/>
        </w:rPr>
        <w:t xml:space="preserve"> </w:t>
      </w:r>
      <w:r>
        <w:rPr>
          <w:lang w:val="en-AU" w:eastAsia="en-AU"/>
        </w:rPr>
        <w:t>I</w:t>
      </w:r>
      <w:r w:rsidRPr="00C11BBA">
        <w:rPr>
          <w:lang w:val="en-AU" w:eastAsia="en-AU"/>
        </w:rPr>
        <w:t>ndex</w:t>
      </w:r>
      <w:r w:rsidR="00650CD3">
        <w:rPr>
          <w:lang w:val="en-AU" w:eastAsia="en-AU"/>
        </w:rPr>
        <w:t>”</w:t>
      </w:r>
      <w:r w:rsidRPr="00C11BBA">
        <w:rPr>
          <w:lang w:val="en-AU" w:eastAsia="en-AU"/>
        </w:rPr>
        <w:t xml:space="preserve"> has been compiled </w:t>
      </w:r>
      <w:r>
        <w:rPr>
          <w:lang w:val="en-AU" w:eastAsia="en-AU"/>
        </w:rPr>
        <w:t>(</w:t>
      </w:r>
      <w:r w:rsidRPr="00C11BBA">
        <w:rPr>
          <w:lang w:val="en-AU" w:eastAsia="en-AU"/>
        </w:rPr>
        <w:t>with GBRMPA</w:t>
      </w:r>
      <w:r>
        <w:rPr>
          <w:lang w:val="en-AU" w:eastAsia="en-AU"/>
        </w:rPr>
        <w:t>)</w:t>
      </w:r>
      <w:r w:rsidR="00AB1489">
        <w:rPr>
          <w:lang w:val="en-AU" w:eastAsia="en-AU"/>
        </w:rPr>
        <w:t xml:space="preserve">. This </w:t>
      </w:r>
      <w:r w:rsidR="00AB1489">
        <w:rPr>
          <w:lang w:val="en-AU"/>
        </w:rPr>
        <w:t xml:space="preserve">Index defines ranges of </w:t>
      </w:r>
      <w:r w:rsidR="00AB1489" w:rsidRPr="00C11BBA">
        <w:rPr>
          <w:lang w:val="en-AU" w:eastAsia="en-AU"/>
        </w:rPr>
        <w:t>PSII-</w:t>
      </w:r>
      <w:r w:rsidR="009D307F">
        <w:rPr>
          <w:lang w:val="en-AU" w:eastAsia="en-AU"/>
        </w:rPr>
        <w:t>HEq</w:t>
      </w:r>
      <w:r w:rsidR="00AB1489">
        <w:rPr>
          <w:lang w:val="en-AU"/>
        </w:rPr>
        <w:t xml:space="preserve"> </w:t>
      </w:r>
      <w:r w:rsidR="00AB1489">
        <w:rPr>
          <w:lang w:val="en-AU" w:eastAsia="en-AU"/>
        </w:rPr>
        <w:t xml:space="preserve">that equate with different levels of PSII inhibition </w:t>
      </w:r>
      <w:r w:rsidR="00AB1489">
        <w:rPr>
          <w:lang w:val="en-AU"/>
        </w:rPr>
        <w:t xml:space="preserve">(based on published toxicity data using Reef relevant species) </w:t>
      </w:r>
      <w:r>
        <w:rPr>
          <w:lang w:val="en-AU" w:eastAsia="en-AU"/>
        </w:rPr>
        <w:t>(</w:t>
      </w:r>
      <w:r w:rsidR="00C91BF5">
        <w:rPr>
          <w:lang w:val="en-AU" w:eastAsia="en-AU"/>
        </w:rPr>
        <w:fldChar w:fldCharType="begin"/>
      </w:r>
      <w:r w:rsidR="006A6F28">
        <w:rPr>
          <w:lang w:val="en-AU" w:eastAsia="en-AU"/>
        </w:rPr>
        <w:instrText xml:space="preserve"> REF _Ref480726901 \n \h </w:instrText>
      </w:r>
      <w:r w:rsidR="00C91BF5">
        <w:rPr>
          <w:lang w:val="en-AU" w:eastAsia="en-AU"/>
        </w:rPr>
      </w:r>
      <w:r w:rsidR="00C91BF5">
        <w:rPr>
          <w:lang w:val="en-AU" w:eastAsia="en-AU"/>
        </w:rPr>
        <w:fldChar w:fldCharType="separate"/>
      </w:r>
      <w:r w:rsidR="00D12276">
        <w:rPr>
          <w:lang w:val="en-AU" w:eastAsia="en-AU"/>
        </w:rPr>
        <w:t xml:space="preserve">Appendix C </w:t>
      </w:r>
      <w:r w:rsidR="00C91BF5">
        <w:rPr>
          <w:lang w:val="en-AU" w:eastAsia="en-AU"/>
        </w:rPr>
        <w:fldChar w:fldCharType="end"/>
      </w:r>
      <w:r w:rsidR="00C91BF5">
        <w:rPr>
          <w:highlight w:val="yellow"/>
          <w:lang w:val="en-AU" w:eastAsia="en-AU"/>
        </w:rPr>
        <w:fldChar w:fldCharType="begin"/>
      </w:r>
      <w:r w:rsidR="006A6F28">
        <w:rPr>
          <w:lang w:val="en-AU" w:eastAsia="en-AU"/>
        </w:rPr>
        <w:instrText xml:space="preserve"> REF _Ref480726882 \h </w:instrText>
      </w:r>
      <w:r w:rsidR="00C91BF5">
        <w:rPr>
          <w:highlight w:val="yellow"/>
          <w:lang w:val="en-AU" w:eastAsia="en-AU"/>
        </w:rPr>
      </w:r>
      <w:r w:rsidR="00C91BF5">
        <w:rPr>
          <w:highlight w:val="yellow"/>
          <w:lang w:val="en-AU" w:eastAsia="en-AU"/>
        </w:rPr>
        <w:fldChar w:fldCharType="separate"/>
      </w:r>
      <w:r w:rsidR="00D12276">
        <w:t xml:space="preserve">Table </w:t>
      </w:r>
      <w:r w:rsidR="00D12276">
        <w:rPr>
          <w:noProof/>
        </w:rPr>
        <w:t>C</w:t>
      </w:r>
      <w:r w:rsidR="00D12276">
        <w:noBreakHyphen/>
      </w:r>
      <w:r w:rsidR="00D12276">
        <w:rPr>
          <w:noProof/>
        </w:rPr>
        <w:t>4</w:t>
      </w:r>
      <w:r w:rsidR="00C91BF5">
        <w:rPr>
          <w:highlight w:val="yellow"/>
          <w:lang w:val="en-AU" w:eastAsia="en-AU"/>
        </w:rPr>
        <w:fldChar w:fldCharType="end"/>
      </w:r>
      <w:r>
        <w:rPr>
          <w:lang w:val="en-AU" w:eastAsia="en-AU"/>
        </w:rPr>
        <w:t>)</w:t>
      </w:r>
      <w:r w:rsidRPr="00C11BBA">
        <w:rPr>
          <w:lang w:val="en-AU" w:eastAsia="en-AU"/>
        </w:rPr>
        <w:t xml:space="preserve">. </w:t>
      </w:r>
      <w:r w:rsidR="00AB1489">
        <w:rPr>
          <w:lang w:val="en-AU" w:eastAsia="en-AU"/>
        </w:rPr>
        <w:t>C</w:t>
      </w:r>
      <w:r w:rsidR="00AB1489">
        <w:rPr>
          <w:lang w:val="en-AU"/>
        </w:rPr>
        <w:t xml:space="preserve">lassifying the data generated in this MMP </w:t>
      </w:r>
      <w:r w:rsidR="00650CD3">
        <w:rPr>
          <w:lang w:val="en-AU"/>
        </w:rPr>
        <w:t xml:space="preserve">report </w:t>
      </w:r>
      <w:r w:rsidR="00AB1489">
        <w:rPr>
          <w:lang w:val="en-AU"/>
        </w:rPr>
        <w:t xml:space="preserve">based on these index categories </w:t>
      </w:r>
      <w:r>
        <w:rPr>
          <w:lang w:val="en-AU"/>
        </w:rPr>
        <w:t xml:space="preserve">provides an indication of the additive effects of PSII herbicides on </w:t>
      </w:r>
      <w:r w:rsidR="00650CD3">
        <w:rPr>
          <w:lang w:val="en-AU"/>
        </w:rPr>
        <w:t xml:space="preserve">marine </w:t>
      </w:r>
      <w:r w:rsidR="00AB1489">
        <w:rPr>
          <w:lang w:val="en-AU"/>
        </w:rPr>
        <w:t>flora</w:t>
      </w:r>
      <w:r w:rsidR="00650CD3">
        <w:rPr>
          <w:lang w:val="en-AU"/>
        </w:rPr>
        <w:t>, including sea grasses and algae</w:t>
      </w:r>
      <w:r w:rsidR="000D6E4C">
        <w:rPr>
          <w:lang w:val="en-AU"/>
        </w:rPr>
        <w:t xml:space="preserve">, and </w:t>
      </w:r>
      <w:r w:rsidR="004D1439">
        <w:rPr>
          <w:lang w:val="en-AU"/>
        </w:rPr>
        <w:t>coral zooxanthellae</w:t>
      </w:r>
      <w:r w:rsidR="00571A50">
        <w:rPr>
          <w:lang w:val="en-AU"/>
        </w:rPr>
        <w:t xml:space="preserve"> </w:t>
      </w:r>
      <w:r w:rsidR="002075A3">
        <w:rPr>
          <w:lang w:val="en-AU"/>
        </w:rPr>
        <w:t>(</w:t>
      </w:r>
      <w:r w:rsidR="007058AB">
        <w:rPr>
          <w:lang w:val="en-AU"/>
        </w:rPr>
        <w:t xml:space="preserve">see </w:t>
      </w:r>
      <w:r w:rsidR="00C91BF5">
        <w:rPr>
          <w:highlight w:val="yellow"/>
          <w:lang w:val="en-AU"/>
        </w:rPr>
        <w:fldChar w:fldCharType="begin"/>
      </w:r>
      <w:r w:rsidR="007058AB">
        <w:rPr>
          <w:lang w:val="en-AU"/>
        </w:rPr>
        <w:instrText xml:space="preserve"> REF _Ref480726972 \n \h </w:instrText>
      </w:r>
      <w:r w:rsidR="00C91BF5">
        <w:rPr>
          <w:highlight w:val="yellow"/>
          <w:lang w:val="en-AU"/>
        </w:rPr>
      </w:r>
      <w:r w:rsidR="00C91BF5">
        <w:rPr>
          <w:highlight w:val="yellow"/>
          <w:lang w:val="en-AU"/>
        </w:rPr>
        <w:fldChar w:fldCharType="separate"/>
      </w:r>
      <w:r w:rsidR="00D12276">
        <w:rPr>
          <w:lang w:val="en-AU"/>
        </w:rPr>
        <w:t xml:space="preserve">Appendix C </w:t>
      </w:r>
      <w:r w:rsidR="00C91BF5">
        <w:rPr>
          <w:highlight w:val="yellow"/>
          <w:lang w:val="en-AU"/>
        </w:rPr>
        <w:fldChar w:fldCharType="end"/>
      </w:r>
      <w:r w:rsidR="007058AB">
        <w:rPr>
          <w:lang w:val="en-AU"/>
        </w:rPr>
        <w:t>for further information</w:t>
      </w:r>
      <w:r w:rsidR="00A357D8">
        <w:rPr>
          <w:lang w:val="en-AU"/>
        </w:rPr>
        <w:t>)</w:t>
      </w:r>
      <w:r w:rsidR="00535BFB">
        <w:rPr>
          <w:lang w:val="en-AU"/>
        </w:rPr>
        <w:t xml:space="preserve">. </w:t>
      </w:r>
      <w:r>
        <w:rPr>
          <w:lang w:val="en-AU"/>
        </w:rPr>
        <w:t xml:space="preserve">The Index can quickly indicate the extent of PSII inhibition encountered at a given site (and its potential consequences), and </w:t>
      </w:r>
      <w:r w:rsidR="00AB1489">
        <w:rPr>
          <w:lang w:val="en-AU"/>
        </w:rPr>
        <w:t xml:space="preserve">provides </w:t>
      </w:r>
      <w:r>
        <w:rPr>
          <w:lang w:val="en-AU"/>
        </w:rPr>
        <w:t>a rapid indication of the duration and/or frequency that a site is exposed to elev</w:t>
      </w:r>
      <w:r w:rsidR="00EE27E7">
        <w:rPr>
          <w:lang w:val="en-AU"/>
        </w:rPr>
        <w:t>ated</w:t>
      </w:r>
      <w:r w:rsidR="00AB1489">
        <w:rPr>
          <w:lang w:val="en-AU"/>
        </w:rPr>
        <w:t xml:space="preserve"> cumulative</w:t>
      </w:r>
      <w:r w:rsidR="00EE27E7">
        <w:rPr>
          <w:lang w:val="en-AU"/>
        </w:rPr>
        <w:t xml:space="preserve"> levels of PSII herbicides.</w:t>
      </w:r>
      <w:r w:rsidR="00535BFB" w:rsidRPr="00535BFB">
        <w:rPr>
          <w:lang w:val="en-AU"/>
        </w:rPr>
        <w:t xml:space="preserve"> </w:t>
      </w:r>
      <w:r w:rsidR="00535BFB">
        <w:rPr>
          <w:lang w:val="en-AU"/>
        </w:rPr>
        <w:t xml:space="preserve">A </w:t>
      </w:r>
      <w:r w:rsidR="00535BFB" w:rsidRPr="00535BFB">
        <w:rPr>
          <w:lang w:val="en-AU"/>
        </w:rPr>
        <w:t xml:space="preserve">Category 1 </w:t>
      </w:r>
      <w:r w:rsidR="00535BFB">
        <w:rPr>
          <w:lang w:val="en-AU"/>
        </w:rPr>
        <w:t xml:space="preserve">classification </w:t>
      </w:r>
      <w:r w:rsidR="00535BFB" w:rsidRPr="00535BFB">
        <w:rPr>
          <w:lang w:val="en-AU"/>
        </w:rPr>
        <w:t>(≥900 ng L</w:t>
      </w:r>
      <w:r w:rsidR="00535BFB" w:rsidRPr="00535BFB">
        <w:rPr>
          <w:vertAlign w:val="superscript"/>
          <w:lang w:val="en-AU"/>
        </w:rPr>
        <w:t>-1</w:t>
      </w:r>
      <w:r w:rsidR="00535BFB" w:rsidRPr="00535BFB">
        <w:rPr>
          <w:lang w:val="en-AU"/>
        </w:rPr>
        <w:t xml:space="preserve">) </w:t>
      </w:r>
      <w:r w:rsidR="00535BFB">
        <w:rPr>
          <w:lang w:val="en-AU"/>
        </w:rPr>
        <w:t xml:space="preserve">is </w:t>
      </w:r>
      <w:r w:rsidR="00535BFB" w:rsidRPr="00535BFB">
        <w:rPr>
          <w:lang w:val="en-AU"/>
        </w:rPr>
        <w:t xml:space="preserve">equivalent to exceeding the </w:t>
      </w:r>
      <w:r w:rsidR="00535BFB">
        <w:rPr>
          <w:lang w:val="en-AU"/>
        </w:rPr>
        <w:t>GBRMPA PC99 value</w:t>
      </w:r>
      <w:r w:rsidR="00535BFB" w:rsidRPr="00535BFB">
        <w:rPr>
          <w:lang w:val="en-AU"/>
        </w:rPr>
        <w:t xml:space="preserve"> for diuron</w:t>
      </w:r>
      <w:r w:rsidR="00535BFB">
        <w:rPr>
          <w:lang w:val="en-AU"/>
        </w:rPr>
        <w:t xml:space="preserve"> </w:t>
      </w:r>
      <w:r w:rsidR="00C91BF5">
        <w:rPr>
          <w:lang w:val="en-AU"/>
        </w:rPr>
        <w:fldChar w:fldCharType="begin"/>
      </w:r>
      <w:r w:rsidR="009D4492">
        <w:rPr>
          <w:lang w:val="en-AU"/>
        </w:rPr>
        <w:instrText xml:space="preserve"> ADDIN EN.CITE &lt;EndNote&gt;&lt;Cite&gt;&lt;Author&gt;GBRMPA&lt;/Author&gt;&lt;Year&gt;2010&lt;/Year&gt;&lt;RecNum&gt;29&lt;/RecNum&gt;&lt;DisplayText&gt;(GBRMPA, 2010)&lt;/DisplayText&gt;&lt;record&gt;&lt;rec-number&gt;29&lt;/rec-number&gt;&lt;foreign-keys&gt;&lt;key app="EN" db-id="vvtrt2pt4xpx5teta99vvtwg50vzve2aexae" timestamp="1493157359"&gt;29&lt;/key&gt;&lt;/foreign-keys&gt;&lt;ref-type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2010.&lt;/title&gt;&lt;/titles&gt;&lt;dates&gt;&lt;year&gt;2010&lt;/year&gt;&lt;/dates&gt;&lt;pub-location&gt;Great Barrier Reef Marine Park Authority, Townsville&lt;/pub-location&gt;&lt;urls&gt;&lt;/urls&gt;&lt;/record&gt;&lt;/Cite&gt;&lt;/EndNote&gt;</w:instrText>
      </w:r>
      <w:r w:rsidR="00C91BF5">
        <w:rPr>
          <w:lang w:val="en-AU"/>
        </w:rPr>
        <w:fldChar w:fldCharType="separate"/>
      </w:r>
      <w:r w:rsidR="009D4492">
        <w:rPr>
          <w:noProof/>
          <w:lang w:val="en-AU"/>
        </w:rPr>
        <w:t>(GBRMPA, 2010)</w:t>
      </w:r>
      <w:r w:rsidR="00C91BF5">
        <w:rPr>
          <w:lang w:val="en-AU"/>
        </w:rPr>
        <w:fldChar w:fldCharType="end"/>
      </w:r>
      <w:r w:rsidR="00535BFB">
        <w:rPr>
          <w:lang w:val="en-AU"/>
        </w:rPr>
        <w:t>. It should be noted that the proposed marine GV for diuron for 99% speci</w:t>
      </w:r>
      <w:r w:rsidR="00402D91">
        <w:rPr>
          <w:lang w:val="en-AU"/>
        </w:rPr>
        <w:t>es</w:t>
      </w:r>
      <w:r w:rsidR="00535BFB">
        <w:rPr>
          <w:lang w:val="en-AU"/>
        </w:rPr>
        <w:t xml:space="preserve"> protection is 430 ng L</w:t>
      </w:r>
      <w:r w:rsidR="00535BFB" w:rsidRPr="00535BFB">
        <w:rPr>
          <w:vertAlign w:val="superscript"/>
          <w:lang w:val="en-AU"/>
        </w:rPr>
        <w:t>-1</w:t>
      </w:r>
      <w:r w:rsidR="00535BFB">
        <w:rPr>
          <w:lang w:val="en-AU"/>
        </w:rPr>
        <w:t xml:space="preserve"> </w:t>
      </w:r>
      <w:r w:rsidR="00C91BF5">
        <w:rPr>
          <w:lang w:val="en-AU"/>
        </w:rPr>
        <w:fldChar w:fldCharType="begin"/>
      </w:r>
      <w:r w:rsidR="009D4492">
        <w:rPr>
          <w:lang w:val="en-AU"/>
        </w:rPr>
        <w:instrText xml:space="preserve"> ADDIN EN.CITE &lt;EndNote&gt;&lt;Cite&gt;&lt;Author&gt;King&lt;/Author&gt;&lt;Year&gt;2017&lt;/Year&gt;&lt;RecNum&gt;33&lt;/RecNum&gt;&lt;DisplayText&gt;(King et al., 2017a)&lt;/DisplayText&gt;&lt;record&gt;&lt;rec-number&gt;33&lt;/rec-number&gt;&lt;foreign-keys&gt;&lt;key app="EN" db-id="vvtrt2pt4xpx5teta99vvtwg50vzve2aexae" timestamp="1493157363"&gt;33&lt;/key&gt;&lt;/foreign-keys&gt;&lt;ref-type name="Report"&gt;27&lt;/ref-type&gt;&lt;contributors&gt;&lt;authors&gt;&lt;author&gt;King, O.C.&lt;/author&gt;&lt;author&gt;Smith, R.A.&lt;/author&gt;&lt;author&gt;Warne M. St J.&lt;/author&gt;&lt;/authors&gt;&lt;/contributors&gt;&lt;titles&gt;&lt;title&gt;Proposed Default Guideline Values for Toxicants: Diuron – Marine&lt;/title&gt;&lt;/titles&gt;&lt;pages&gt;pp 37 &lt;/pages&gt;&lt;dates&gt;&lt;year&gt;2017&lt;/year&gt;&lt;/dates&gt;&lt;pub-location&gt;Brisbane, Australia&lt;/pub-location&gt;&lt;publisher&gt;Department of Science, Information Technology and Innovation&lt;/publisher&gt;&lt;urls&gt;&lt;/urls&gt;&lt;/record&gt;&lt;/Cite&gt;&lt;/EndNote&gt;</w:instrText>
      </w:r>
      <w:r w:rsidR="00C91BF5">
        <w:rPr>
          <w:lang w:val="en-AU"/>
        </w:rPr>
        <w:fldChar w:fldCharType="separate"/>
      </w:r>
      <w:r w:rsidR="009D4492">
        <w:rPr>
          <w:noProof/>
          <w:lang w:val="en-AU"/>
        </w:rPr>
        <w:t>(King et al., 2017a)</w:t>
      </w:r>
      <w:r w:rsidR="00C91BF5">
        <w:rPr>
          <w:lang w:val="en-AU"/>
        </w:rPr>
        <w:fldChar w:fldCharType="end"/>
      </w:r>
      <w:r w:rsidR="00535BFB">
        <w:rPr>
          <w:lang w:val="en-AU"/>
        </w:rPr>
        <w:t xml:space="preserve"> and so under the new guidelines, guideline exceedances may occur for both Category 2 (250-900 ng L</w:t>
      </w:r>
      <w:r w:rsidR="00535BFB">
        <w:rPr>
          <w:vertAlign w:val="superscript"/>
          <w:lang w:val="en-AU"/>
        </w:rPr>
        <w:t>-1</w:t>
      </w:r>
      <w:r w:rsidR="00535BFB">
        <w:rPr>
          <w:lang w:val="en-AU"/>
        </w:rPr>
        <w:t>) and Category 1 PSII-</w:t>
      </w:r>
      <w:r w:rsidR="009D307F">
        <w:rPr>
          <w:lang w:val="en-AU"/>
        </w:rPr>
        <w:t>HEq</w:t>
      </w:r>
      <w:r w:rsidR="00535BFB">
        <w:rPr>
          <w:lang w:val="en-AU"/>
        </w:rPr>
        <w:t xml:space="preserve"> concentrations.</w:t>
      </w:r>
    </w:p>
    <w:p w14:paraId="15720E62" w14:textId="77777777" w:rsidR="00EE27E7" w:rsidRDefault="00EE27E7" w:rsidP="00015606">
      <w:pPr>
        <w:pStyle w:val="ListParagraph"/>
        <w:spacing w:line="276" w:lineRule="auto"/>
        <w:ind w:left="0"/>
        <w:contextualSpacing w:val="0"/>
        <w:rPr>
          <w:lang w:val="en-AU"/>
        </w:rPr>
      </w:pPr>
    </w:p>
    <w:p w14:paraId="15720E63" w14:textId="6056AB92" w:rsidR="00B01D70" w:rsidRDefault="00571A50" w:rsidP="00B01D70">
      <w:pPr>
        <w:spacing w:line="276" w:lineRule="auto"/>
        <w:rPr>
          <w:lang w:val="en-AU" w:eastAsia="en-AU"/>
        </w:rPr>
      </w:pPr>
      <w:r>
        <w:rPr>
          <w:rFonts w:cs="Arial"/>
          <w:lang w:val="en-AU"/>
        </w:rPr>
        <w:t>The PSII-</w:t>
      </w:r>
      <w:r w:rsidR="009D307F">
        <w:rPr>
          <w:rFonts w:cs="Arial"/>
          <w:lang w:val="en-AU"/>
        </w:rPr>
        <w:t>HEq</w:t>
      </w:r>
      <w:r>
        <w:rPr>
          <w:rFonts w:cs="Arial"/>
          <w:lang w:val="en-AU"/>
        </w:rPr>
        <w:t xml:space="preserve"> index was identified as a suitable indicator </w:t>
      </w:r>
      <w:r w:rsidRPr="001771B6">
        <w:rPr>
          <w:rFonts w:cs="Arial"/>
          <w:lang w:val="en-AU"/>
        </w:rPr>
        <w:t>to detect changes</w:t>
      </w:r>
      <w:r>
        <w:rPr>
          <w:rFonts w:cs="Arial"/>
          <w:lang w:val="en-AU"/>
        </w:rPr>
        <w:t xml:space="preserve"> in inshore pesticide levels over time based on a </w:t>
      </w:r>
      <w:r w:rsidRPr="001771B6">
        <w:rPr>
          <w:rFonts w:cs="Arial"/>
          <w:lang w:val="en-AU"/>
        </w:rPr>
        <w:t xml:space="preserve">bootstrap simulation study </w:t>
      </w:r>
      <w:r>
        <w:rPr>
          <w:rFonts w:cs="Arial"/>
          <w:lang w:val="en-AU"/>
        </w:rPr>
        <w:t xml:space="preserve">using historical MMP data </w:t>
      </w:r>
      <w:r w:rsidR="00C91BF5">
        <w:rPr>
          <w:rFonts w:cs="Arial"/>
          <w:lang w:val="en-AU"/>
        </w:rPr>
        <w:fldChar w:fldCharType="begin"/>
      </w:r>
      <w:r w:rsidR="009D4492">
        <w:rPr>
          <w:rFonts w:cs="Arial"/>
          <w:lang w:val="en-AU"/>
        </w:rPr>
        <w:instrText xml:space="preserve"> ADDIN EN.CITE &lt;EndNote&gt;&lt;Cite&gt;&lt;Author&gt;Kuhnert&lt;/Author&gt;&lt;Year&gt;2015&lt;/Year&gt;&lt;RecNum&gt;20&lt;/RecNum&gt;&lt;DisplayText&gt;(Kuhnert et al., 2015)&lt;/DisplayText&gt;&lt;record&gt;&lt;rec-number&gt;20&lt;/rec-number&gt;&lt;foreign-keys&gt;&lt;key app="EN" db-id="vvtrt2pt4xpx5teta99vvtwg50vzve2aexae" timestamp="1493157348"&gt;20&lt;/key&gt;&lt;/foreign-keys&gt;&lt;ref-type name="Report"&gt;27&lt;/ref-type&gt;&lt;contributors&gt;&lt;authors&gt;&lt;author&gt;Kuhnert, P.M.&lt;/author&gt;&lt;author&gt;Liu, Y.&lt;/author&gt;&lt;author&gt;Henderson, B.&lt;/author&gt;&lt;author&gt;Dambacher, J.&lt;/author&gt;&lt;author&gt;Lawrence, E.&lt;/author&gt;&lt;author&gt;Kroon, F.&lt;/author&gt;&lt;/authors&gt;&lt;/contributors&gt;&lt;titles&gt;&lt;title&gt;Review of the Marine Monitoring Program (MMP), Final Report for the Great Barrier Reef Marine Park Authority (GBRMPA)&lt;/title&gt;&lt;/titles&gt;&lt;dates&gt;&lt;year&gt;2015&lt;/year&gt;&lt;/dates&gt;&lt;pub-location&gt;CSIRO, Australia&lt;/pub-location&gt;&lt;urls&gt;&lt;/urls&gt;&lt;/record&gt;&lt;/Cite&gt;&lt;/EndNote&gt;</w:instrText>
      </w:r>
      <w:r w:rsidR="00C91BF5">
        <w:rPr>
          <w:rFonts w:cs="Arial"/>
          <w:lang w:val="en-AU"/>
        </w:rPr>
        <w:fldChar w:fldCharType="separate"/>
      </w:r>
      <w:r w:rsidR="009D4492">
        <w:rPr>
          <w:rFonts w:cs="Arial"/>
          <w:noProof/>
          <w:lang w:val="en-AU"/>
        </w:rPr>
        <w:t>(Kuhnert et al., 2015)</w:t>
      </w:r>
      <w:r w:rsidR="00C91BF5">
        <w:rPr>
          <w:rFonts w:cs="Arial"/>
          <w:lang w:val="en-AU"/>
        </w:rPr>
        <w:fldChar w:fldCharType="end"/>
      </w:r>
      <w:r w:rsidR="00EE27E7">
        <w:rPr>
          <w:rFonts w:cs="Arial"/>
          <w:lang w:val="en-AU"/>
        </w:rPr>
        <w:t xml:space="preserve">. </w:t>
      </w:r>
      <w:r>
        <w:rPr>
          <w:rFonts w:cs="Arial"/>
          <w:lang w:val="en-AU"/>
        </w:rPr>
        <w:t xml:space="preserve">As part of </w:t>
      </w:r>
      <w:r w:rsidR="000D6E4C">
        <w:rPr>
          <w:rFonts w:cs="Arial"/>
          <w:lang w:val="en-AU"/>
        </w:rPr>
        <w:t>this</w:t>
      </w:r>
      <w:r>
        <w:rPr>
          <w:rFonts w:cs="Arial"/>
          <w:lang w:val="en-AU"/>
        </w:rPr>
        <w:t xml:space="preserve"> review of the MMP, t</w:t>
      </w:r>
      <w:r w:rsidR="00EE27E7">
        <w:rPr>
          <w:rFonts w:cs="Arial"/>
          <w:lang w:val="en-AU"/>
        </w:rPr>
        <w:t xml:space="preserve">he </w:t>
      </w:r>
      <w:r w:rsidR="00AB1489">
        <w:rPr>
          <w:rFonts w:cs="Arial"/>
          <w:lang w:val="en-AU"/>
        </w:rPr>
        <w:t xml:space="preserve">authors </w:t>
      </w:r>
      <w:r w:rsidR="00EE27E7">
        <w:rPr>
          <w:rFonts w:cs="Arial"/>
          <w:lang w:val="en-AU"/>
        </w:rPr>
        <w:t>recommend</w:t>
      </w:r>
      <w:r w:rsidR="00AB1489">
        <w:rPr>
          <w:rFonts w:cs="Arial"/>
          <w:lang w:val="en-AU"/>
        </w:rPr>
        <w:t>ed</w:t>
      </w:r>
      <w:r w:rsidR="00EE27E7">
        <w:rPr>
          <w:rFonts w:cs="Arial"/>
          <w:lang w:val="en-AU"/>
        </w:rPr>
        <w:t xml:space="preserve"> </w:t>
      </w:r>
      <w:r w:rsidR="00EE27E7" w:rsidRPr="001771B6">
        <w:rPr>
          <w:rFonts w:cs="Arial"/>
          <w:lang w:val="en-AU"/>
        </w:rPr>
        <w:t>incorporat</w:t>
      </w:r>
      <w:r w:rsidR="00AB1489">
        <w:rPr>
          <w:rFonts w:cs="Arial"/>
          <w:lang w:val="en-AU"/>
        </w:rPr>
        <w:t>ion of</w:t>
      </w:r>
      <w:r w:rsidR="00EE27E7">
        <w:rPr>
          <w:rFonts w:cs="Arial"/>
          <w:lang w:val="en-AU"/>
        </w:rPr>
        <w:t xml:space="preserve"> this metric</w:t>
      </w:r>
      <w:r w:rsidR="00EE27E7" w:rsidRPr="001771B6">
        <w:rPr>
          <w:rFonts w:cs="Arial"/>
          <w:lang w:val="en-AU"/>
        </w:rPr>
        <w:t xml:space="preserve"> into the </w:t>
      </w:r>
      <w:r w:rsidR="00EE27E7">
        <w:rPr>
          <w:rFonts w:cs="Arial"/>
          <w:lang w:val="en-AU"/>
        </w:rPr>
        <w:t>annual Reef</w:t>
      </w:r>
      <w:r w:rsidR="00EE27E7" w:rsidRPr="001771B6">
        <w:rPr>
          <w:rFonts w:cs="Arial"/>
          <w:lang w:val="en-AU"/>
        </w:rPr>
        <w:t xml:space="preserve"> </w:t>
      </w:r>
      <w:r w:rsidR="00EE27E7">
        <w:rPr>
          <w:rFonts w:cs="Arial"/>
          <w:lang w:val="en-AU"/>
        </w:rPr>
        <w:t xml:space="preserve">Plan </w:t>
      </w:r>
      <w:r w:rsidR="00EE27E7" w:rsidRPr="001771B6">
        <w:rPr>
          <w:rFonts w:cs="Arial"/>
          <w:lang w:val="en-AU"/>
        </w:rPr>
        <w:t>report card</w:t>
      </w:r>
      <w:r w:rsidR="00EE27E7">
        <w:rPr>
          <w:rFonts w:cs="Arial"/>
          <w:lang w:val="en-AU"/>
        </w:rPr>
        <w:t xml:space="preserve"> to assess progress against water quality targets</w:t>
      </w:r>
      <w:r w:rsidR="00535BFB">
        <w:rPr>
          <w:rFonts w:cs="Arial"/>
          <w:lang w:val="en-AU"/>
        </w:rPr>
        <w:t xml:space="preserve"> </w:t>
      </w:r>
      <w:r w:rsidR="00C91BF5">
        <w:rPr>
          <w:rFonts w:cs="Arial"/>
          <w:lang w:val="en-AU"/>
        </w:rPr>
        <w:fldChar w:fldCharType="begin"/>
      </w:r>
      <w:r w:rsidR="009D4492">
        <w:rPr>
          <w:rFonts w:cs="Arial"/>
          <w:lang w:val="en-AU"/>
        </w:rPr>
        <w:instrText xml:space="preserve"> ADDIN EN.CITE &lt;EndNote&gt;&lt;Cite&gt;&lt;Author&gt;Kuhnert&lt;/Author&gt;&lt;Year&gt;2015&lt;/Year&gt;&lt;RecNum&gt;20&lt;/RecNum&gt;&lt;DisplayText&gt;(Kuhnert et al., 2015)&lt;/DisplayText&gt;&lt;record&gt;&lt;rec-number&gt;20&lt;/rec-number&gt;&lt;foreign-keys&gt;&lt;key app="EN" db-id="vvtrt2pt4xpx5teta99vvtwg50vzve2aexae" timestamp="1493157348"&gt;20&lt;/key&gt;&lt;/foreign-keys&gt;&lt;ref-type name="Report"&gt;27&lt;/ref-type&gt;&lt;contributors&gt;&lt;authors&gt;&lt;author&gt;Kuhnert, P.M.&lt;/author&gt;&lt;author&gt;Liu, Y.&lt;/author&gt;&lt;author&gt;Henderson, B.&lt;/author&gt;&lt;author&gt;Dambacher, J.&lt;/author&gt;&lt;author&gt;Lawrence, E.&lt;/author&gt;&lt;author&gt;Kroon, F.&lt;/author&gt;&lt;/authors&gt;&lt;/contributors&gt;&lt;titles&gt;&lt;title&gt;Review of the Marine Monitoring Program (MMP), Final Report for the Great Barrier Reef Marine Park Authority (GBRMPA)&lt;/title&gt;&lt;/titles&gt;&lt;dates&gt;&lt;year&gt;2015&lt;/year&gt;&lt;/dates&gt;&lt;pub-location&gt;CSIRO, Australia&lt;/pub-location&gt;&lt;urls&gt;&lt;/urls&gt;&lt;/record&gt;&lt;/Cite&gt;&lt;/EndNote&gt;</w:instrText>
      </w:r>
      <w:r w:rsidR="00C91BF5">
        <w:rPr>
          <w:rFonts w:cs="Arial"/>
          <w:lang w:val="en-AU"/>
        </w:rPr>
        <w:fldChar w:fldCharType="separate"/>
      </w:r>
      <w:r w:rsidR="009D4492">
        <w:rPr>
          <w:rFonts w:cs="Arial"/>
          <w:noProof/>
          <w:lang w:val="en-AU"/>
        </w:rPr>
        <w:t>(Kuhnert et al., 2015)</w:t>
      </w:r>
      <w:r w:rsidR="00C91BF5">
        <w:rPr>
          <w:rFonts w:cs="Arial"/>
          <w:lang w:val="en-AU"/>
        </w:rPr>
        <w:fldChar w:fldCharType="end"/>
      </w:r>
      <w:r w:rsidR="00EE27E7" w:rsidRPr="001771B6">
        <w:rPr>
          <w:rFonts w:cs="Arial"/>
          <w:lang w:val="en-AU"/>
        </w:rPr>
        <w:t>.</w:t>
      </w:r>
      <w:r w:rsidR="00EE27E7">
        <w:rPr>
          <w:rFonts w:cs="Arial"/>
          <w:lang w:val="en-AU"/>
        </w:rPr>
        <w:t xml:space="preserve"> </w:t>
      </w:r>
      <w:r w:rsidR="00A936CD">
        <w:rPr>
          <w:rFonts w:cs="Arial"/>
          <w:lang w:val="en-AU"/>
        </w:rPr>
        <w:t>Recently</w:t>
      </w:r>
      <w:r w:rsidR="00EE27E7">
        <w:rPr>
          <w:rFonts w:cs="Arial"/>
          <w:lang w:val="en-AU"/>
        </w:rPr>
        <w:t xml:space="preserve">, </w:t>
      </w:r>
      <w:r w:rsidR="00C91BF5">
        <w:rPr>
          <w:rFonts w:cs="Arial"/>
          <w:lang w:val="en-AU"/>
        </w:rPr>
        <w:fldChar w:fldCharType="begin"/>
      </w:r>
      <w:r w:rsidR="00CE0A33">
        <w:rPr>
          <w:rFonts w:cs="Arial"/>
          <w:lang w:val="en-AU"/>
        </w:rPr>
        <w:instrText xml:space="preserve"> ADDIN EN.CITE &lt;EndNote&gt;&lt;Cite AuthorYear="1"&gt;&lt;Author&gt;Smith&lt;/Author&gt;&lt;Year&gt;2016&lt;/Year&gt;&lt;RecNum&gt;34&lt;/RecNum&gt;&lt;DisplayText&gt;Smith et al. (2016a)&lt;/DisplayText&gt;&lt;record&gt;&lt;rec-number&gt;34&lt;/rec-number&gt;&lt;foreign-keys&gt;&lt;key app="EN" db-id="vvtrt2pt4xpx5teta99vvtwg50vzve2aexae" timestamp="1493157365"&gt;34&lt;/key&gt;&lt;/foreign-keys&gt;&lt;ref-type name="Journal Article"&gt;17&lt;/ref-type&gt;&lt;contributors&gt;&lt;authors&gt;&lt;author&gt;Smith, Rachael A.&lt;/author&gt;&lt;author&gt;Warne, Michael St J.&lt;/author&gt;&lt;author&gt;Mengersen, Kerrie&lt;/author&gt;&lt;author&gt;Turner, Ryan D. R.&lt;/author&gt;&lt;/authors&gt;&lt;/contributors&gt;&lt;titles&gt;&lt;title&gt;An improved method for calculating toxicity-based pollutant loads: Part 1. Method development&lt;/title&gt;&lt;secondary-title&gt;Integrated Environmental Assessment and Management&lt;/secondary-title&gt;&lt;/titles&gt;&lt;periodical&gt;&lt;full-title&gt;Integrated Environmental Assessment and Management&lt;/full-title&gt;&lt;/periodical&gt;&lt;pages&gt;In press&lt;/pages&gt;&lt;keywords&gt;&lt;keyword&gt;Mixtures&lt;/keyword&gt;&lt;keyword&gt;Multiple species&lt;/keyword&gt;&lt;keyword&gt;Pollutant loads&lt;/keyword&gt;&lt;keyword&gt;Relative potency&lt;/keyword&gt;&lt;keyword&gt;Toxic equivalency factor&lt;/keyword&gt;&lt;/keywords&gt;&lt;dates&gt;&lt;year&gt;2016&lt;/year&gt;&lt;/dates&gt;&lt;isbn&gt;1551-3793&lt;/isbn&gt;&lt;urls&gt;&lt;related-urls&gt;&lt;url&gt;http://dx.doi.org/10.1002/ieam.1854&lt;/url&gt;&lt;/related-urls&gt;&lt;/urls&gt;&lt;electronic-resource-num&gt;10.1002/ieam.1854&lt;/electronic-resource-num&gt;&lt;/record&gt;&lt;/Cite&gt;&lt;/EndNote&gt;</w:instrText>
      </w:r>
      <w:r w:rsidR="00C91BF5">
        <w:rPr>
          <w:rFonts w:cs="Arial"/>
          <w:lang w:val="en-AU"/>
        </w:rPr>
        <w:fldChar w:fldCharType="separate"/>
      </w:r>
      <w:r w:rsidR="00CE0A33">
        <w:rPr>
          <w:rFonts w:cs="Arial"/>
          <w:noProof/>
          <w:lang w:val="en-AU"/>
        </w:rPr>
        <w:t>Smith et al. (2016a)</w:t>
      </w:r>
      <w:r w:rsidR="00C91BF5">
        <w:rPr>
          <w:rFonts w:cs="Arial"/>
          <w:lang w:val="en-AU"/>
        </w:rPr>
        <w:fldChar w:fldCharType="end"/>
      </w:r>
      <w:r w:rsidR="00A936CD">
        <w:rPr>
          <w:rFonts w:cs="Arial"/>
          <w:lang w:val="en-AU"/>
        </w:rPr>
        <w:t xml:space="preserve"> derived an alternative method to calculate </w:t>
      </w:r>
      <w:r w:rsidR="00F85070">
        <w:rPr>
          <w:rFonts w:cs="Arial"/>
          <w:lang w:val="en-AU"/>
        </w:rPr>
        <w:t>RPF</w:t>
      </w:r>
      <w:r w:rsidR="00A936CD">
        <w:rPr>
          <w:rFonts w:cs="Arial"/>
          <w:lang w:val="en-AU"/>
        </w:rPr>
        <w:t xml:space="preserve"> values</w:t>
      </w:r>
      <w:r w:rsidR="00A936CD" w:rsidRPr="00A936CD">
        <w:rPr>
          <w:rFonts w:cs="Arial"/>
          <w:lang w:val="en-AU"/>
        </w:rPr>
        <w:t xml:space="preserve"> </w:t>
      </w:r>
      <w:r w:rsidR="00F85070">
        <w:rPr>
          <w:rFonts w:cs="Arial"/>
          <w:lang w:val="en-AU"/>
        </w:rPr>
        <w:t>(</w:t>
      </w:r>
      <w:r w:rsidR="00AB1489">
        <w:rPr>
          <w:rFonts w:cs="Arial"/>
          <w:lang w:val="en-AU"/>
        </w:rPr>
        <w:t xml:space="preserve">also </w:t>
      </w:r>
      <w:r w:rsidR="00F85070">
        <w:rPr>
          <w:rFonts w:cs="Arial"/>
          <w:lang w:val="en-AU"/>
        </w:rPr>
        <w:t>referred to as toxic equivalency factors, TEFs)</w:t>
      </w:r>
      <w:r w:rsidR="00CC39DF">
        <w:rPr>
          <w:rFonts w:cs="Arial"/>
          <w:lang w:val="en-AU"/>
        </w:rPr>
        <w:t xml:space="preserve"> for calculating toxicity-based pesticide loads</w:t>
      </w:r>
      <w:r w:rsidR="00F85070">
        <w:rPr>
          <w:rFonts w:cs="Arial"/>
          <w:lang w:val="en-AU"/>
        </w:rPr>
        <w:t xml:space="preserve">, </w:t>
      </w:r>
      <w:r w:rsidR="00AB1489">
        <w:rPr>
          <w:rFonts w:cs="Arial"/>
          <w:lang w:val="en-AU"/>
        </w:rPr>
        <w:t>which</w:t>
      </w:r>
      <w:r w:rsidR="00A936CD" w:rsidRPr="00A936CD">
        <w:rPr>
          <w:rFonts w:cs="Arial"/>
          <w:lang w:val="en-AU"/>
        </w:rPr>
        <w:t xml:space="preserve"> </w:t>
      </w:r>
      <w:r w:rsidR="00B01D70">
        <w:rPr>
          <w:rFonts w:cs="Arial"/>
          <w:lang w:val="en-AU"/>
        </w:rPr>
        <w:t>were calculated using matched datasets</w:t>
      </w:r>
      <w:r w:rsidR="00B01D70">
        <w:rPr>
          <w:rStyle w:val="FootnoteReference"/>
          <w:rFonts w:cs="Arial"/>
          <w:lang w:val="en-AU"/>
        </w:rPr>
        <w:footnoteReference w:id="2"/>
      </w:r>
      <w:r w:rsidR="00B01D70">
        <w:rPr>
          <w:rFonts w:cs="Arial"/>
          <w:lang w:val="en-AU"/>
        </w:rPr>
        <w:t xml:space="preserve"> and</w:t>
      </w:r>
      <w:r w:rsidR="00B01D70" w:rsidRPr="00A936CD">
        <w:rPr>
          <w:rFonts w:cs="Arial"/>
          <w:lang w:val="en-AU"/>
        </w:rPr>
        <w:t xml:space="preserve"> </w:t>
      </w:r>
      <w:r w:rsidR="00A936CD" w:rsidRPr="00A936CD">
        <w:rPr>
          <w:rFonts w:cs="Arial"/>
          <w:lang w:val="en-AU"/>
        </w:rPr>
        <w:t>tests to maximize the environmental relevance</w:t>
      </w:r>
      <w:r w:rsidR="00A936CD">
        <w:rPr>
          <w:rFonts w:cs="Arial"/>
          <w:lang w:val="en-AU"/>
        </w:rPr>
        <w:t xml:space="preserve"> </w:t>
      </w:r>
      <w:r w:rsidR="00A936CD" w:rsidRPr="00A936CD">
        <w:rPr>
          <w:rFonts w:cs="Arial"/>
          <w:lang w:val="en-AU"/>
        </w:rPr>
        <w:t>a</w:t>
      </w:r>
      <w:r w:rsidR="00A936CD">
        <w:rPr>
          <w:rFonts w:cs="Arial"/>
          <w:lang w:val="en-AU"/>
        </w:rPr>
        <w:t>nd robustness of the</w:t>
      </w:r>
      <w:r w:rsidR="00F85070">
        <w:rPr>
          <w:rFonts w:cs="Arial"/>
          <w:lang w:val="en-AU"/>
        </w:rPr>
        <w:t xml:space="preserve"> TEFs</w:t>
      </w:r>
      <w:r w:rsidR="00A936CD">
        <w:rPr>
          <w:rFonts w:cs="Arial"/>
          <w:lang w:val="en-AU"/>
        </w:rPr>
        <w:t xml:space="preserve">. This </w:t>
      </w:r>
      <w:r w:rsidR="00E264EA">
        <w:rPr>
          <w:rFonts w:cs="Arial"/>
          <w:lang w:val="en-AU"/>
        </w:rPr>
        <w:t xml:space="preserve">approach </w:t>
      </w:r>
      <w:r w:rsidR="00A936CD">
        <w:rPr>
          <w:rFonts w:cs="Arial"/>
          <w:lang w:val="en-AU"/>
        </w:rPr>
        <w:t xml:space="preserve">was applied </w:t>
      </w:r>
      <w:r w:rsidR="00F85070">
        <w:rPr>
          <w:rFonts w:cs="Arial"/>
          <w:lang w:val="en-AU"/>
        </w:rPr>
        <w:t xml:space="preserve">to </w:t>
      </w:r>
      <w:r w:rsidR="00E264EA">
        <w:rPr>
          <w:rFonts w:cs="Arial"/>
          <w:lang w:val="en-AU"/>
        </w:rPr>
        <w:t xml:space="preserve">derive Reef-specific TEFs for </w:t>
      </w:r>
      <w:r w:rsidR="00F85070">
        <w:rPr>
          <w:rFonts w:cs="Arial"/>
          <w:lang w:val="en-AU"/>
        </w:rPr>
        <w:t xml:space="preserve">five priority PSII herbicides </w:t>
      </w:r>
      <w:r>
        <w:rPr>
          <w:rFonts w:cs="Arial"/>
          <w:lang w:val="en-AU"/>
        </w:rPr>
        <w:t xml:space="preserve">discharged to the Reef lagoon </w:t>
      </w:r>
      <w:r w:rsidR="00F85070">
        <w:rPr>
          <w:rFonts w:cs="Arial"/>
          <w:lang w:val="en-AU"/>
        </w:rPr>
        <w:t>(</w:t>
      </w:r>
      <w:r w:rsidR="00AB1489">
        <w:rPr>
          <w:rFonts w:cs="Arial"/>
          <w:lang w:val="en-AU"/>
        </w:rPr>
        <w:t>ametryn</w:t>
      </w:r>
      <w:r w:rsidR="00F85070" w:rsidRPr="00F85070">
        <w:rPr>
          <w:rFonts w:cs="Arial"/>
          <w:lang w:val="en-AU"/>
        </w:rPr>
        <w:t xml:space="preserve">, atrazine, diuron, hexazinone, and </w:t>
      </w:r>
      <w:r w:rsidR="00AB1489" w:rsidRPr="00AB1489">
        <w:rPr>
          <w:rFonts w:cs="Arial"/>
          <w:lang w:val="en-AU"/>
        </w:rPr>
        <w:t>tebuthiuron</w:t>
      </w:r>
      <w:r w:rsidR="00F85070">
        <w:rPr>
          <w:rFonts w:cs="Arial"/>
          <w:lang w:val="en-AU"/>
        </w:rPr>
        <w:t xml:space="preserve">) </w:t>
      </w:r>
      <w:r w:rsidR="00C91BF5">
        <w:rPr>
          <w:rFonts w:cs="Arial"/>
          <w:lang w:val="en-AU"/>
        </w:rPr>
        <w:fldChar w:fldCharType="begin"/>
      </w:r>
      <w:r w:rsidR="009D4492">
        <w:rPr>
          <w:rFonts w:cs="Arial"/>
          <w:lang w:val="en-AU"/>
        </w:rPr>
        <w:instrText xml:space="preserve"> ADDIN EN.CITE &lt;EndNote&gt;&lt;Cite&gt;&lt;Author&gt;Smith&lt;/Author&gt;&lt;Year&gt;2016&lt;/Year&gt;&lt;RecNum&gt;35&lt;/RecNum&gt;&lt;DisplayText&gt;(Smith et al., 2016b)&lt;/DisplayText&gt;&lt;record&gt;&lt;rec-number&gt;35&lt;/rec-number&gt;&lt;foreign-keys&gt;&lt;key app="EN" db-id="vvtrt2pt4xpx5teta99vvtwg50vzve2aexae" timestamp="1493157366"&gt;35&lt;/key&gt;&lt;/foreign-keys&gt;&lt;ref-type name="Journal Article"&gt;17&lt;/ref-type&gt;&lt;contributors&gt;&lt;authors&gt;&lt;author&gt;Smith, Rachael A.&lt;/author&gt;&lt;author&gt;Warne, Michael St J.&lt;/author&gt;&lt;author&gt;Mengersen, Kerrie&lt;/author&gt;&lt;author&gt;Turner, Ryan D. R.&lt;/author&gt;&lt;/authors&gt;&lt;/contributors&gt;&lt;titles&gt;&lt;title&gt;An improved method for calculating toxicity-based pollutant loads: Part 2. Application to contaminants discharged to the Great Barrier Reef, Queensland, Australia&lt;/title&gt;&lt;secondary-title&gt;Integrated Environmental Assessment and Management&lt;/secondary-title&gt;&lt;/titles&gt;&lt;periodical&gt;&lt;full-title&gt;Integrated Environmental Assessment and Management&lt;/full-title&gt;&lt;/periodical&gt;&lt;pages&gt;In press&lt;/pages&gt;&lt;keywords&gt;&lt;keyword&gt;Great Barrier Reef&lt;/keyword&gt;&lt;keyword&gt;Pollutant loads&lt;/keyword&gt;&lt;keyword&gt;Photosystem II herbicides&lt;/keyword&gt;&lt;keyword&gt;Relative-potency&lt;/keyword&gt;&lt;keyword&gt;Toxic equivalency factor&lt;/keyword&gt;&lt;/keywords&gt;&lt;dates&gt;&lt;year&gt;2016&lt;/year&gt;&lt;/dates&gt;&lt;isbn&gt;1551-3793&lt;/isbn&gt;&lt;urls&gt;&lt;related-urls&gt;&lt;url&gt;http://dx.doi.org/10.1002/ieam.1860&lt;/url&gt;&lt;/related-urls&gt;&lt;/urls&gt;&lt;electronic-resource-num&gt;10.1002/ieam.1860&lt;/electronic-resource-num&gt;&lt;/record&gt;&lt;/Cite&gt;&lt;/EndNote&gt;</w:instrText>
      </w:r>
      <w:r w:rsidR="00C91BF5">
        <w:rPr>
          <w:rFonts w:cs="Arial"/>
          <w:lang w:val="en-AU"/>
        </w:rPr>
        <w:fldChar w:fldCharType="separate"/>
      </w:r>
      <w:r w:rsidR="009D4492">
        <w:rPr>
          <w:rFonts w:cs="Arial"/>
          <w:noProof/>
          <w:lang w:val="en-AU"/>
        </w:rPr>
        <w:t>(Smith et al., 2016b)</w:t>
      </w:r>
      <w:r w:rsidR="00C91BF5">
        <w:rPr>
          <w:rFonts w:cs="Arial"/>
          <w:lang w:val="en-AU"/>
        </w:rPr>
        <w:fldChar w:fldCharType="end"/>
      </w:r>
      <w:r w:rsidR="00F85070">
        <w:rPr>
          <w:rFonts w:cs="Arial"/>
          <w:lang w:val="en-AU"/>
        </w:rPr>
        <w:t xml:space="preserve">. </w:t>
      </w:r>
      <w:r w:rsidR="00B01D70">
        <w:rPr>
          <w:lang w:val="en-AU" w:eastAsia="en-AU"/>
        </w:rPr>
        <w:t>Despite being widely used and simple to calculate, a</w:t>
      </w:r>
      <w:r w:rsidR="00B01D70" w:rsidRPr="00041148">
        <w:rPr>
          <w:lang w:val="en-AU" w:eastAsia="en-AU"/>
        </w:rPr>
        <w:t xml:space="preserve"> limitation of the </w:t>
      </w:r>
      <w:r w:rsidR="00B01D70">
        <w:rPr>
          <w:lang w:val="en-AU" w:eastAsia="en-AU"/>
        </w:rPr>
        <w:t>current PSII-HEq</w:t>
      </w:r>
      <w:r w:rsidR="00B01D70" w:rsidRPr="00041148">
        <w:rPr>
          <w:lang w:val="en-AU" w:eastAsia="en-AU"/>
        </w:rPr>
        <w:t xml:space="preserve"> </w:t>
      </w:r>
      <w:r w:rsidR="00B01D70">
        <w:rPr>
          <w:lang w:val="en-AU" w:eastAsia="en-AU"/>
        </w:rPr>
        <w:t xml:space="preserve">method of risk assessment </w:t>
      </w:r>
      <w:r w:rsidR="00B01D70" w:rsidRPr="00041148">
        <w:rPr>
          <w:lang w:val="en-AU" w:eastAsia="en-AU"/>
        </w:rPr>
        <w:t xml:space="preserve">is that </w:t>
      </w:r>
      <w:r w:rsidR="00B01D70">
        <w:rPr>
          <w:lang w:val="en-AU" w:eastAsia="en-AU"/>
        </w:rPr>
        <w:t>matched data sets should ideally be use</w:t>
      </w:r>
      <w:r w:rsidR="00B01D70" w:rsidRPr="00041148">
        <w:rPr>
          <w:lang w:val="en-AU" w:eastAsia="en-AU"/>
        </w:rPr>
        <w:t>d to derive the relative potencies</w:t>
      </w:r>
      <w:r w:rsidR="00B01D70">
        <w:rPr>
          <w:lang w:val="en-AU" w:eastAsia="en-AU"/>
        </w:rPr>
        <w:t xml:space="preserve"> to a reference chemical (i.e. for each species tested, all PSII herbicides should be included in the same study to assess their toxicity relative to diuron). H</w:t>
      </w:r>
      <w:r w:rsidR="00B01D70" w:rsidRPr="00041148">
        <w:rPr>
          <w:lang w:val="en-AU" w:eastAsia="en-AU"/>
        </w:rPr>
        <w:t>owever, this seldom occurs</w:t>
      </w:r>
      <w:r w:rsidR="00B01D70">
        <w:rPr>
          <w:lang w:val="en-AU" w:eastAsia="en-AU"/>
        </w:rPr>
        <w:t xml:space="preserve"> and typically </w:t>
      </w:r>
      <w:r w:rsidR="00B01D70" w:rsidRPr="00041148">
        <w:rPr>
          <w:lang w:val="en-AU" w:eastAsia="en-AU"/>
        </w:rPr>
        <w:t>dataset</w:t>
      </w:r>
      <w:r w:rsidR="00B01D70">
        <w:rPr>
          <w:lang w:val="en-AU" w:eastAsia="en-AU"/>
        </w:rPr>
        <w:t>s</w:t>
      </w:r>
      <w:r w:rsidR="00B01D70" w:rsidRPr="00041148">
        <w:rPr>
          <w:lang w:val="en-AU" w:eastAsia="en-AU"/>
        </w:rPr>
        <w:t xml:space="preserve"> </w:t>
      </w:r>
      <w:r w:rsidR="00B01D70">
        <w:rPr>
          <w:lang w:val="en-AU" w:eastAsia="en-AU"/>
        </w:rPr>
        <w:t>are limited to</w:t>
      </w:r>
      <w:r w:rsidR="00B01D70" w:rsidRPr="00041148">
        <w:rPr>
          <w:lang w:val="en-AU" w:eastAsia="en-AU"/>
        </w:rPr>
        <w:t xml:space="preserve"> </w:t>
      </w:r>
      <w:r w:rsidR="00B01D70" w:rsidRPr="00041148">
        <w:rPr>
          <w:lang w:val="en-AU" w:eastAsia="en-AU"/>
        </w:rPr>
        <w:lastRenderedPageBreak/>
        <w:t xml:space="preserve">only a few </w:t>
      </w:r>
      <w:r w:rsidR="00B01D70">
        <w:rPr>
          <w:lang w:val="en-AU" w:eastAsia="en-AU"/>
        </w:rPr>
        <w:t xml:space="preserve">select </w:t>
      </w:r>
      <w:r w:rsidR="00B01D70" w:rsidRPr="00041148">
        <w:rPr>
          <w:lang w:val="en-AU" w:eastAsia="en-AU"/>
        </w:rPr>
        <w:t xml:space="preserve">compounds. This requirement for matched datasets dramatically reduces the amount of data suitable to derive relative potencies. </w:t>
      </w:r>
    </w:p>
    <w:p w14:paraId="15720E64" w14:textId="77777777" w:rsidR="00B01D70" w:rsidRDefault="00B01D70" w:rsidP="00B01D70">
      <w:pPr>
        <w:spacing w:line="276" w:lineRule="auto"/>
        <w:rPr>
          <w:lang w:val="en-AU" w:eastAsia="en-AU"/>
        </w:rPr>
      </w:pPr>
    </w:p>
    <w:p w14:paraId="15720E65" w14:textId="5596C4D4" w:rsidR="0083578F" w:rsidRDefault="00F85070" w:rsidP="00A936CD">
      <w:pPr>
        <w:pStyle w:val="ListParagraph"/>
        <w:spacing w:line="276" w:lineRule="auto"/>
        <w:ind w:left="0"/>
        <w:rPr>
          <w:rFonts w:cs="Arial"/>
          <w:lang w:val="en-AU"/>
        </w:rPr>
      </w:pPr>
      <w:r>
        <w:rPr>
          <w:rFonts w:cs="Arial"/>
          <w:lang w:val="en-AU"/>
        </w:rPr>
        <w:t>For consistency, the PSII-</w:t>
      </w:r>
      <w:r w:rsidR="009D307F">
        <w:rPr>
          <w:rFonts w:cs="Arial"/>
          <w:lang w:val="en-AU"/>
        </w:rPr>
        <w:t>HEq</w:t>
      </w:r>
      <w:r>
        <w:rPr>
          <w:rFonts w:cs="Arial"/>
          <w:lang w:val="en-AU"/>
        </w:rPr>
        <w:t xml:space="preserve"> values presented in </w:t>
      </w:r>
      <w:r w:rsidR="009E2601">
        <w:rPr>
          <w:rFonts w:cs="Arial"/>
          <w:lang w:val="en-AU"/>
        </w:rPr>
        <w:t>this</w:t>
      </w:r>
      <w:r>
        <w:rPr>
          <w:rFonts w:cs="Arial"/>
          <w:lang w:val="en-AU"/>
        </w:rPr>
        <w:t xml:space="preserve"> report </w:t>
      </w:r>
      <w:r w:rsidR="009E2601">
        <w:rPr>
          <w:rFonts w:cs="Arial"/>
          <w:lang w:val="en-AU"/>
        </w:rPr>
        <w:t>are calculated</w:t>
      </w:r>
      <w:r>
        <w:rPr>
          <w:rFonts w:cs="Arial"/>
          <w:lang w:val="en-AU"/>
        </w:rPr>
        <w:t xml:space="preserve"> using the RPF values used in previous years’ reports. A comparison of the </w:t>
      </w:r>
      <w:r w:rsidR="00E264EA">
        <w:rPr>
          <w:rFonts w:cs="Arial"/>
          <w:lang w:val="en-AU"/>
        </w:rPr>
        <w:t>TEF</w:t>
      </w:r>
      <w:r>
        <w:rPr>
          <w:rFonts w:cs="Arial"/>
          <w:lang w:val="en-AU"/>
        </w:rPr>
        <w:t xml:space="preserve"> values of </w:t>
      </w:r>
      <w:r w:rsidR="00C91BF5">
        <w:rPr>
          <w:rFonts w:cs="Arial"/>
          <w:lang w:val="en-AU"/>
        </w:rPr>
        <w:fldChar w:fldCharType="begin"/>
      </w:r>
      <w:r w:rsidR="00CE0A33">
        <w:rPr>
          <w:rFonts w:cs="Arial"/>
          <w:lang w:val="en-AU"/>
        </w:rPr>
        <w:instrText xml:space="preserve"> ADDIN EN.CITE &lt;EndNote&gt;&lt;Cite AuthorYear="1"&gt;&lt;Author&gt;Smith&lt;/Author&gt;&lt;Year&gt;2016&lt;/Year&gt;&lt;RecNum&gt;35&lt;/RecNum&gt;&lt;DisplayText&gt;Smith et al. (2016b)&lt;/DisplayText&gt;&lt;record&gt;&lt;rec-number&gt;35&lt;/rec-number&gt;&lt;foreign-keys&gt;&lt;key app="EN" db-id="vvtrt2pt4xpx5teta99vvtwg50vzve2aexae" timestamp="1493157366"&gt;35&lt;/key&gt;&lt;/foreign-keys&gt;&lt;ref-type name="Journal Article"&gt;17&lt;/ref-type&gt;&lt;contributors&gt;&lt;authors&gt;&lt;author&gt;Smith, Rachael A.&lt;/author&gt;&lt;author&gt;Warne, Michael St J.&lt;/author&gt;&lt;author&gt;Mengersen, Kerrie&lt;/author&gt;&lt;author&gt;Turner, Ryan D. R.&lt;/author&gt;&lt;/authors&gt;&lt;/contributors&gt;&lt;titles&gt;&lt;title&gt;An improved method for calculating toxicity-based pollutant loads: Part 2. Application to contaminants discharged to the Great Barrier Reef, Queensland, Australia&lt;/title&gt;&lt;secondary-title&gt;Integrated Environmental Assessment and Management&lt;/secondary-title&gt;&lt;/titles&gt;&lt;periodical&gt;&lt;full-title&gt;Integrated Environmental Assessment and Management&lt;/full-title&gt;&lt;/periodical&gt;&lt;pages&gt;In press&lt;/pages&gt;&lt;keywords&gt;&lt;keyword&gt;Great Barrier Reef&lt;/keyword&gt;&lt;keyword&gt;Pollutant loads&lt;/keyword&gt;&lt;keyword&gt;Photosystem II herbicides&lt;/keyword&gt;&lt;keyword&gt;Relative-potency&lt;/keyword&gt;&lt;keyword&gt;Toxic equivalency factor&lt;/keyword&gt;&lt;/keywords&gt;&lt;dates&gt;&lt;year&gt;2016&lt;/year&gt;&lt;/dates&gt;&lt;isbn&gt;1551-3793&lt;/isbn&gt;&lt;urls&gt;&lt;related-urls&gt;&lt;url&gt;http://dx.doi.org/10.1002/ieam.1860&lt;/url&gt;&lt;/related-urls&gt;&lt;/urls&gt;&lt;electronic-resource-num&gt;10.1002/ieam.1860&lt;/electronic-resource-num&gt;&lt;/record&gt;&lt;/Cite&gt;&lt;/EndNote&gt;</w:instrText>
      </w:r>
      <w:r w:rsidR="00C91BF5">
        <w:rPr>
          <w:rFonts w:cs="Arial"/>
          <w:lang w:val="en-AU"/>
        </w:rPr>
        <w:fldChar w:fldCharType="separate"/>
      </w:r>
      <w:r w:rsidR="00CE0A33">
        <w:rPr>
          <w:rFonts w:cs="Arial"/>
          <w:noProof/>
          <w:lang w:val="en-AU"/>
        </w:rPr>
        <w:t>Smith et al. (2016b)</w:t>
      </w:r>
      <w:r w:rsidR="00C91BF5">
        <w:rPr>
          <w:rFonts w:cs="Arial"/>
          <w:lang w:val="en-AU"/>
        </w:rPr>
        <w:fldChar w:fldCharType="end"/>
      </w:r>
      <w:r>
        <w:rPr>
          <w:rFonts w:cs="Arial"/>
          <w:lang w:val="en-AU"/>
        </w:rPr>
        <w:t xml:space="preserve"> and our previously derived RPF value</w:t>
      </w:r>
      <w:r w:rsidR="00386B94">
        <w:rPr>
          <w:rFonts w:cs="Arial"/>
          <w:lang w:val="en-AU"/>
        </w:rPr>
        <w:t>s</w:t>
      </w:r>
      <w:r w:rsidR="00E264EA">
        <w:rPr>
          <w:rFonts w:cs="Arial"/>
          <w:lang w:val="en-AU"/>
        </w:rPr>
        <w:t xml:space="preserve">, and the concomitant PSII herbicide equivalent concentrations </w:t>
      </w:r>
      <w:r w:rsidR="00935C61">
        <w:rPr>
          <w:rFonts w:cs="Arial"/>
          <w:lang w:val="en-AU"/>
        </w:rPr>
        <w:t xml:space="preserve">for the current year </w:t>
      </w:r>
      <w:r w:rsidR="00E264EA">
        <w:rPr>
          <w:rFonts w:cs="Arial"/>
          <w:lang w:val="en-AU"/>
        </w:rPr>
        <w:t xml:space="preserve">using the two </w:t>
      </w:r>
      <w:r w:rsidR="00935C61">
        <w:rPr>
          <w:rFonts w:cs="Arial"/>
          <w:lang w:val="en-AU"/>
        </w:rPr>
        <w:t>different factors</w:t>
      </w:r>
      <w:r w:rsidR="00E264EA">
        <w:rPr>
          <w:rFonts w:cs="Arial"/>
          <w:lang w:val="en-AU"/>
        </w:rPr>
        <w:t>,</w:t>
      </w:r>
      <w:r w:rsidR="00386B94">
        <w:rPr>
          <w:rFonts w:cs="Arial"/>
          <w:lang w:val="en-AU"/>
        </w:rPr>
        <w:t xml:space="preserve"> is presented as </w:t>
      </w:r>
      <w:r w:rsidR="00660E0C">
        <w:rPr>
          <w:rFonts w:cs="Arial"/>
          <w:lang w:val="en-AU"/>
        </w:rPr>
        <w:t>part of the</w:t>
      </w:r>
      <w:r w:rsidR="00386B94">
        <w:rPr>
          <w:rFonts w:cs="Arial"/>
          <w:lang w:val="en-AU"/>
        </w:rPr>
        <w:t xml:space="preserve"> case study </w:t>
      </w:r>
      <w:r w:rsidR="00760089">
        <w:rPr>
          <w:rFonts w:cs="Arial"/>
          <w:lang w:val="en-AU"/>
        </w:rPr>
        <w:t>(</w:t>
      </w:r>
      <w:r w:rsidR="00660E0C">
        <w:rPr>
          <w:rFonts w:cs="Arial"/>
          <w:lang w:val="en-AU"/>
        </w:rPr>
        <w:t xml:space="preserve">Section </w:t>
      </w:r>
      <w:r w:rsidR="00C91BF5" w:rsidRPr="00660E0C">
        <w:rPr>
          <w:rFonts w:cs="Arial"/>
          <w:highlight w:val="yellow"/>
          <w:lang w:val="en-AU"/>
        </w:rPr>
        <w:fldChar w:fldCharType="begin"/>
      </w:r>
      <w:r w:rsidR="00660E0C" w:rsidRPr="00660E0C">
        <w:rPr>
          <w:rFonts w:cs="Arial"/>
          <w:lang w:val="en-AU"/>
        </w:rPr>
        <w:instrText xml:space="preserve"> REF _Ref480883671 \n \h </w:instrText>
      </w:r>
      <w:r w:rsidR="00C91BF5" w:rsidRPr="00660E0C">
        <w:rPr>
          <w:rFonts w:cs="Arial"/>
          <w:highlight w:val="yellow"/>
          <w:lang w:val="en-AU"/>
        </w:rPr>
      </w:r>
      <w:r w:rsidR="00C91BF5" w:rsidRPr="00660E0C">
        <w:rPr>
          <w:rFonts w:cs="Arial"/>
          <w:highlight w:val="yellow"/>
          <w:lang w:val="en-AU"/>
        </w:rPr>
        <w:fldChar w:fldCharType="separate"/>
      </w:r>
      <w:r w:rsidR="00D12276">
        <w:rPr>
          <w:rFonts w:cs="Arial"/>
          <w:lang w:val="en-AU"/>
        </w:rPr>
        <w:t>8</w:t>
      </w:r>
      <w:r w:rsidR="00C91BF5" w:rsidRPr="00660E0C">
        <w:rPr>
          <w:rFonts w:cs="Arial"/>
          <w:highlight w:val="yellow"/>
          <w:lang w:val="en-AU"/>
        </w:rPr>
        <w:fldChar w:fldCharType="end"/>
      </w:r>
      <w:r w:rsidR="00760089" w:rsidRPr="00660E0C">
        <w:rPr>
          <w:rFonts w:cs="Arial"/>
          <w:lang w:val="en-AU"/>
        </w:rPr>
        <w:t>)</w:t>
      </w:r>
      <w:r w:rsidR="00386B94" w:rsidRPr="00660E0C">
        <w:rPr>
          <w:rFonts w:cs="Arial"/>
          <w:lang w:val="en-AU"/>
        </w:rPr>
        <w:t>.</w:t>
      </w:r>
    </w:p>
    <w:p w14:paraId="15720E66" w14:textId="77777777" w:rsidR="002D401F" w:rsidRDefault="002D401F" w:rsidP="00A936CD">
      <w:pPr>
        <w:pStyle w:val="ListParagraph"/>
        <w:spacing w:line="276" w:lineRule="auto"/>
        <w:ind w:left="0"/>
        <w:rPr>
          <w:rFonts w:cs="Arial"/>
          <w:lang w:val="en-AU"/>
        </w:rPr>
      </w:pPr>
    </w:p>
    <w:p w14:paraId="15720E67" w14:textId="77777777" w:rsidR="00CC1A49" w:rsidRDefault="00035468" w:rsidP="00220439">
      <w:pPr>
        <w:pStyle w:val="Heading30"/>
        <w:numPr>
          <w:ilvl w:val="2"/>
          <w:numId w:val="1"/>
        </w:numPr>
      </w:pPr>
      <w:bookmarkStart w:id="291" w:name="_Ref480884187"/>
      <w:bookmarkStart w:id="292" w:name="_Toc502500001"/>
      <w:r>
        <w:t xml:space="preserve">Risk assessment </w:t>
      </w:r>
      <w:r w:rsidR="00CC1A49">
        <w:t xml:space="preserve">metric – </w:t>
      </w:r>
      <w:r>
        <w:t>multi</w:t>
      </w:r>
      <w:r w:rsidR="00CC1A49" w:rsidRPr="00CC1A49">
        <w:t>substance</w:t>
      </w:r>
      <w:r>
        <w:t>-</w:t>
      </w:r>
      <w:r w:rsidR="00CC1A49" w:rsidRPr="00CC1A49">
        <w:t>potentially affected fraction (ms-PAF)</w:t>
      </w:r>
      <w:bookmarkEnd w:id="291"/>
      <w:bookmarkEnd w:id="292"/>
    </w:p>
    <w:p w14:paraId="15720E6A" w14:textId="263AB2C2" w:rsidR="00854FE6" w:rsidRDefault="000F089E" w:rsidP="00854FE6">
      <w:pPr>
        <w:spacing w:line="276" w:lineRule="auto"/>
        <w:rPr>
          <w:lang w:val="en-AU" w:eastAsia="en-AU"/>
        </w:rPr>
      </w:pPr>
      <w:r>
        <w:rPr>
          <w:lang w:val="en-AU" w:eastAsia="en-AU"/>
        </w:rPr>
        <w:t>T</w:t>
      </w:r>
      <w:r w:rsidRPr="00EB58CA">
        <w:rPr>
          <w:lang w:val="en-AU" w:eastAsia="en-AU"/>
        </w:rPr>
        <w:t xml:space="preserve">he </w:t>
      </w:r>
      <w:r>
        <w:rPr>
          <w:lang w:val="en-AU" w:eastAsia="en-AU"/>
        </w:rPr>
        <w:t>multis</w:t>
      </w:r>
      <w:r w:rsidRPr="002632EA">
        <w:rPr>
          <w:lang w:val="en-AU" w:eastAsia="en-AU"/>
        </w:rPr>
        <w:t>ubstance-</w:t>
      </w:r>
      <w:r>
        <w:rPr>
          <w:lang w:val="en-AU" w:eastAsia="en-AU"/>
        </w:rPr>
        <w:t>p</w:t>
      </w:r>
      <w:r w:rsidRPr="002632EA">
        <w:rPr>
          <w:lang w:val="en-AU" w:eastAsia="en-AU"/>
        </w:rPr>
        <w:t xml:space="preserve">otentially </w:t>
      </w:r>
      <w:r>
        <w:rPr>
          <w:lang w:val="en-AU" w:eastAsia="en-AU"/>
        </w:rPr>
        <w:t>a</w:t>
      </w:r>
      <w:r w:rsidRPr="002632EA">
        <w:rPr>
          <w:lang w:val="en-AU" w:eastAsia="en-AU"/>
        </w:rPr>
        <w:t xml:space="preserve">ffected </w:t>
      </w:r>
      <w:r>
        <w:rPr>
          <w:lang w:val="en-AU" w:eastAsia="en-AU"/>
        </w:rPr>
        <w:t>f</w:t>
      </w:r>
      <w:r w:rsidRPr="002632EA">
        <w:rPr>
          <w:lang w:val="en-AU" w:eastAsia="en-AU"/>
        </w:rPr>
        <w:t xml:space="preserve">raction </w:t>
      </w:r>
      <w:r>
        <w:rPr>
          <w:lang w:val="en-AU" w:eastAsia="en-AU"/>
        </w:rPr>
        <w:t>(</w:t>
      </w:r>
      <w:r w:rsidRPr="00EB58CA">
        <w:rPr>
          <w:lang w:val="en-AU" w:eastAsia="en-AU"/>
        </w:rPr>
        <w:t>ms</w:t>
      </w:r>
      <w:r>
        <w:rPr>
          <w:lang w:val="en-AU" w:eastAsia="en-AU"/>
        </w:rPr>
        <w:t>-</w:t>
      </w:r>
      <w:r w:rsidRPr="00EB58CA">
        <w:rPr>
          <w:lang w:val="en-AU" w:eastAsia="en-AU"/>
        </w:rPr>
        <w:t>PAF</w:t>
      </w:r>
      <w:r>
        <w:rPr>
          <w:lang w:val="en-AU" w:eastAsia="en-AU"/>
        </w:rPr>
        <w:t xml:space="preserve">) method </w:t>
      </w:r>
      <w:r w:rsidR="00C91BF5">
        <w:rPr>
          <w:lang w:val="en-AU" w:eastAsia="en-AU"/>
        </w:rPr>
        <w:fldChar w:fldCharType="begin"/>
      </w:r>
      <w:r w:rsidR="009D4492">
        <w:rPr>
          <w:lang w:val="en-AU" w:eastAsia="en-AU"/>
        </w:rPr>
        <w:instrText xml:space="preserve"> ADDIN EN.CITE &lt;EndNote&gt;&lt;Cite&gt;&lt;Author&gt;Traas&lt;/Author&gt;&lt;Year&gt;2002&lt;/Year&gt;&lt;RecNum&gt;36&lt;/RecNum&gt;&lt;DisplayText&gt;(Traas et al., 2002)&lt;/DisplayText&gt;&lt;record&gt;&lt;rec-number&gt;36&lt;/rec-number&gt;&lt;foreign-keys&gt;&lt;key app="EN" db-id="vvtrt2pt4xpx5teta99vvtwg50vzve2aexae" timestamp="1493157367"&gt;36&lt;/key&gt;&lt;/foreign-keys&gt;&lt;ref-type name="Generic"&gt;13&lt;/ref-type&gt;&lt;contributors&gt;&lt;authors&gt;&lt;author&gt;Traas, Theo P&lt;/author&gt;&lt;author&gt;van de Meent, Dik&lt;/author&gt;&lt;author&gt;Posthuma, Leo&lt;/author&gt;&lt;author&gt;Hamers, Timo&lt;/author&gt;&lt;author&gt;Kater, Belinda J&lt;/author&gt;&lt;author&gt;De Zwart, Dick&lt;/author&gt;&lt;author&gt;Aldenberg, Tom&lt;/author&gt;&lt;/authors&gt;&lt;/contributors&gt;&lt;titles&gt;&lt;title&gt;The potentially affected fraction as a measure of ecological risk&lt;/title&gt;&lt;/titles&gt;&lt;pages&gt;315-344&lt;/pages&gt;&lt;dates&gt;&lt;year&gt;2002&lt;/year&gt;&lt;/dates&gt;&lt;publisher&gt;CRC Press: Boca Raton, FL&lt;/publisher&gt;&lt;urls&gt;&lt;/urls&gt;&lt;/record&gt;&lt;/Cite&gt;&lt;/EndNote&gt;</w:instrText>
      </w:r>
      <w:r w:rsidR="00C91BF5">
        <w:rPr>
          <w:lang w:val="en-AU" w:eastAsia="en-AU"/>
        </w:rPr>
        <w:fldChar w:fldCharType="separate"/>
      </w:r>
      <w:r w:rsidR="009D4492">
        <w:rPr>
          <w:noProof/>
          <w:lang w:val="en-AU" w:eastAsia="en-AU"/>
        </w:rPr>
        <w:t>(Traas et al., 2002)</w:t>
      </w:r>
      <w:r w:rsidR="00C91BF5">
        <w:rPr>
          <w:lang w:val="en-AU" w:eastAsia="en-AU"/>
        </w:rPr>
        <w:fldChar w:fldCharType="end"/>
      </w:r>
      <w:r>
        <w:rPr>
          <w:lang w:val="en-AU" w:eastAsia="en-AU"/>
        </w:rPr>
        <w:t xml:space="preserve"> has been</w:t>
      </w:r>
      <w:r w:rsidRPr="00EB58CA">
        <w:rPr>
          <w:lang w:val="en-AU" w:eastAsia="en-AU"/>
        </w:rPr>
        <w:t xml:space="preserve"> proposed as a </w:t>
      </w:r>
      <w:r>
        <w:rPr>
          <w:lang w:val="en-AU" w:eastAsia="en-AU"/>
        </w:rPr>
        <w:t>more robust approach</w:t>
      </w:r>
      <w:r w:rsidRPr="00EB58CA">
        <w:rPr>
          <w:lang w:val="en-AU" w:eastAsia="en-AU"/>
        </w:rPr>
        <w:t xml:space="preserve"> to quantify the overall ecological risk of mixtures of pollutants for ecological communities</w:t>
      </w:r>
      <w:r>
        <w:rPr>
          <w:lang w:val="en-AU" w:eastAsia="en-AU"/>
        </w:rPr>
        <w:t xml:space="preserve">. </w:t>
      </w:r>
      <w:r w:rsidR="00A311E9">
        <w:t xml:space="preserve">The ms-PAF approach uses species sensitivity distributions (SSDs) from peer-reviewed ecotoxicity data published in the scientific literature or in reputable ecotoxicity databases such as the database published by the USEPA Office of Pesticide Program. SSDs are a well-documented method for estimating the adverse effects a concentration of a contaminant may have on an aquatic ecosystem, and are used in deriving water quality </w:t>
      </w:r>
      <w:r w:rsidR="00B31A9E">
        <w:t>GVs</w:t>
      </w:r>
      <w:r w:rsidR="00A311E9">
        <w:t xml:space="preserve">. </w:t>
      </w:r>
      <w:r w:rsidR="00AB45D5">
        <w:rPr>
          <w:lang w:val="en-AU" w:eastAsia="en-AU"/>
        </w:rPr>
        <w:t>The</w:t>
      </w:r>
      <w:r w:rsidR="00A311E9">
        <w:rPr>
          <w:lang w:val="en-AU" w:eastAsia="en-AU"/>
        </w:rPr>
        <w:t xml:space="preserve"> approach is based on SSDs for all chemicals in a mixture and thus aligns more closely with the revised methods for proposed individual GV derivation, as well as the risk-based approach adopted by the Paddock to Reef program. </w:t>
      </w:r>
      <w:r>
        <w:rPr>
          <w:lang w:val="en-AU" w:eastAsia="en-AU"/>
        </w:rPr>
        <w:t>T</w:t>
      </w:r>
      <w:r w:rsidR="00854FE6" w:rsidRPr="00EB58CA">
        <w:rPr>
          <w:lang w:val="en-AU" w:eastAsia="en-AU"/>
        </w:rPr>
        <w:t>he potentially affected fraction o</w:t>
      </w:r>
      <w:r w:rsidR="000D6E4C">
        <w:rPr>
          <w:lang w:val="en-AU" w:eastAsia="en-AU"/>
        </w:rPr>
        <w:t xml:space="preserve">f species, </w:t>
      </w:r>
      <w:r w:rsidR="00830724">
        <w:rPr>
          <w:lang w:val="en-AU" w:eastAsia="en-AU"/>
        </w:rPr>
        <w:t>i.e. per</w:t>
      </w:r>
      <w:r w:rsidR="000D6E4C">
        <w:rPr>
          <w:lang w:val="en-AU" w:eastAsia="en-AU"/>
        </w:rPr>
        <w:t>cent of species in an ecosystem</w:t>
      </w:r>
      <w:r w:rsidR="00830724">
        <w:rPr>
          <w:lang w:val="en-AU" w:eastAsia="en-AU"/>
        </w:rPr>
        <w:t xml:space="preserve"> </w:t>
      </w:r>
      <w:r w:rsidR="00854FE6" w:rsidRPr="00EB58CA">
        <w:rPr>
          <w:lang w:val="en-AU" w:eastAsia="en-AU"/>
        </w:rPr>
        <w:t xml:space="preserve">that will theoretically be affected at a </w:t>
      </w:r>
      <w:r w:rsidR="00854FE6">
        <w:rPr>
          <w:lang w:val="en-AU" w:eastAsia="en-AU"/>
        </w:rPr>
        <w:t>given</w:t>
      </w:r>
      <w:r w:rsidR="00854FE6" w:rsidRPr="00EB58CA">
        <w:rPr>
          <w:lang w:val="en-AU" w:eastAsia="en-AU"/>
        </w:rPr>
        <w:t xml:space="preserve"> </w:t>
      </w:r>
      <w:r w:rsidR="00B01D70" w:rsidRPr="00EB58CA">
        <w:rPr>
          <w:lang w:val="en-AU" w:eastAsia="en-AU"/>
        </w:rPr>
        <w:t xml:space="preserve">environmental </w:t>
      </w:r>
      <w:r w:rsidR="00830724" w:rsidRPr="00830724">
        <w:rPr>
          <w:lang w:val="en-AU" w:eastAsia="en-AU"/>
        </w:rPr>
        <w:t xml:space="preserve">mixture </w:t>
      </w:r>
      <w:r w:rsidR="00854FE6" w:rsidRPr="00EB58CA">
        <w:rPr>
          <w:lang w:val="en-AU" w:eastAsia="en-AU"/>
        </w:rPr>
        <w:t>concentration</w:t>
      </w:r>
      <w:r w:rsidR="000D6E4C">
        <w:rPr>
          <w:lang w:val="en-AU" w:eastAsia="en-AU"/>
        </w:rPr>
        <w:t xml:space="preserve">, </w:t>
      </w:r>
      <w:r w:rsidR="009230F2">
        <w:rPr>
          <w:lang w:val="en-AU" w:eastAsia="en-AU"/>
        </w:rPr>
        <w:t>is considered an</w:t>
      </w:r>
      <w:r w:rsidR="009230F2" w:rsidRPr="009230F2">
        <w:rPr>
          <w:lang w:val="en-AU" w:eastAsia="en-AU"/>
        </w:rPr>
        <w:t xml:space="preserve"> ecologicall</w:t>
      </w:r>
      <w:r w:rsidR="009230F2">
        <w:rPr>
          <w:lang w:val="en-AU" w:eastAsia="en-AU"/>
        </w:rPr>
        <w:t>y relevant assessment end point</w:t>
      </w:r>
      <w:r w:rsidR="009230F2" w:rsidRPr="009230F2">
        <w:rPr>
          <w:lang w:val="en-AU" w:eastAsia="en-AU"/>
        </w:rPr>
        <w:t xml:space="preserve"> which better suit</w:t>
      </w:r>
      <w:r w:rsidR="009230F2">
        <w:rPr>
          <w:lang w:val="en-AU" w:eastAsia="en-AU"/>
        </w:rPr>
        <w:t>s</w:t>
      </w:r>
      <w:r w:rsidR="009230F2" w:rsidRPr="009230F2">
        <w:rPr>
          <w:lang w:val="en-AU" w:eastAsia="en-AU"/>
        </w:rPr>
        <w:t xml:space="preserve"> the goals of </w:t>
      </w:r>
      <w:r w:rsidR="00642A99">
        <w:rPr>
          <w:lang w:val="en-AU" w:eastAsia="en-AU"/>
        </w:rPr>
        <w:t>Reef Plan</w:t>
      </w:r>
      <w:r w:rsidR="009230F2">
        <w:rPr>
          <w:lang w:val="en-AU" w:eastAsia="en-AU"/>
        </w:rPr>
        <w:t>.</w:t>
      </w:r>
    </w:p>
    <w:p w14:paraId="15720E6B" w14:textId="77777777" w:rsidR="00854FE6" w:rsidRDefault="00854FE6" w:rsidP="00854FE6">
      <w:pPr>
        <w:spacing w:line="276" w:lineRule="auto"/>
        <w:rPr>
          <w:lang w:val="en-AU" w:eastAsia="en-AU"/>
        </w:rPr>
      </w:pPr>
    </w:p>
    <w:p w14:paraId="15720E6C" w14:textId="357FB66B" w:rsidR="000F089E" w:rsidRDefault="00854FE6" w:rsidP="00854FE6">
      <w:pPr>
        <w:spacing w:line="276" w:lineRule="auto"/>
        <w:rPr>
          <w:lang w:val="en-AU" w:eastAsia="en-AU"/>
        </w:rPr>
      </w:pPr>
      <w:r w:rsidRPr="009C14F8">
        <w:rPr>
          <w:lang w:val="en-AU" w:eastAsia="en-AU"/>
        </w:rPr>
        <w:t xml:space="preserve">Unlike the </w:t>
      </w:r>
      <w:r w:rsidR="009D307F">
        <w:rPr>
          <w:lang w:val="en-AU" w:eastAsia="en-AU"/>
        </w:rPr>
        <w:t>HEq</w:t>
      </w:r>
      <w:r w:rsidRPr="009C14F8">
        <w:rPr>
          <w:lang w:val="en-AU" w:eastAsia="en-AU"/>
        </w:rPr>
        <w:t xml:space="preserve"> method, ms-PAF can account for </w:t>
      </w:r>
      <w:r w:rsidR="00E23AF9">
        <w:rPr>
          <w:lang w:val="en-AU" w:eastAsia="en-AU"/>
        </w:rPr>
        <w:t xml:space="preserve">both additive and </w:t>
      </w:r>
      <w:r w:rsidRPr="009C14F8">
        <w:rPr>
          <w:lang w:val="en-AU" w:eastAsia="en-AU"/>
        </w:rPr>
        <w:t>non-additive interactions</w:t>
      </w:r>
      <w:r w:rsidR="0098349D">
        <w:rPr>
          <w:lang w:val="en-AU" w:eastAsia="en-AU"/>
        </w:rPr>
        <w:t>;</w:t>
      </w:r>
      <w:r w:rsidR="00E23AF9">
        <w:rPr>
          <w:lang w:val="en-AU" w:eastAsia="en-AU"/>
        </w:rPr>
        <w:t xml:space="preserve"> i.e. </w:t>
      </w:r>
      <w:r w:rsidR="0098349D">
        <w:rPr>
          <w:lang w:val="en-AU" w:eastAsia="en-AU"/>
        </w:rPr>
        <w:t xml:space="preserve">it can determine a cumulative toxicity for a mixture of </w:t>
      </w:r>
      <w:r w:rsidR="00E23AF9">
        <w:rPr>
          <w:lang w:val="en-AU" w:eastAsia="en-AU"/>
        </w:rPr>
        <w:t xml:space="preserve">chemicals with </w:t>
      </w:r>
      <w:r w:rsidR="000D6E4C">
        <w:rPr>
          <w:lang w:val="en-AU" w:eastAsia="en-AU"/>
        </w:rPr>
        <w:t xml:space="preserve">the same toxic mode of action </w:t>
      </w:r>
      <w:r w:rsidR="00E23AF9">
        <w:rPr>
          <w:lang w:val="en-AU" w:eastAsia="en-AU"/>
        </w:rPr>
        <w:t>(</w:t>
      </w:r>
      <w:r w:rsidR="0098349D">
        <w:rPr>
          <w:lang w:val="en-AU" w:eastAsia="en-AU"/>
        </w:rPr>
        <w:t xml:space="preserve">e.g. </w:t>
      </w:r>
      <w:r w:rsidR="009C7C3C">
        <w:rPr>
          <w:lang w:val="en-AU" w:eastAsia="en-AU"/>
        </w:rPr>
        <w:t>for PSII inhibition,</w:t>
      </w:r>
      <w:r w:rsidR="0098349D">
        <w:rPr>
          <w:lang w:val="en-AU" w:eastAsia="en-AU"/>
        </w:rPr>
        <w:t xml:space="preserve"> effects</w:t>
      </w:r>
      <w:r w:rsidR="00E23AF9">
        <w:rPr>
          <w:lang w:val="en-AU" w:eastAsia="en-AU"/>
        </w:rPr>
        <w:t xml:space="preserve"> are </w:t>
      </w:r>
      <w:r w:rsidR="0098349D">
        <w:rPr>
          <w:lang w:val="en-AU" w:eastAsia="en-AU"/>
        </w:rPr>
        <w:t>assumed</w:t>
      </w:r>
      <w:r w:rsidR="00E23AF9">
        <w:rPr>
          <w:lang w:val="en-AU" w:eastAsia="en-AU"/>
        </w:rPr>
        <w:t xml:space="preserve"> additive</w:t>
      </w:r>
      <w:r w:rsidR="0098349D">
        <w:rPr>
          <w:lang w:val="en-AU" w:eastAsia="en-AU"/>
        </w:rPr>
        <w:t xml:space="preserve"> for all PSII-inhibit</w:t>
      </w:r>
      <w:r w:rsidR="009C7C3C">
        <w:rPr>
          <w:lang w:val="en-AU" w:eastAsia="en-AU"/>
        </w:rPr>
        <w:t>ing herbicides in a mixture</w:t>
      </w:r>
      <w:r w:rsidR="00E23AF9">
        <w:rPr>
          <w:lang w:val="en-AU" w:eastAsia="en-AU"/>
        </w:rPr>
        <w:t>)</w:t>
      </w:r>
      <w:r w:rsidR="0098349D">
        <w:rPr>
          <w:lang w:val="en-AU" w:eastAsia="en-AU"/>
        </w:rPr>
        <w:t>,</w:t>
      </w:r>
      <w:r w:rsidR="009230F2">
        <w:rPr>
          <w:lang w:val="en-AU" w:eastAsia="en-AU"/>
        </w:rPr>
        <w:t xml:space="preserve"> but also</w:t>
      </w:r>
      <w:r w:rsidR="0098349D">
        <w:rPr>
          <w:lang w:val="en-AU" w:eastAsia="en-AU"/>
        </w:rPr>
        <w:t xml:space="preserve"> for a mixtu</w:t>
      </w:r>
      <w:r w:rsidR="000D6E4C">
        <w:rPr>
          <w:lang w:val="en-AU" w:eastAsia="en-AU"/>
        </w:rPr>
        <w:t xml:space="preserve">re of chemicals with different </w:t>
      </w:r>
      <w:r w:rsidR="009C7C3C">
        <w:rPr>
          <w:lang w:val="en-AU" w:eastAsia="en-AU"/>
        </w:rPr>
        <w:t>modes of action</w:t>
      </w:r>
      <w:r w:rsidR="0098349D">
        <w:rPr>
          <w:lang w:val="en-AU" w:eastAsia="en-AU"/>
        </w:rPr>
        <w:t xml:space="preserve"> (non-additive</w:t>
      </w:r>
      <w:r w:rsidR="000F089E">
        <w:rPr>
          <w:lang w:val="en-AU" w:eastAsia="en-AU"/>
        </w:rPr>
        <w:t xml:space="preserve"> model</w:t>
      </w:r>
      <w:r w:rsidR="0098349D">
        <w:rPr>
          <w:lang w:val="en-AU" w:eastAsia="en-AU"/>
        </w:rPr>
        <w:t>)</w:t>
      </w:r>
      <w:r w:rsidR="000F089E">
        <w:rPr>
          <w:lang w:val="en-AU" w:eastAsia="en-AU"/>
        </w:rPr>
        <w:t>.</w:t>
      </w:r>
      <w:r w:rsidR="009230F2">
        <w:rPr>
          <w:lang w:val="en-AU" w:eastAsia="en-AU"/>
        </w:rPr>
        <w:t xml:space="preserve"> Non-additive interactions are</w:t>
      </w:r>
      <w:r w:rsidR="000F089E">
        <w:rPr>
          <w:lang w:val="en-AU" w:eastAsia="en-AU"/>
        </w:rPr>
        <w:t xml:space="preserve"> </w:t>
      </w:r>
      <w:r>
        <w:rPr>
          <w:lang w:val="en-AU" w:eastAsia="en-AU"/>
        </w:rPr>
        <w:t xml:space="preserve">an important consideration given the </w:t>
      </w:r>
      <w:r w:rsidR="009C7C3C">
        <w:rPr>
          <w:lang w:val="en-AU" w:eastAsia="en-AU"/>
        </w:rPr>
        <w:t xml:space="preserve">use of </w:t>
      </w:r>
      <w:r w:rsidR="00C15196">
        <w:rPr>
          <w:lang w:val="en-AU" w:eastAsia="en-AU"/>
        </w:rPr>
        <w:t>other</w:t>
      </w:r>
      <w:r>
        <w:rPr>
          <w:lang w:val="en-AU" w:eastAsia="en-AU"/>
        </w:rPr>
        <w:t xml:space="preserve"> pesticides with different modes of action in the Reef catchments.</w:t>
      </w:r>
      <w:r w:rsidRPr="00F36D83">
        <w:rPr>
          <w:lang w:val="en-AU" w:eastAsia="en-AU"/>
        </w:rPr>
        <w:t xml:space="preserve"> </w:t>
      </w:r>
    </w:p>
    <w:p w14:paraId="15720E6D" w14:textId="77777777" w:rsidR="000F089E" w:rsidRDefault="000F089E" w:rsidP="00854FE6">
      <w:pPr>
        <w:spacing w:line="276" w:lineRule="auto"/>
        <w:rPr>
          <w:lang w:val="en-AU" w:eastAsia="en-AU"/>
        </w:rPr>
      </w:pPr>
    </w:p>
    <w:p w14:paraId="15720E6E" w14:textId="4B9D1B7A" w:rsidR="007877E8" w:rsidRDefault="009C7C3C" w:rsidP="00854FE6">
      <w:pPr>
        <w:spacing w:line="276" w:lineRule="auto"/>
        <w:rPr>
          <w:rFonts w:cs="Arial"/>
          <w:lang w:val="en-AU"/>
        </w:rPr>
      </w:pPr>
      <w:r>
        <w:rPr>
          <w:rFonts w:cs="Arial"/>
          <w:lang w:val="en-AU"/>
        </w:rPr>
        <w:t>In the previous</w:t>
      </w:r>
      <w:r w:rsidR="00854FE6" w:rsidRPr="00854FE6">
        <w:rPr>
          <w:rFonts w:cs="Arial"/>
          <w:lang w:val="en-AU"/>
        </w:rPr>
        <w:t xml:space="preserve"> monitoring year</w:t>
      </w:r>
      <w:r>
        <w:rPr>
          <w:rFonts w:cs="Arial"/>
          <w:lang w:val="en-AU"/>
        </w:rPr>
        <w:t xml:space="preserve"> </w:t>
      </w:r>
      <w:r w:rsidR="00070AE2">
        <w:rPr>
          <w:rFonts w:cs="Arial"/>
          <w:lang w:val="en-AU"/>
        </w:rPr>
        <w:t>2014-15</w:t>
      </w:r>
      <w:r w:rsidR="00854FE6" w:rsidRPr="00854FE6">
        <w:rPr>
          <w:rFonts w:cs="Arial"/>
          <w:lang w:val="en-AU"/>
        </w:rPr>
        <w:t xml:space="preserve">, </w:t>
      </w:r>
      <w:r>
        <w:rPr>
          <w:rFonts w:cs="Arial"/>
          <w:lang w:val="en-AU"/>
        </w:rPr>
        <w:t xml:space="preserve">a case study </w:t>
      </w:r>
      <w:r w:rsidR="00854FE6" w:rsidRPr="00854FE6">
        <w:rPr>
          <w:rFonts w:cs="Arial"/>
          <w:lang w:val="en-AU"/>
        </w:rPr>
        <w:t xml:space="preserve">reported interim ms-PAF values and ms-PAF Max values (the maximum ms-PAF value detected at a fixed monitoring site in a given monitoring year) </w:t>
      </w:r>
      <w:r w:rsidRPr="00854FE6">
        <w:rPr>
          <w:rFonts w:cs="Arial"/>
          <w:lang w:val="en-AU"/>
        </w:rPr>
        <w:t xml:space="preserve">for five priority PSII herbicides </w:t>
      </w:r>
      <w:r w:rsidR="00854FE6" w:rsidRPr="00854FE6">
        <w:rPr>
          <w:rFonts w:cs="Arial"/>
          <w:lang w:val="en-AU"/>
        </w:rPr>
        <w:t xml:space="preserve">using SSDs provided by DSITI. </w:t>
      </w:r>
      <w:r>
        <w:rPr>
          <w:rFonts w:cs="Arial"/>
          <w:lang w:val="en-AU"/>
        </w:rPr>
        <w:t xml:space="preserve">Since then, the ms-PAF approach has been refined and SSDs for </w:t>
      </w:r>
      <w:r w:rsidR="00CC07F6">
        <w:rPr>
          <w:rFonts w:cs="Arial"/>
          <w:lang w:val="en-AU"/>
        </w:rPr>
        <w:t xml:space="preserve">28 pesticides </w:t>
      </w:r>
      <w:r>
        <w:rPr>
          <w:rFonts w:cs="Arial"/>
          <w:lang w:val="en-AU"/>
        </w:rPr>
        <w:t>have been determined</w:t>
      </w:r>
      <w:r w:rsidR="00652639">
        <w:rPr>
          <w:rFonts w:cs="Arial"/>
          <w:lang w:val="en-AU"/>
        </w:rPr>
        <w:t xml:space="preserve"> by DSITI and will be published in the coming year (see </w:t>
      </w:r>
      <w:r w:rsidR="005E7F56">
        <w:rPr>
          <w:rFonts w:cs="Arial"/>
          <w:lang w:val="en-AU"/>
        </w:rPr>
        <w:t xml:space="preserve">Section </w:t>
      </w:r>
      <w:r w:rsidR="00C91BF5">
        <w:rPr>
          <w:rFonts w:cs="Arial"/>
          <w:highlight w:val="yellow"/>
          <w:lang w:val="en-AU"/>
        </w:rPr>
        <w:fldChar w:fldCharType="begin"/>
      </w:r>
      <w:r w:rsidR="005E7F56">
        <w:rPr>
          <w:rFonts w:cs="Arial"/>
          <w:lang w:val="en-AU"/>
        </w:rPr>
        <w:instrText xml:space="preserve"> REF _Ref480883671 \n \h </w:instrText>
      </w:r>
      <w:r w:rsidR="00C91BF5">
        <w:rPr>
          <w:rFonts w:cs="Arial"/>
          <w:highlight w:val="yellow"/>
          <w:lang w:val="en-AU"/>
        </w:rPr>
      </w:r>
      <w:r w:rsidR="00C91BF5">
        <w:rPr>
          <w:rFonts w:cs="Arial"/>
          <w:highlight w:val="yellow"/>
          <w:lang w:val="en-AU"/>
        </w:rPr>
        <w:fldChar w:fldCharType="separate"/>
      </w:r>
      <w:r w:rsidR="00D12276">
        <w:rPr>
          <w:rFonts w:cs="Arial"/>
          <w:lang w:val="en-AU"/>
        </w:rPr>
        <w:t>8</w:t>
      </w:r>
      <w:r w:rsidR="00C91BF5">
        <w:rPr>
          <w:rFonts w:cs="Arial"/>
          <w:highlight w:val="yellow"/>
          <w:lang w:val="en-AU"/>
        </w:rPr>
        <w:fldChar w:fldCharType="end"/>
      </w:r>
      <w:r w:rsidR="005E7F56">
        <w:rPr>
          <w:rFonts w:cs="Arial"/>
          <w:lang w:val="en-AU"/>
        </w:rPr>
        <w:t xml:space="preserve"> for more information</w:t>
      </w:r>
      <w:r w:rsidR="00652639">
        <w:rPr>
          <w:rFonts w:cs="Arial"/>
          <w:lang w:val="en-AU"/>
        </w:rPr>
        <w:t>)</w:t>
      </w:r>
      <w:r>
        <w:rPr>
          <w:rFonts w:cs="Arial"/>
          <w:lang w:val="en-AU"/>
        </w:rPr>
        <w:t xml:space="preserve">. </w:t>
      </w:r>
      <w:r w:rsidR="00CC07F6">
        <w:t xml:space="preserve">The SSDs of each PSII herbicide, used in the ms-PAF calculation, are composed of five to 45 phototrophic species (depending on the availability of ecotoxicity data), with a total of 90 species used to calculate the PSII herbicide mixtures, almost one-third of which were marine </w:t>
      </w:r>
      <w:r w:rsidR="00BA2C05">
        <w:t>species, and included microalgal</w:t>
      </w:r>
      <w:r w:rsidR="00CC07F6">
        <w:t>, seag</w:t>
      </w:r>
      <w:r w:rsidR="00BA2C05">
        <w:t>rass, macrophyte and macroalgal species</w:t>
      </w:r>
      <w:r w:rsidR="00CC07F6">
        <w:t xml:space="preserve"> (King et al., 2017a). </w:t>
      </w:r>
      <w:r w:rsidR="00E817AE" w:rsidRPr="00E817AE">
        <w:rPr>
          <w:rFonts w:cs="Arial"/>
          <w:lang w:val="en-AU"/>
        </w:rPr>
        <w:t xml:space="preserve">The use of freshwater and estuarine species in the development of the SSDs may affect their </w:t>
      </w:r>
      <w:r w:rsidR="00B01D70">
        <w:rPr>
          <w:rFonts w:cs="Arial"/>
          <w:lang w:val="en-AU"/>
        </w:rPr>
        <w:t>representivity</w:t>
      </w:r>
      <w:r w:rsidR="00B01D70" w:rsidRPr="00E817AE">
        <w:rPr>
          <w:rFonts w:cs="Arial"/>
          <w:lang w:val="en-AU"/>
        </w:rPr>
        <w:t xml:space="preserve"> </w:t>
      </w:r>
      <w:r w:rsidR="00E817AE" w:rsidRPr="00E817AE">
        <w:rPr>
          <w:rFonts w:cs="Arial"/>
          <w:lang w:val="en-AU"/>
        </w:rPr>
        <w:t>and relevance to the Ree</w:t>
      </w:r>
      <w:r w:rsidR="00E817AE">
        <w:rPr>
          <w:rFonts w:cs="Arial"/>
          <w:lang w:val="en-AU"/>
        </w:rPr>
        <w:t>f marine environment</w:t>
      </w:r>
      <w:r w:rsidR="00C15196">
        <w:rPr>
          <w:rFonts w:cs="Arial"/>
          <w:lang w:val="en-AU"/>
        </w:rPr>
        <w:t xml:space="preserve"> and requires further investigation.</w:t>
      </w:r>
      <w:r w:rsidR="00E817AE">
        <w:rPr>
          <w:rFonts w:cs="Arial"/>
          <w:lang w:val="en-AU"/>
        </w:rPr>
        <w:t xml:space="preserve"> H</w:t>
      </w:r>
      <w:r w:rsidR="00E817AE" w:rsidRPr="00E817AE">
        <w:rPr>
          <w:rFonts w:cs="Arial"/>
          <w:lang w:val="en-AU"/>
        </w:rPr>
        <w:t>owever</w:t>
      </w:r>
      <w:r w:rsidR="00E817AE">
        <w:rPr>
          <w:rFonts w:cs="Arial"/>
          <w:lang w:val="en-AU"/>
        </w:rPr>
        <w:t>, t</w:t>
      </w:r>
      <w:r w:rsidR="00E817AE" w:rsidRPr="00E817AE">
        <w:rPr>
          <w:rFonts w:cs="Arial"/>
          <w:lang w:val="en-AU"/>
        </w:rPr>
        <w:t>he inclusion of new chronic data (Negri et al., 2015) (excluded from previous GVs but of demonstrated local relevance)</w:t>
      </w:r>
      <w:r w:rsidR="00E817AE">
        <w:rPr>
          <w:rFonts w:cs="Arial"/>
          <w:lang w:val="en-AU"/>
        </w:rPr>
        <w:t>,</w:t>
      </w:r>
      <w:r w:rsidR="00E817AE" w:rsidRPr="00E817AE">
        <w:rPr>
          <w:rFonts w:cs="Arial"/>
          <w:lang w:val="en-AU"/>
        </w:rPr>
        <w:t xml:space="preserve"> </w:t>
      </w:r>
      <w:r w:rsidR="007B3463">
        <w:rPr>
          <w:rFonts w:cs="Arial"/>
          <w:lang w:val="en-AU"/>
        </w:rPr>
        <w:t>are likely to</w:t>
      </w:r>
      <w:r w:rsidR="00E817AE" w:rsidRPr="00E817AE">
        <w:rPr>
          <w:rFonts w:cs="Arial"/>
          <w:lang w:val="en-AU"/>
        </w:rPr>
        <w:t xml:space="preserve"> improve </w:t>
      </w:r>
      <w:r w:rsidR="00CC07F6">
        <w:rPr>
          <w:rFonts w:cs="Arial"/>
          <w:lang w:val="en-AU"/>
        </w:rPr>
        <w:t>representivity</w:t>
      </w:r>
      <w:r w:rsidR="00CC07F6" w:rsidRPr="00E817AE">
        <w:rPr>
          <w:rFonts w:cs="Arial"/>
          <w:lang w:val="en-AU"/>
        </w:rPr>
        <w:t xml:space="preserve"> </w:t>
      </w:r>
      <w:r w:rsidR="00E817AE" w:rsidRPr="00E817AE">
        <w:rPr>
          <w:rFonts w:cs="Arial"/>
          <w:lang w:val="en-AU"/>
        </w:rPr>
        <w:t>of the SSDs.</w:t>
      </w:r>
      <w:r w:rsidR="00E817AE">
        <w:rPr>
          <w:rFonts w:cs="Arial"/>
          <w:lang w:val="en-AU"/>
        </w:rPr>
        <w:t xml:space="preserve"> Work to develop the non-additive model for a wider range of pesticides, many relevant to the Reef, </w:t>
      </w:r>
      <w:r w:rsidR="00652639">
        <w:rPr>
          <w:rFonts w:cs="Arial"/>
          <w:lang w:val="en-AU"/>
        </w:rPr>
        <w:t>which</w:t>
      </w:r>
      <w:r w:rsidR="00E817AE">
        <w:rPr>
          <w:rFonts w:cs="Arial"/>
          <w:lang w:val="en-AU"/>
        </w:rPr>
        <w:t xml:space="preserve"> have different modes of action is on-going. The ultimate aim is to report a single </w:t>
      </w:r>
      <w:r w:rsidR="00652639" w:rsidRPr="00652639">
        <w:rPr>
          <w:rFonts w:cs="Arial"/>
          <w:lang w:val="en-AU"/>
        </w:rPr>
        <w:t>assessment end point</w:t>
      </w:r>
      <w:r w:rsidR="00652639">
        <w:rPr>
          <w:rFonts w:cs="Arial"/>
          <w:lang w:val="en-AU"/>
        </w:rPr>
        <w:t xml:space="preserve"> (PAF) for all monitored pesticides detected in the MMP program. </w:t>
      </w:r>
    </w:p>
    <w:p w14:paraId="15720E6F" w14:textId="77777777" w:rsidR="007877E8" w:rsidRDefault="007877E8" w:rsidP="00854FE6">
      <w:pPr>
        <w:spacing w:line="276" w:lineRule="auto"/>
        <w:rPr>
          <w:rFonts w:cs="Arial"/>
          <w:lang w:val="en-AU"/>
        </w:rPr>
      </w:pPr>
    </w:p>
    <w:p w14:paraId="15720E70" w14:textId="42357055" w:rsidR="00854FE6" w:rsidRDefault="00652639" w:rsidP="00854FE6">
      <w:pPr>
        <w:spacing w:line="276" w:lineRule="auto"/>
        <w:rPr>
          <w:rFonts w:cs="Arial"/>
          <w:lang w:val="en-AU"/>
        </w:rPr>
      </w:pPr>
      <w:r>
        <w:rPr>
          <w:rFonts w:cs="Arial"/>
          <w:lang w:val="en-AU"/>
        </w:rPr>
        <w:t xml:space="preserve">The SSDs </w:t>
      </w:r>
      <w:r w:rsidR="00F030FF">
        <w:rPr>
          <w:rFonts w:cs="Arial"/>
          <w:lang w:val="en-AU"/>
        </w:rPr>
        <w:t>used in</w:t>
      </w:r>
      <w:r>
        <w:rPr>
          <w:rFonts w:cs="Arial"/>
          <w:lang w:val="en-AU"/>
        </w:rPr>
        <w:t xml:space="preserve"> the ms-PAF approach (both additive and non-additive) are also the basis for the proposed GVs that will be </w:t>
      </w:r>
      <w:r w:rsidRPr="00652639">
        <w:rPr>
          <w:rFonts w:cs="Arial"/>
          <w:lang w:val="en-AU"/>
        </w:rPr>
        <w:t>submitted for national endorsement</w:t>
      </w:r>
      <w:r w:rsidR="007877E8">
        <w:rPr>
          <w:rFonts w:cs="Arial"/>
          <w:lang w:val="en-AU"/>
        </w:rPr>
        <w:t xml:space="preserve"> </w:t>
      </w:r>
      <w:r w:rsidR="007877E8" w:rsidRPr="00C72CA2">
        <w:rPr>
          <w:rFonts w:cs="Arial"/>
          <w:lang w:val="en-AU"/>
        </w:rPr>
        <w:t>and inclusion into the Australian and New Zealand water quality guidelines</w:t>
      </w:r>
      <w:r w:rsidR="007877E8">
        <w:rPr>
          <w:rFonts w:cs="Arial"/>
          <w:lang w:val="en-AU"/>
        </w:rPr>
        <w:t xml:space="preserve"> (see </w:t>
      </w:r>
      <w:r w:rsidR="00997B02">
        <w:rPr>
          <w:rFonts w:cs="Arial"/>
          <w:lang w:val="en-AU"/>
        </w:rPr>
        <w:t>S</w:t>
      </w:r>
      <w:r w:rsidR="007877E8">
        <w:rPr>
          <w:rFonts w:cs="Arial"/>
          <w:lang w:val="en-AU"/>
        </w:rPr>
        <w:t xml:space="preserve">ection </w:t>
      </w:r>
      <w:r w:rsidR="00C91BF5">
        <w:rPr>
          <w:rFonts w:cs="Arial"/>
          <w:lang w:val="en-AU"/>
        </w:rPr>
        <w:fldChar w:fldCharType="begin"/>
      </w:r>
      <w:r w:rsidR="007058AB">
        <w:rPr>
          <w:rFonts w:cs="Arial"/>
          <w:lang w:val="en-AU"/>
        </w:rPr>
        <w:instrText xml:space="preserve"> REF _Ref480727057 \n \h </w:instrText>
      </w:r>
      <w:r w:rsidR="00C91BF5">
        <w:rPr>
          <w:rFonts w:cs="Arial"/>
          <w:lang w:val="en-AU"/>
        </w:rPr>
      </w:r>
      <w:r w:rsidR="00C91BF5">
        <w:rPr>
          <w:rFonts w:cs="Arial"/>
          <w:lang w:val="en-AU"/>
        </w:rPr>
        <w:fldChar w:fldCharType="separate"/>
      </w:r>
      <w:r w:rsidR="00D12276">
        <w:rPr>
          <w:rFonts w:cs="Arial"/>
          <w:lang w:val="en-AU"/>
        </w:rPr>
        <w:t>3.5.1</w:t>
      </w:r>
      <w:r w:rsidR="00C91BF5">
        <w:rPr>
          <w:rFonts w:cs="Arial"/>
          <w:lang w:val="en-AU"/>
        </w:rPr>
        <w:fldChar w:fldCharType="end"/>
      </w:r>
      <w:r w:rsidR="007877E8">
        <w:rPr>
          <w:rFonts w:cs="Arial"/>
          <w:lang w:val="en-AU"/>
        </w:rPr>
        <w:t>). Until endorsed, the SSDs are considered interim.</w:t>
      </w:r>
      <w:r w:rsidRPr="00652639">
        <w:rPr>
          <w:rFonts w:cs="Arial"/>
          <w:lang w:val="en-AU"/>
        </w:rPr>
        <w:t xml:space="preserve"> </w:t>
      </w:r>
      <w:r>
        <w:rPr>
          <w:rFonts w:cs="Arial"/>
          <w:lang w:val="en-AU"/>
        </w:rPr>
        <w:t>For the current report, to avoid retrospective adjustment to reported ms-PAF data</w:t>
      </w:r>
      <w:r w:rsidR="007877E8">
        <w:rPr>
          <w:rFonts w:cs="Arial"/>
          <w:lang w:val="en-AU"/>
        </w:rPr>
        <w:t xml:space="preserve">, the ms-PAF values for the current year only are given </w:t>
      </w:r>
      <w:r w:rsidR="007877E8">
        <w:rPr>
          <w:rFonts w:cs="Arial"/>
          <w:lang w:val="en-AU"/>
        </w:rPr>
        <w:lastRenderedPageBreak/>
        <w:t xml:space="preserve">in </w:t>
      </w:r>
      <w:r w:rsidR="00F030FF">
        <w:rPr>
          <w:rFonts w:cs="Arial"/>
          <w:lang w:val="en-AU"/>
        </w:rPr>
        <w:t>a</w:t>
      </w:r>
      <w:r w:rsidR="005E7F56">
        <w:rPr>
          <w:rFonts w:cs="Arial"/>
          <w:lang w:val="en-AU"/>
        </w:rPr>
        <w:t xml:space="preserve"> </w:t>
      </w:r>
      <w:r w:rsidR="00F030FF">
        <w:rPr>
          <w:rFonts w:cs="Arial"/>
          <w:lang w:val="en-AU"/>
        </w:rPr>
        <w:t>C</w:t>
      </w:r>
      <w:r w:rsidR="005E7F56">
        <w:rPr>
          <w:rFonts w:cs="Arial"/>
          <w:lang w:val="en-AU"/>
        </w:rPr>
        <w:t xml:space="preserve">ase </w:t>
      </w:r>
      <w:r w:rsidR="00F030FF">
        <w:rPr>
          <w:rFonts w:cs="Arial"/>
          <w:lang w:val="en-AU"/>
        </w:rPr>
        <w:t>S</w:t>
      </w:r>
      <w:r w:rsidR="005E7F56">
        <w:rPr>
          <w:rFonts w:cs="Arial"/>
          <w:lang w:val="en-AU"/>
        </w:rPr>
        <w:t xml:space="preserve">tudy reported in </w:t>
      </w:r>
      <w:r w:rsidR="00997B02">
        <w:rPr>
          <w:rFonts w:cs="Arial"/>
          <w:lang w:val="en-AU"/>
        </w:rPr>
        <w:t xml:space="preserve">Section </w:t>
      </w:r>
      <w:r w:rsidR="00997B02" w:rsidRPr="00660E0C">
        <w:rPr>
          <w:rFonts w:cs="Arial"/>
          <w:highlight w:val="yellow"/>
          <w:lang w:val="en-AU"/>
        </w:rPr>
        <w:fldChar w:fldCharType="begin"/>
      </w:r>
      <w:r w:rsidR="00997B02" w:rsidRPr="00660E0C">
        <w:rPr>
          <w:rFonts w:cs="Arial"/>
          <w:lang w:val="en-AU"/>
        </w:rPr>
        <w:instrText xml:space="preserve"> REF _Ref480883671 \n \h </w:instrText>
      </w:r>
      <w:r w:rsidR="00997B02" w:rsidRPr="00660E0C">
        <w:rPr>
          <w:rFonts w:cs="Arial"/>
          <w:highlight w:val="yellow"/>
          <w:lang w:val="en-AU"/>
        </w:rPr>
      </w:r>
      <w:r w:rsidR="00997B02" w:rsidRPr="00660E0C">
        <w:rPr>
          <w:rFonts w:cs="Arial"/>
          <w:highlight w:val="yellow"/>
          <w:lang w:val="en-AU"/>
        </w:rPr>
        <w:fldChar w:fldCharType="separate"/>
      </w:r>
      <w:r w:rsidR="00D12276">
        <w:rPr>
          <w:rFonts w:cs="Arial"/>
          <w:lang w:val="en-AU"/>
        </w:rPr>
        <w:t>8</w:t>
      </w:r>
      <w:r w:rsidR="00997B02" w:rsidRPr="00660E0C">
        <w:rPr>
          <w:rFonts w:cs="Arial"/>
          <w:highlight w:val="yellow"/>
          <w:lang w:val="en-AU"/>
        </w:rPr>
        <w:fldChar w:fldCharType="end"/>
      </w:r>
      <w:r w:rsidR="005E7F56">
        <w:rPr>
          <w:rFonts w:cs="Arial"/>
          <w:lang w:val="en-AU"/>
        </w:rPr>
        <w:t xml:space="preserve"> </w:t>
      </w:r>
      <w:r w:rsidR="007877E8">
        <w:rPr>
          <w:rFonts w:cs="Arial"/>
          <w:lang w:val="en-AU"/>
        </w:rPr>
        <w:t xml:space="preserve">together with a comparison of the ms-PAF method compared to the PSII Herbicide Index </w:t>
      </w:r>
      <w:r w:rsidR="000E0F32">
        <w:rPr>
          <w:rFonts w:cs="Arial"/>
          <w:lang w:val="en-AU"/>
        </w:rPr>
        <w:t>for</w:t>
      </w:r>
      <w:r w:rsidR="007877E8">
        <w:rPr>
          <w:rFonts w:cs="Arial"/>
          <w:lang w:val="en-AU"/>
        </w:rPr>
        <w:t xml:space="preserve"> the current year’s results to assess ecological risk. </w:t>
      </w:r>
    </w:p>
    <w:p w14:paraId="15720E71" w14:textId="77777777" w:rsidR="00386B94" w:rsidRDefault="00386B94" w:rsidP="00A936CD">
      <w:pPr>
        <w:pStyle w:val="ListParagraph"/>
        <w:spacing w:line="276" w:lineRule="auto"/>
        <w:ind w:left="0"/>
        <w:rPr>
          <w:lang w:val="en-AU"/>
        </w:rPr>
      </w:pPr>
    </w:p>
    <w:p w14:paraId="15720E72" w14:textId="77777777" w:rsidR="00BA71CA" w:rsidRPr="004E0EF8" w:rsidRDefault="00BA71CA" w:rsidP="00220439">
      <w:pPr>
        <w:pStyle w:val="Heading30"/>
        <w:numPr>
          <w:ilvl w:val="2"/>
          <w:numId w:val="1"/>
        </w:numPr>
      </w:pPr>
      <w:bookmarkStart w:id="293" w:name="_Toc461457758"/>
      <w:bookmarkStart w:id="294" w:name="_Ref480911218"/>
      <w:bookmarkStart w:id="295" w:name="_Toc502500002"/>
      <w:r w:rsidRPr="004E0EF8">
        <w:t>Mapping the frequency and extent of flood plumes (frequency maps)</w:t>
      </w:r>
      <w:bookmarkEnd w:id="293"/>
      <w:bookmarkEnd w:id="294"/>
      <w:bookmarkEnd w:id="295"/>
    </w:p>
    <w:p w14:paraId="1D02796D" w14:textId="24957914" w:rsidR="00C15196" w:rsidRDefault="00BA71CA" w:rsidP="00C15196">
      <w:pPr>
        <w:spacing w:line="276" w:lineRule="auto"/>
        <w:rPr>
          <w:lang w:val="en-GB" w:eastAsia="en-AU"/>
        </w:rPr>
      </w:pPr>
      <w:r>
        <w:rPr>
          <w:lang w:val="en-GB" w:eastAsia="en-AU"/>
        </w:rPr>
        <w:t>River flood plumes are the primary vehicles that deliver catchment-derived pollutants to the Reef lagoon.</w:t>
      </w:r>
      <w:r w:rsidR="00C15196" w:rsidRPr="00C15196">
        <w:rPr>
          <w:lang w:val="en-GB" w:eastAsia="en-AU"/>
        </w:rPr>
        <w:t xml:space="preserve"> </w:t>
      </w:r>
      <w:r w:rsidR="00C15196">
        <w:rPr>
          <w:lang w:val="en-GB" w:eastAsia="en-AU"/>
        </w:rPr>
        <w:t xml:space="preserve">Mapping the frequency, spatial extent and duration of these flood events can inform management about the areas that may be the most at risk from acute or chronic effects of pollutant exposure resulting from river discharge. It should be noted that whilst flood plumes are a </w:t>
      </w:r>
      <w:r w:rsidR="007A3277">
        <w:rPr>
          <w:lang w:val="en-GB" w:eastAsia="en-AU"/>
        </w:rPr>
        <w:t xml:space="preserve">major contributor to the movement of </w:t>
      </w:r>
      <w:r w:rsidR="00C15196">
        <w:rPr>
          <w:lang w:val="en-GB" w:eastAsia="en-AU"/>
        </w:rPr>
        <w:t xml:space="preserve">pesticide loads from catchments to the Reef lagoon, </w:t>
      </w:r>
      <w:r w:rsidR="007A3277">
        <w:rPr>
          <w:lang w:val="en-GB" w:eastAsia="en-AU"/>
        </w:rPr>
        <w:t xml:space="preserve">the amount of pesticides released </w:t>
      </w:r>
      <w:r w:rsidR="00FC6E8C">
        <w:rPr>
          <w:lang w:val="en-GB" w:eastAsia="en-AU"/>
        </w:rPr>
        <w:t>with an individual flood plume will</w:t>
      </w:r>
      <w:r w:rsidR="007A3277">
        <w:rPr>
          <w:lang w:val="en-GB" w:eastAsia="en-AU"/>
        </w:rPr>
        <w:t xml:space="preserve"> depend on many factors </w:t>
      </w:r>
      <w:r w:rsidR="0070629A">
        <w:rPr>
          <w:lang w:val="en-GB" w:eastAsia="en-AU"/>
        </w:rPr>
        <w:t>in addition to water</w:t>
      </w:r>
      <w:r w:rsidR="007A3277">
        <w:rPr>
          <w:lang w:val="en-GB" w:eastAsia="en-AU"/>
        </w:rPr>
        <w:t xml:space="preserve"> flow</w:t>
      </w:r>
      <w:r w:rsidR="0070629A">
        <w:rPr>
          <w:lang w:val="en-GB" w:eastAsia="en-AU"/>
        </w:rPr>
        <w:t>, e.g. timing of pesticide applications relative to rainfall events</w:t>
      </w:r>
      <w:r w:rsidR="00734C2D">
        <w:rPr>
          <w:lang w:val="en-GB" w:eastAsia="en-AU"/>
        </w:rPr>
        <w:t>, degradation rates etc</w:t>
      </w:r>
      <w:r w:rsidR="007A3277">
        <w:rPr>
          <w:lang w:val="en-GB" w:eastAsia="en-AU"/>
        </w:rPr>
        <w:t xml:space="preserve">. </w:t>
      </w:r>
      <w:r w:rsidR="00734C2D">
        <w:rPr>
          <w:lang w:val="en-GB" w:eastAsia="en-AU"/>
        </w:rPr>
        <w:t>For many catchments</w:t>
      </w:r>
      <w:r w:rsidR="007A3277">
        <w:rPr>
          <w:lang w:val="en-GB" w:eastAsia="en-AU"/>
        </w:rPr>
        <w:t xml:space="preserve">, the highest concentrations of pesticides are </w:t>
      </w:r>
      <w:r w:rsidR="00734C2D">
        <w:rPr>
          <w:lang w:val="en-GB" w:eastAsia="en-AU"/>
        </w:rPr>
        <w:t>released</w:t>
      </w:r>
      <w:r w:rsidR="007A3277">
        <w:rPr>
          <w:lang w:val="en-GB" w:eastAsia="en-AU"/>
        </w:rPr>
        <w:t xml:space="preserve"> at the beginning of the wet season with the first ‘flush’. Flood plumes later in the year may deliver little or no pesticides to the marine environment. In this report, we present the plume maps and frequencies with the intention to inform the </w:t>
      </w:r>
      <w:r w:rsidR="00422BFF">
        <w:rPr>
          <w:lang w:val="en-GB" w:eastAsia="en-AU"/>
        </w:rPr>
        <w:t>likelihood</w:t>
      </w:r>
      <w:r w:rsidR="007A3277">
        <w:rPr>
          <w:lang w:val="en-GB" w:eastAsia="en-AU"/>
        </w:rPr>
        <w:t xml:space="preserve"> of </w:t>
      </w:r>
      <w:r w:rsidR="00422BFF">
        <w:rPr>
          <w:lang w:val="en-GB" w:eastAsia="en-AU"/>
        </w:rPr>
        <w:t>a</w:t>
      </w:r>
      <w:r w:rsidR="007A3277">
        <w:rPr>
          <w:lang w:val="en-GB" w:eastAsia="en-AU"/>
        </w:rPr>
        <w:t xml:space="preserve"> fixed (passive sampling) monitoring</w:t>
      </w:r>
      <w:r w:rsidR="00422BFF">
        <w:rPr>
          <w:lang w:val="en-GB" w:eastAsia="en-AU"/>
        </w:rPr>
        <w:t xml:space="preserve"> site</w:t>
      </w:r>
      <w:r w:rsidR="007A3277">
        <w:rPr>
          <w:lang w:val="en-GB" w:eastAsia="en-AU"/>
        </w:rPr>
        <w:t xml:space="preserve"> to be located within a flood plume and how often </w:t>
      </w:r>
      <w:r w:rsidR="00422BFF">
        <w:rPr>
          <w:lang w:val="en-GB" w:eastAsia="en-AU"/>
        </w:rPr>
        <w:t xml:space="preserve">and for how long </w:t>
      </w:r>
      <w:r w:rsidR="007A3277">
        <w:rPr>
          <w:lang w:val="en-GB" w:eastAsia="en-AU"/>
        </w:rPr>
        <w:t>it may be impacted by plume</w:t>
      </w:r>
      <w:r w:rsidR="00422BFF">
        <w:rPr>
          <w:lang w:val="en-GB" w:eastAsia="en-AU"/>
        </w:rPr>
        <w:t xml:space="preserve"> waters</w:t>
      </w:r>
      <w:r w:rsidR="007A3277">
        <w:rPr>
          <w:lang w:val="en-GB" w:eastAsia="en-AU"/>
        </w:rPr>
        <w:t>.</w:t>
      </w:r>
      <w:r w:rsidR="00422BFF">
        <w:rPr>
          <w:lang w:val="en-GB" w:eastAsia="en-AU"/>
        </w:rPr>
        <w:t xml:space="preserve"> Information on</w:t>
      </w:r>
      <w:r w:rsidR="00734C2D">
        <w:rPr>
          <w:lang w:val="en-GB" w:eastAsia="en-AU"/>
        </w:rPr>
        <w:t xml:space="preserve"> colour</w:t>
      </w:r>
      <w:r w:rsidR="00422BFF">
        <w:rPr>
          <w:lang w:val="en-GB" w:eastAsia="en-AU"/>
        </w:rPr>
        <w:t xml:space="preserve"> </w:t>
      </w:r>
      <w:r w:rsidR="00734C2D" w:rsidRPr="00734C2D">
        <w:rPr>
          <w:lang w:val="en-GB" w:eastAsia="en-AU"/>
        </w:rPr>
        <w:t>dissolved organic matter (CDOM</w:t>
      </w:r>
      <w:r w:rsidR="00734C2D">
        <w:rPr>
          <w:lang w:val="en-GB" w:eastAsia="en-AU"/>
        </w:rPr>
        <w:t>)</w:t>
      </w:r>
      <w:r w:rsidR="00734C2D" w:rsidRPr="00734C2D">
        <w:rPr>
          <w:lang w:val="en-GB" w:eastAsia="en-AU"/>
        </w:rPr>
        <w:t xml:space="preserve"> </w:t>
      </w:r>
      <w:r w:rsidR="00734C2D">
        <w:rPr>
          <w:lang w:val="en-GB" w:eastAsia="en-AU"/>
        </w:rPr>
        <w:t xml:space="preserve">and total </w:t>
      </w:r>
      <w:r w:rsidR="00422BFF">
        <w:rPr>
          <w:lang w:val="en-GB" w:eastAsia="en-AU"/>
        </w:rPr>
        <w:t xml:space="preserve">suspended solids </w:t>
      </w:r>
      <w:r w:rsidR="00734C2D">
        <w:rPr>
          <w:lang w:val="en-GB" w:eastAsia="en-AU"/>
        </w:rPr>
        <w:t xml:space="preserve">(TSS) </w:t>
      </w:r>
      <w:r w:rsidR="00422BFF">
        <w:rPr>
          <w:lang w:val="en-GB" w:eastAsia="en-AU"/>
        </w:rPr>
        <w:t xml:space="preserve">in flood plumes (which are the basis of the flood plume maps – see below) cannot be used to predict expected levels of pesticides reaching a monitoring site. </w:t>
      </w:r>
    </w:p>
    <w:p w14:paraId="5BE8D5F5" w14:textId="77777777" w:rsidR="00C15196" w:rsidRDefault="00C15196" w:rsidP="00BA71CA">
      <w:pPr>
        <w:spacing w:line="276" w:lineRule="auto"/>
        <w:rPr>
          <w:lang w:val="en-GB" w:eastAsia="en-AU"/>
        </w:rPr>
      </w:pPr>
    </w:p>
    <w:p w14:paraId="15720E75" w14:textId="7487D9C0" w:rsidR="00BA71CA" w:rsidRDefault="00734C2D" w:rsidP="00BA71CA">
      <w:pPr>
        <w:spacing w:line="276" w:lineRule="auto"/>
        <w:rPr>
          <w:lang w:val="en-AU"/>
        </w:rPr>
      </w:pPr>
      <w:r>
        <w:rPr>
          <w:lang w:val="en-GB" w:eastAsia="en-AU"/>
        </w:rPr>
        <w:t>The Marine Water Quality component of the MMP m</w:t>
      </w:r>
      <w:r w:rsidR="0070629A">
        <w:rPr>
          <w:lang w:val="en-GB" w:eastAsia="en-AU"/>
        </w:rPr>
        <w:t>ap</w:t>
      </w:r>
      <w:r>
        <w:rPr>
          <w:lang w:val="en-GB" w:eastAsia="en-AU"/>
        </w:rPr>
        <w:t>s</w:t>
      </w:r>
      <w:r w:rsidR="0070629A">
        <w:rPr>
          <w:lang w:val="en-GB" w:eastAsia="en-AU"/>
        </w:rPr>
        <w:t xml:space="preserve"> the frequency and extent of (surface) flood plumes </w:t>
      </w:r>
      <w:r w:rsidR="0070629A">
        <w:rPr>
          <w:lang w:val="en-GB" w:eastAsia="en-AU"/>
        </w:rPr>
        <w:fldChar w:fldCharType="begin"/>
      </w:r>
      <w:r w:rsidR="00216883">
        <w:rPr>
          <w:lang w:val="en-GB" w:eastAsia="en-AU"/>
        </w:rPr>
        <w:instrText xml:space="preserve"> ADDIN EN.CITE &lt;EndNote&gt;&lt;Cite&gt;&lt;Author&gt;Waterhouse&lt;/Author&gt;&lt;Year&gt;2017&lt;/Year&gt;&lt;RecNum&gt;39&lt;/RecNum&gt;&lt;DisplayText&gt;(Waterhouse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70629A">
        <w:rPr>
          <w:lang w:val="en-GB" w:eastAsia="en-AU"/>
        </w:rPr>
        <w:fldChar w:fldCharType="separate"/>
      </w:r>
      <w:r w:rsidR="00216883">
        <w:rPr>
          <w:noProof/>
          <w:lang w:val="en-GB" w:eastAsia="en-AU"/>
        </w:rPr>
        <w:t>(Waterhouse et al., 2017b)</w:t>
      </w:r>
      <w:r w:rsidR="0070629A">
        <w:rPr>
          <w:lang w:val="en-GB" w:eastAsia="en-AU"/>
        </w:rPr>
        <w:fldChar w:fldCharType="end"/>
      </w:r>
      <w:r w:rsidR="0070629A">
        <w:rPr>
          <w:lang w:val="en-GB" w:eastAsia="en-AU"/>
        </w:rPr>
        <w:t xml:space="preserve">. This </w:t>
      </w:r>
      <w:r w:rsidR="00BA71CA">
        <w:rPr>
          <w:lang w:val="en-GB" w:eastAsia="en-AU"/>
        </w:rPr>
        <w:t xml:space="preserve">is </w:t>
      </w:r>
      <w:r w:rsidR="0070629A">
        <w:rPr>
          <w:lang w:val="en-GB" w:eastAsia="en-AU"/>
        </w:rPr>
        <w:t xml:space="preserve">achieved </w:t>
      </w:r>
      <w:r w:rsidR="00BA71CA">
        <w:rPr>
          <w:lang w:val="en-GB" w:eastAsia="en-AU"/>
        </w:rPr>
        <w:t>using ocean colour (correspond</w:t>
      </w:r>
      <w:r>
        <w:rPr>
          <w:lang w:val="en-GB" w:eastAsia="en-AU"/>
        </w:rPr>
        <w:t>ing</w:t>
      </w:r>
      <w:r w:rsidR="00BA71CA">
        <w:rPr>
          <w:lang w:val="en-GB" w:eastAsia="en-AU"/>
        </w:rPr>
        <w:t xml:space="preserve"> to different water types) collected via satellite imagery that</w:t>
      </w:r>
      <w:r w:rsidR="00BA71CA" w:rsidRPr="003C0ECC">
        <w:rPr>
          <w:lang w:val="en-GB" w:eastAsia="en-AU"/>
        </w:rPr>
        <w:t xml:space="preserve"> exploit</w:t>
      </w:r>
      <w:r w:rsidR="00BA71CA">
        <w:rPr>
          <w:lang w:val="en-GB" w:eastAsia="en-AU"/>
        </w:rPr>
        <w:t>s</w:t>
      </w:r>
      <w:r w:rsidR="00BA71CA" w:rsidRPr="003C0ECC">
        <w:rPr>
          <w:lang w:val="en-GB" w:eastAsia="en-AU"/>
        </w:rPr>
        <w:t xml:space="preserve"> differences in colour </w:t>
      </w:r>
      <w:r w:rsidR="00BA71CA">
        <w:rPr>
          <w:lang w:val="en-GB" w:eastAsia="en-AU"/>
        </w:rPr>
        <w:t xml:space="preserve">of plume waters </w:t>
      </w:r>
      <w:r w:rsidR="00BA71CA" w:rsidRPr="003C0ECC">
        <w:rPr>
          <w:lang w:val="en-GB" w:eastAsia="en-AU"/>
        </w:rPr>
        <w:t>from ambient marine</w:t>
      </w:r>
      <w:r w:rsidR="00BA71CA">
        <w:rPr>
          <w:lang w:val="en-GB" w:eastAsia="en-AU"/>
        </w:rPr>
        <w:t xml:space="preserve"> </w:t>
      </w:r>
      <w:r w:rsidR="00BA71CA" w:rsidRPr="003C0ECC">
        <w:rPr>
          <w:lang w:val="en-GB" w:eastAsia="en-AU"/>
        </w:rPr>
        <w:t>waters</w:t>
      </w:r>
      <w:r w:rsidR="00BA71CA">
        <w:rPr>
          <w:lang w:val="en-GB" w:eastAsia="en-AU"/>
        </w:rPr>
        <w:t xml:space="preserve"> in 1km</w:t>
      </w:r>
      <w:r w:rsidR="00BA71CA">
        <w:rPr>
          <w:vertAlign w:val="superscript"/>
          <w:lang w:val="en-GB" w:eastAsia="en-AU"/>
        </w:rPr>
        <w:t>2</w:t>
      </w:r>
      <w:r w:rsidR="00BA71CA">
        <w:rPr>
          <w:lang w:val="en-GB" w:eastAsia="en-AU"/>
        </w:rPr>
        <w:t xml:space="preserve"> ‘pixels’ </w:t>
      </w:r>
      <w:r w:rsidR="00C91BF5">
        <w:rPr>
          <w:lang w:val="en-GB" w:eastAsia="en-AU"/>
        </w:rPr>
        <w:fldChar w:fldCharType="begin"/>
      </w:r>
      <w:r w:rsidR="009D4492">
        <w:rPr>
          <w:lang w:val="en-GB" w:eastAsia="en-AU"/>
        </w:rPr>
        <w:instrText xml:space="preserve"> ADDIN EN.CITE &lt;EndNote&gt;&lt;Cite&gt;&lt;Author&gt;Devlin&lt;/Author&gt;&lt;Year&gt;2012&lt;/Year&gt;&lt;RecNum&gt;37&lt;/RecNum&gt;&lt;DisplayText&gt;(Devlin et al., 2012)&lt;/DisplayText&gt;&lt;record&gt;&lt;rec-number&gt;37&lt;/rec-number&gt;&lt;foreign-keys&gt;&lt;key app="EN" db-id="vvtrt2pt4xpx5teta99vvtwg50vzve2aexae" timestamp="1493157368"&gt;37&lt;/key&gt;&lt;/foreign-keys&gt;&lt;ref-type name="Report"&gt;27&lt;/ref-type&gt;&lt;contributors&gt;&lt;authors&gt;&lt;author&gt;Devlin, M.J.&lt;/author&gt;&lt;author&gt;Wenger, A.&lt;/author&gt;&lt;author&gt;Petus, C.&lt;/author&gt;&lt;author&gt;da Silva, E.T.&lt;/author&gt;&lt;author&gt;DeBose, J.&lt;/author&gt;&lt;author&gt;Álvarez-Romero, J&lt;/author&gt;&lt;/authors&gt;&lt;/contributors&gt;&lt;titles&gt;&lt;title&gt;Reef Rescue Marine Monitoring Program. Final Report of JCU Activities 2011/12– Flood Plumes and Extreme weather monitoring for the Great Barrier Reef Marine Park Authority.&lt;/title&gt;&lt;/titles&gt;&lt;dates&gt;&lt;year&gt;2012&lt;/year&gt;&lt;/dates&gt;&lt;pub-location&gt;James Cook University. Townsville.&lt;/pub-location&gt;&lt;urls&gt;&lt;/urls&gt;&lt;/record&gt;&lt;/Cite&gt;&lt;/EndNote&gt;</w:instrText>
      </w:r>
      <w:r w:rsidR="00C91BF5">
        <w:rPr>
          <w:lang w:val="en-GB" w:eastAsia="en-AU"/>
        </w:rPr>
        <w:fldChar w:fldCharType="separate"/>
      </w:r>
      <w:r w:rsidR="009D4492">
        <w:rPr>
          <w:noProof/>
          <w:lang w:val="en-GB" w:eastAsia="en-AU"/>
        </w:rPr>
        <w:t>(Devlin et al., 2012)</w:t>
      </w:r>
      <w:r w:rsidR="00C91BF5">
        <w:rPr>
          <w:lang w:val="en-GB" w:eastAsia="en-AU"/>
        </w:rPr>
        <w:fldChar w:fldCharType="end"/>
      </w:r>
      <w:r w:rsidR="00BA71CA">
        <w:rPr>
          <w:lang w:val="en-GB" w:eastAsia="en-AU"/>
        </w:rPr>
        <w:t xml:space="preserve">. </w:t>
      </w:r>
      <w:r w:rsidR="00BA71CA" w:rsidRPr="00F579FD">
        <w:rPr>
          <w:lang w:val="en-AU"/>
        </w:rPr>
        <w:t xml:space="preserve">Plumes are classified into three water types: </w:t>
      </w:r>
    </w:p>
    <w:p w14:paraId="15720E76" w14:textId="3A070C53" w:rsidR="00BA71CA" w:rsidRPr="00821598" w:rsidRDefault="00BA71CA" w:rsidP="00220439">
      <w:pPr>
        <w:pStyle w:val="ListParagraph"/>
        <w:numPr>
          <w:ilvl w:val="0"/>
          <w:numId w:val="9"/>
        </w:numPr>
        <w:spacing w:line="276" w:lineRule="auto"/>
        <w:rPr>
          <w:lang w:val="en-AU"/>
        </w:rPr>
      </w:pPr>
      <w:r w:rsidRPr="00821598">
        <w:rPr>
          <w:lang w:val="en-AU"/>
        </w:rPr>
        <w:t xml:space="preserve">Primary </w:t>
      </w:r>
      <w:r w:rsidR="00662785">
        <w:rPr>
          <w:lang w:val="en-AU"/>
        </w:rPr>
        <w:t>–</w:t>
      </w:r>
      <w:r w:rsidRPr="00821598">
        <w:rPr>
          <w:lang w:val="en-AU"/>
        </w:rPr>
        <w:t xml:space="preserve"> very high turbidity, low salinity (0 to 10 ppt), and very high values of CDOM and TSS; </w:t>
      </w:r>
    </w:p>
    <w:p w14:paraId="15720E77" w14:textId="77777777" w:rsidR="00BA71CA" w:rsidRPr="00821598" w:rsidRDefault="00BA71CA" w:rsidP="00220439">
      <w:pPr>
        <w:pStyle w:val="ListParagraph"/>
        <w:numPr>
          <w:ilvl w:val="0"/>
          <w:numId w:val="9"/>
        </w:numPr>
        <w:spacing w:line="276" w:lineRule="auto"/>
        <w:rPr>
          <w:lang w:val="en-AU"/>
        </w:rPr>
      </w:pPr>
      <w:r w:rsidRPr="00821598">
        <w:rPr>
          <w:lang w:val="en-AU"/>
        </w:rPr>
        <w:t xml:space="preserve">Secondary </w:t>
      </w:r>
      <w:r w:rsidR="00662785">
        <w:rPr>
          <w:lang w:val="en-AU"/>
        </w:rPr>
        <w:t>–</w:t>
      </w:r>
      <w:r w:rsidRPr="00821598">
        <w:rPr>
          <w:lang w:val="en-AU"/>
        </w:rPr>
        <w:t xml:space="preserve"> intermediate salinity, elevated CDOM concentrations, and reduced TSS due to sedimentation, where phytoplankton growth is prompted by the increased light (due to lower TSS) and high nutrient availability delivered by the river plume; </w:t>
      </w:r>
    </w:p>
    <w:p w14:paraId="15720E78" w14:textId="7B162EAC" w:rsidR="00BA71CA" w:rsidRPr="00821598" w:rsidRDefault="00BA71CA" w:rsidP="00220439">
      <w:pPr>
        <w:pStyle w:val="ListParagraph"/>
        <w:numPr>
          <w:ilvl w:val="0"/>
          <w:numId w:val="9"/>
        </w:numPr>
        <w:spacing w:line="276" w:lineRule="auto"/>
        <w:rPr>
          <w:lang w:val="en-GB" w:eastAsia="en-AU"/>
        </w:rPr>
      </w:pPr>
      <w:r w:rsidRPr="00821598">
        <w:rPr>
          <w:lang w:val="en-AU"/>
        </w:rPr>
        <w:t xml:space="preserve">Tertiary </w:t>
      </w:r>
      <w:r w:rsidR="00662785">
        <w:rPr>
          <w:lang w:val="en-AU"/>
        </w:rPr>
        <w:t>–</w:t>
      </w:r>
      <w:r w:rsidRPr="00821598">
        <w:rPr>
          <w:lang w:val="en-AU"/>
        </w:rPr>
        <w:t xml:space="preserve"> exhibits no or low TSS associated with the river plume, and above-ambient concentrations of chlorophyll </w:t>
      </w:r>
      <w:r w:rsidRPr="00821598">
        <w:rPr>
          <w:i/>
          <w:lang w:val="en-AU"/>
        </w:rPr>
        <w:t>a</w:t>
      </w:r>
      <w:r w:rsidRPr="00821598">
        <w:rPr>
          <w:lang w:val="en-AU"/>
        </w:rPr>
        <w:t xml:space="preserve"> and CDOM.  </w:t>
      </w:r>
    </w:p>
    <w:p w14:paraId="15720E7A" w14:textId="2B5FBCCE" w:rsidR="00386B94" w:rsidRDefault="000E0F32" w:rsidP="00BA71CA">
      <w:pPr>
        <w:spacing w:line="276" w:lineRule="auto"/>
        <w:rPr>
          <w:lang w:val="en-GB" w:eastAsia="en-AU"/>
        </w:rPr>
      </w:pPr>
      <w:r>
        <w:rPr>
          <w:lang w:val="en-GB" w:eastAsia="en-AU"/>
        </w:rPr>
        <w:t>It should be noted that p</w:t>
      </w:r>
      <w:r w:rsidR="00386B94">
        <w:rPr>
          <w:lang w:val="en-GB" w:eastAsia="en-AU"/>
        </w:rPr>
        <w:t>lume exposure mapping may be complicated by the resuspension of fine sediments during periods of high winds and waves (rather than periods of actual river discharge) as well as cloud cover.</w:t>
      </w:r>
    </w:p>
    <w:p w14:paraId="15720E7B" w14:textId="77777777" w:rsidR="00386B94" w:rsidRDefault="00386B94" w:rsidP="00BA71CA">
      <w:pPr>
        <w:spacing w:line="276" w:lineRule="auto"/>
        <w:rPr>
          <w:lang w:val="en-GB" w:eastAsia="en-AU"/>
        </w:rPr>
      </w:pPr>
    </w:p>
    <w:p w14:paraId="15720E7D" w14:textId="3578C4DA" w:rsidR="00420835" w:rsidRDefault="00BA71CA" w:rsidP="0029681A">
      <w:pPr>
        <w:spacing w:line="276" w:lineRule="auto"/>
        <w:jc w:val="left"/>
        <w:rPr>
          <w:lang w:val="en-AU"/>
        </w:rPr>
      </w:pPr>
      <w:r>
        <w:rPr>
          <w:lang w:val="en-GB" w:eastAsia="en-AU"/>
        </w:rPr>
        <w:t>Weekly flood plume</w:t>
      </w:r>
      <w:r w:rsidRPr="00636C1F">
        <w:rPr>
          <w:lang w:val="en-GB" w:eastAsia="en-AU"/>
        </w:rPr>
        <w:t xml:space="preserve"> </w:t>
      </w:r>
      <w:r>
        <w:rPr>
          <w:lang w:val="en-GB" w:eastAsia="en-AU"/>
        </w:rPr>
        <w:t xml:space="preserve">colour class data was recorded for each of the fixed monitoring sites for the wet season (details provided in </w:t>
      </w:r>
      <w:r w:rsidR="00A7757C">
        <w:rPr>
          <w:highlight w:val="yellow"/>
        </w:rPr>
        <w:fldChar w:fldCharType="begin"/>
      </w:r>
      <w:r w:rsidR="00A7757C">
        <w:instrText xml:space="preserve"> REF _Ref480727368 \n \h </w:instrText>
      </w:r>
      <w:r w:rsidR="00A7757C">
        <w:rPr>
          <w:highlight w:val="yellow"/>
        </w:rPr>
      </w:r>
      <w:r w:rsidR="00A7757C">
        <w:rPr>
          <w:highlight w:val="yellow"/>
        </w:rPr>
        <w:fldChar w:fldCharType="separate"/>
      </w:r>
      <w:r w:rsidR="00D12276">
        <w:t xml:space="preserve">Appendix E </w:t>
      </w:r>
      <w:r w:rsidR="00A7757C">
        <w:rPr>
          <w:highlight w:val="yellow"/>
        </w:rPr>
        <w:fldChar w:fldCharType="end"/>
      </w:r>
      <w:r w:rsidR="005512F8">
        <w:rPr>
          <w:lang w:val="en-GB" w:eastAsia="en-AU"/>
        </w:rPr>
        <w:t>Table E2</w:t>
      </w:r>
      <w:r>
        <w:rPr>
          <w:lang w:val="en-GB" w:eastAsia="en-AU"/>
        </w:rPr>
        <w:t xml:space="preserve">). Reef-wide, annual and multi-annual frequency maps were also obtained (all plume frequency maps were prepared by Dieter Tracy (JCU)). </w:t>
      </w:r>
      <w:r w:rsidR="00386B94">
        <w:rPr>
          <w:lang w:val="en-GB" w:eastAsia="en-AU"/>
        </w:rPr>
        <w:t xml:space="preserve">Site maps presented in this report overlay the plume frequency maps to indicate sampling site positions relative to </w:t>
      </w:r>
      <w:r w:rsidR="00F61105">
        <w:rPr>
          <w:lang w:val="en-GB" w:eastAsia="en-AU"/>
        </w:rPr>
        <w:t xml:space="preserve">(primary and secondary) </w:t>
      </w:r>
      <w:r w:rsidR="00386B94">
        <w:rPr>
          <w:lang w:val="en-GB" w:eastAsia="en-AU"/>
        </w:rPr>
        <w:t xml:space="preserve">flood plume </w:t>
      </w:r>
      <w:r w:rsidR="00F61105">
        <w:rPr>
          <w:lang w:val="en-GB" w:eastAsia="en-AU"/>
        </w:rPr>
        <w:t>occurrences</w:t>
      </w:r>
      <w:r w:rsidR="00386B94">
        <w:rPr>
          <w:lang w:val="en-GB" w:eastAsia="en-AU"/>
        </w:rPr>
        <w:t>.</w:t>
      </w:r>
      <w:r w:rsidR="00420835">
        <w:rPr>
          <w:lang w:val="en-AU"/>
        </w:rPr>
        <w:br w:type="page"/>
      </w:r>
    </w:p>
    <w:p w14:paraId="15720E7E" w14:textId="77777777" w:rsidR="0059608E" w:rsidRPr="004E0EF8" w:rsidRDefault="004E0EF8" w:rsidP="00472A6B">
      <w:pPr>
        <w:pStyle w:val="Heading1"/>
        <w:keepNext/>
        <w:numPr>
          <w:ilvl w:val="0"/>
          <w:numId w:val="1"/>
        </w:numPr>
        <w:spacing w:before="120" w:after="480" w:line="240" w:lineRule="auto"/>
        <w:ind w:left="574" w:hanging="574"/>
        <w:jc w:val="both"/>
        <w:rPr>
          <w:rFonts w:eastAsia="Times New Roman" w:cs="Arial"/>
          <w:bCs w:val="0"/>
          <w:caps w:val="0"/>
          <w:kern w:val="28"/>
          <w:sz w:val="36"/>
          <w:szCs w:val="28"/>
          <w:lang w:eastAsia="en-US" w:bidi="ar-SA"/>
        </w:rPr>
      </w:pPr>
      <w:bookmarkStart w:id="296" w:name="_Toc455069285"/>
      <w:bookmarkStart w:id="297" w:name="_Toc455069935"/>
      <w:bookmarkStart w:id="298" w:name="_Toc455070207"/>
      <w:bookmarkStart w:id="299" w:name="_Toc455151594"/>
      <w:bookmarkStart w:id="300" w:name="_Toc455069287"/>
      <w:bookmarkStart w:id="301" w:name="_Toc455069937"/>
      <w:bookmarkStart w:id="302" w:name="_Toc455070209"/>
      <w:bookmarkStart w:id="303" w:name="_Toc455151596"/>
      <w:bookmarkStart w:id="304" w:name="_Toc455069288"/>
      <w:bookmarkStart w:id="305" w:name="_Toc455069938"/>
      <w:bookmarkStart w:id="306" w:name="_Toc455070210"/>
      <w:bookmarkStart w:id="307" w:name="_Toc455151597"/>
      <w:bookmarkStart w:id="308" w:name="_Toc455069290"/>
      <w:bookmarkStart w:id="309" w:name="_Toc455069940"/>
      <w:bookmarkStart w:id="310" w:name="_Toc455070212"/>
      <w:bookmarkStart w:id="311" w:name="_Toc455151599"/>
      <w:bookmarkStart w:id="312" w:name="_Toc455069291"/>
      <w:bookmarkStart w:id="313" w:name="_Toc455069941"/>
      <w:bookmarkStart w:id="314" w:name="_Toc455070213"/>
      <w:bookmarkStart w:id="315" w:name="_Toc455151600"/>
      <w:bookmarkStart w:id="316" w:name="_Toc455069292"/>
      <w:bookmarkStart w:id="317" w:name="_Toc455069942"/>
      <w:bookmarkStart w:id="318" w:name="_Toc455070214"/>
      <w:bookmarkStart w:id="319" w:name="_Toc455151601"/>
      <w:bookmarkStart w:id="320" w:name="_Toc455069293"/>
      <w:bookmarkStart w:id="321" w:name="_Toc455069943"/>
      <w:bookmarkStart w:id="322" w:name="_Toc455070215"/>
      <w:bookmarkStart w:id="323" w:name="_Toc455151602"/>
      <w:bookmarkStart w:id="324" w:name="_Toc455069294"/>
      <w:bookmarkStart w:id="325" w:name="_Toc455069944"/>
      <w:bookmarkStart w:id="326" w:name="_Toc455070216"/>
      <w:bookmarkStart w:id="327" w:name="_Toc455151603"/>
      <w:bookmarkStart w:id="328" w:name="_Toc455069295"/>
      <w:bookmarkStart w:id="329" w:name="_Toc455069945"/>
      <w:bookmarkStart w:id="330" w:name="_Toc455070217"/>
      <w:bookmarkStart w:id="331" w:name="_Toc455151604"/>
      <w:bookmarkStart w:id="332" w:name="_Toc455069302"/>
      <w:bookmarkStart w:id="333" w:name="_Toc455069952"/>
      <w:bookmarkStart w:id="334" w:name="_Toc455070224"/>
      <w:bookmarkStart w:id="335" w:name="_Toc455151611"/>
      <w:bookmarkStart w:id="336" w:name="_Toc335638262"/>
      <w:bookmarkStart w:id="337" w:name="_Toc335640872"/>
      <w:bookmarkStart w:id="338" w:name="_Toc455069417"/>
      <w:bookmarkStart w:id="339" w:name="_Toc455070067"/>
      <w:bookmarkStart w:id="340" w:name="_Toc455070339"/>
      <w:bookmarkStart w:id="341" w:name="_Toc455151726"/>
      <w:bookmarkStart w:id="342" w:name="_Toc455069418"/>
      <w:bookmarkStart w:id="343" w:name="_Toc455070068"/>
      <w:bookmarkStart w:id="344" w:name="_Toc455070340"/>
      <w:bookmarkStart w:id="345" w:name="_Toc455151727"/>
      <w:bookmarkStart w:id="346" w:name="_Toc455069419"/>
      <w:bookmarkStart w:id="347" w:name="_Toc455070069"/>
      <w:bookmarkStart w:id="348" w:name="_Toc455070341"/>
      <w:bookmarkStart w:id="349" w:name="_Toc455151728"/>
      <w:bookmarkStart w:id="350" w:name="_Toc455069446"/>
      <w:bookmarkStart w:id="351" w:name="_Toc455070096"/>
      <w:bookmarkStart w:id="352" w:name="_Toc455070368"/>
      <w:bookmarkStart w:id="353" w:name="_Toc455151755"/>
      <w:bookmarkStart w:id="354" w:name="_Toc455069448"/>
      <w:bookmarkStart w:id="355" w:name="_Toc455070098"/>
      <w:bookmarkStart w:id="356" w:name="_Toc455070370"/>
      <w:bookmarkStart w:id="357" w:name="_Toc455151757"/>
      <w:bookmarkStart w:id="358" w:name="_Toc455069449"/>
      <w:bookmarkStart w:id="359" w:name="_Toc455070099"/>
      <w:bookmarkStart w:id="360" w:name="_Toc455070371"/>
      <w:bookmarkStart w:id="361" w:name="_Toc455151758"/>
      <w:bookmarkStart w:id="362" w:name="_Toc455069450"/>
      <w:bookmarkStart w:id="363" w:name="_Toc455070100"/>
      <w:bookmarkStart w:id="364" w:name="_Toc455070372"/>
      <w:bookmarkStart w:id="365" w:name="_Toc455151759"/>
      <w:bookmarkStart w:id="366" w:name="_Toc455069451"/>
      <w:bookmarkStart w:id="367" w:name="_Toc455070101"/>
      <w:bookmarkStart w:id="368" w:name="_Toc455070373"/>
      <w:bookmarkStart w:id="369" w:name="_Toc455151760"/>
      <w:bookmarkStart w:id="370" w:name="_Toc455069452"/>
      <w:bookmarkStart w:id="371" w:name="_Toc455070102"/>
      <w:bookmarkStart w:id="372" w:name="_Toc455070374"/>
      <w:bookmarkStart w:id="373" w:name="_Toc455151761"/>
      <w:bookmarkStart w:id="374" w:name="_Toc502500003"/>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r>
        <w:rPr>
          <w:rFonts w:eastAsia="Times New Roman" w:cs="Arial"/>
          <w:bCs w:val="0"/>
          <w:caps w:val="0"/>
          <w:kern w:val="28"/>
          <w:sz w:val="36"/>
          <w:szCs w:val="28"/>
          <w:lang w:eastAsia="en-US" w:bidi="ar-SA"/>
        </w:rPr>
        <w:lastRenderedPageBreak/>
        <w:t>Results</w:t>
      </w:r>
      <w:bookmarkEnd w:id="374"/>
    </w:p>
    <w:p w14:paraId="15720E7F" w14:textId="1B5DEA9F" w:rsidR="00237429" w:rsidRDefault="002074FE" w:rsidP="00E43246">
      <w:pPr>
        <w:spacing w:line="276" w:lineRule="auto"/>
      </w:pPr>
      <w:r w:rsidRPr="002074FE">
        <w:t>The design of the MMP and the structure of th</w:t>
      </w:r>
      <w:r>
        <w:t>is</w:t>
      </w:r>
      <w:r w:rsidRPr="002074FE">
        <w:t xml:space="preserve"> </w:t>
      </w:r>
      <w:r>
        <w:t>report</w:t>
      </w:r>
      <w:r w:rsidRPr="002074FE">
        <w:t xml:space="preserve"> follows a Driver-Pressure-State-Impact-Response framework (</w:t>
      </w:r>
      <w:r w:rsidR="002A77E1">
        <w:fldChar w:fldCharType="begin"/>
      </w:r>
      <w:r w:rsidR="002A77E1">
        <w:instrText xml:space="preserve"> REF _Ref477107847 \h  \* MERGEFORMAT </w:instrText>
      </w:r>
      <w:r w:rsidR="002A77E1">
        <w:fldChar w:fldCharType="separate"/>
      </w:r>
      <w:r w:rsidR="00D12276" w:rsidRPr="00035468">
        <w:rPr>
          <w:szCs w:val="20"/>
        </w:rPr>
        <w:t xml:space="preserve">Figure </w:t>
      </w:r>
      <w:r w:rsidR="00D12276" w:rsidRPr="00D12276">
        <w:rPr>
          <w:szCs w:val="20"/>
        </w:rPr>
        <w:t>3</w:t>
      </w:r>
      <w:r w:rsidR="002A77E1">
        <w:fldChar w:fldCharType="end"/>
      </w:r>
      <w:r w:rsidRPr="002074FE">
        <w:t xml:space="preserve">) derived from </w:t>
      </w:r>
      <w:r w:rsidR="00BF0934" w:rsidRPr="00BF0934">
        <w:t xml:space="preserve">Great Barrier Reef </w:t>
      </w:r>
      <w:r w:rsidRPr="002074FE">
        <w:t xml:space="preserve">Outlook reporting. </w:t>
      </w:r>
      <w:r w:rsidR="0059608E">
        <w:t>Agricultural activit</w:t>
      </w:r>
      <w:r w:rsidR="004B2181">
        <w:t>i</w:t>
      </w:r>
      <w:r w:rsidR="0059608E">
        <w:t>es (</w:t>
      </w:r>
      <w:r w:rsidR="00A74CDB">
        <w:t>particularly</w:t>
      </w:r>
      <w:r w:rsidR="0059608E">
        <w:t xml:space="preserve"> sugar cane cultivation) are the major diffuse source of pesticides in run-off and the focus of Reef Plan initiatives</w:t>
      </w:r>
      <w:r w:rsidR="002729B8">
        <w:t>. O</w:t>
      </w:r>
      <w:r w:rsidR="0059608E">
        <w:t>ther sources of pesticide run-off may</w:t>
      </w:r>
      <w:r w:rsidR="002729B8">
        <w:t>, however, also</w:t>
      </w:r>
      <w:r w:rsidR="0059608E">
        <w:t xml:space="preserve"> result from urban and industrial activit</w:t>
      </w:r>
      <w:r w:rsidR="004B2181">
        <w:t>i</w:t>
      </w:r>
      <w:r w:rsidR="0059608E">
        <w:t xml:space="preserve">es </w:t>
      </w:r>
      <w:r w:rsidR="00C91BF5">
        <w:fldChar w:fldCharType="begin"/>
      </w:r>
      <w:r w:rsidR="009D4492">
        <w:instrText xml:space="preserve"> ADDIN EN.CITE &lt;EndNote&gt;&lt;Cite&gt;&lt;Author&gt;GBRMPA&lt;/Author&gt;&lt;Year&gt;2013&lt;/Year&gt;&lt;RecNum&gt;38&lt;/RecNum&gt;&lt;DisplayText&gt;(GBRMPA, 2013)&lt;/DisplayText&gt;&lt;record&gt;&lt;rec-number&gt;38&lt;/rec-number&gt;&lt;foreign-keys&gt;&lt;key app="EN" db-id="vvtrt2pt4xpx5teta99vvtwg50vzve2aexae" timestamp="1493157369"&gt;38&lt;/key&gt;&lt;/foreign-keys&gt;&lt;ref-type name="Report"&gt;27&lt;/ref-type&gt;&lt;contributors&gt;&lt;authors&gt;&lt;author&gt;GBRMPA&lt;/author&gt;&lt;/authors&gt;&lt;/contributors&gt;&lt;titles&gt;&lt;title&gt;Great Barrier Reef Region Strategic Assessment: Strategic assessment report&lt;/title&gt;&lt;/titles&gt;&lt;dates&gt;&lt;year&gt;2013&lt;/year&gt;&lt;/dates&gt;&lt;pub-location&gt;Great Barrier Reef Marine Park Authority, Townsville&lt;/pub-location&gt;&lt;urls&gt;&lt;/urls&gt;&lt;/record&gt;&lt;/Cite&gt;&lt;/EndNote&gt;</w:instrText>
      </w:r>
      <w:r w:rsidR="00C91BF5">
        <w:fldChar w:fldCharType="separate"/>
      </w:r>
      <w:r w:rsidR="009D4492">
        <w:rPr>
          <w:noProof/>
        </w:rPr>
        <w:t>(GBRMPA, 2013)</w:t>
      </w:r>
      <w:r w:rsidR="00C91BF5">
        <w:fldChar w:fldCharType="end"/>
      </w:r>
      <w:r w:rsidR="0059608E">
        <w:t xml:space="preserve">. </w:t>
      </w:r>
      <w:r w:rsidR="00EA7390">
        <w:t xml:space="preserve">The drivers and </w:t>
      </w:r>
      <w:r w:rsidR="0059608E">
        <w:t xml:space="preserve">pressures influencing </w:t>
      </w:r>
      <w:r w:rsidR="00EA7390">
        <w:t>pollutant release to</w:t>
      </w:r>
      <w:r w:rsidR="0059608E">
        <w:t xml:space="preserve"> the Reef lagoon from diffuse agricultural activities include </w:t>
      </w:r>
      <w:r w:rsidR="00EA7390">
        <w:t xml:space="preserve">factors relating to the amount of pesticide usage in the catchments (e.g. type and application rates of </w:t>
      </w:r>
      <w:r w:rsidR="0059608E">
        <w:t>pesticide</w:t>
      </w:r>
      <w:r w:rsidR="00EA7390">
        <w:t>s</w:t>
      </w:r>
      <w:r w:rsidR="0059608E">
        <w:t xml:space="preserve">, agricultural land use area, </w:t>
      </w:r>
      <w:r w:rsidR="00EA7390">
        <w:t xml:space="preserve">adoption of best management practices for land management), as well as factors related to the transport potential of pesticides from the catchments to the Reef lagoon (e.g. </w:t>
      </w:r>
      <w:r w:rsidR="0059608E">
        <w:t xml:space="preserve">rainfall, </w:t>
      </w:r>
      <w:r w:rsidR="00EA7390">
        <w:t xml:space="preserve">cyclones, </w:t>
      </w:r>
      <w:r w:rsidR="0059608E">
        <w:t>timing and method of herbicide application, herbicide run-off behavior, herbicide persistence, volume o</w:t>
      </w:r>
      <w:r w:rsidR="00EA7390">
        <w:t xml:space="preserve">f water discharged from rivers, </w:t>
      </w:r>
      <w:r w:rsidR="0059608E">
        <w:t>frequency of</w:t>
      </w:r>
      <w:r w:rsidR="00EA7390">
        <w:t xml:space="preserve"> flood plumes</w:t>
      </w:r>
      <w:r w:rsidR="0059608E">
        <w:t xml:space="preserve">). </w:t>
      </w:r>
    </w:p>
    <w:p w14:paraId="15720E80" w14:textId="77777777" w:rsidR="00237429" w:rsidRDefault="00237429" w:rsidP="00E43246">
      <w:pPr>
        <w:spacing w:line="276" w:lineRule="auto"/>
      </w:pPr>
    </w:p>
    <w:p w14:paraId="15720E81" w14:textId="101F2FEE" w:rsidR="0059608E" w:rsidRDefault="00237429" w:rsidP="00015606">
      <w:pPr>
        <w:spacing w:line="276" w:lineRule="auto"/>
      </w:pPr>
      <w:r>
        <w:t xml:space="preserve">This </w:t>
      </w:r>
      <w:r w:rsidR="00262CE9">
        <w:t xml:space="preserve">results </w:t>
      </w:r>
      <w:r w:rsidR="003E498D">
        <w:t>section</w:t>
      </w:r>
      <w:r>
        <w:t xml:space="preserve"> addresses the </w:t>
      </w:r>
      <w:r w:rsidR="00EA1B29">
        <w:t>Driver-Pressure-State results</w:t>
      </w:r>
      <w:r>
        <w:t xml:space="preserve"> for </w:t>
      </w:r>
      <w:r w:rsidR="00AA251B">
        <w:t xml:space="preserve">pesticide </w:t>
      </w:r>
      <w:r>
        <w:t xml:space="preserve">water quality. </w:t>
      </w:r>
      <w:r w:rsidRPr="00237429">
        <w:t xml:space="preserve">The </w:t>
      </w:r>
      <w:r>
        <w:t>key</w:t>
      </w:r>
      <w:r w:rsidRPr="00237429">
        <w:t xml:space="preserve"> </w:t>
      </w:r>
      <w:r w:rsidR="00262CE9">
        <w:t xml:space="preserve">2015-16 </w:t>
      </w:r>
      <w:r>
        <w:t>drivers/</w:t>
      </w:r>
      <w:r w:rsidRPr="00237429">
        <w:t xml:space="preserve">pressures </w:t>
      </w:r>
      <w:r w:rsidR="00262CE9">
        <w:t xml:space="preserve">are presented in Section </w:t>
      </w:r>
      <w:r w:rsidR="00262CE9">
        <w:fldChar w:fldCharType="begin"/>
      </w:r>
      <w:r w:rsidR="00262CE9">
        <w:instrText xml:space="preserve"> REF _Ref480727176 \n \h </w:instrText>
      </w:r>
      <w:r w:rsidR="00262CE9">
        <w:fldChar w:fldCharType="separate"/>
      </w:r>
      <w:r w:rsidR="00D12276">
        <w:t>4.1</w:t>
      </w:r>
      <w:r w:rsidR="00262CE9">
        <w:fldChar w:fldCharType="end"/>
      </w:r>
      <w:r w:rsidR="00262CE9">
        <w:t xml:space="preserve"> and </w:t>
      </w:r>
      <w:r w:rsidRPr="00237429">
        <w:t>include agricultural land use</w:t>
      </w:r>
      <w:r>
        <w:t>,</w:t>
      </w:r>
      <w:r w:rsidRPr="00237429">
        <w:t xml:space="preserve"> rainfall, cyclones</w:t>
      </w:r>
      <w:r w:rsidR="009B1ADB">
        <w:t xml:space="preserve"> and</w:t>
      </w:r>
      <w:r w:rsidRPr="00237429">
        <w:t xml:space="preserve"> freshwater river discharge</w:t>
      </w:r>
      <w:r w:rsidR="009B1ADB">
        <w:t>, as well as</w:t>
      </w:r>
      <w:r>
        <w:t xml:space="preserve"> </w:t>
      </w:r>
      <w:r w:rsidR="009B1ADB">
        <w:t>multiple paddock-scale pressures relating to pesticide usage and transport potential into the riverine system which are reflected collectively in the</w:t>
      </w:r>
      <w:r w:rsidRPr="00237429">
        <w:t xml:space="preserve"> </w:t>
      </w:r>
      <w:r w:rsidR="005E379C">
        <w:t>end-of-catchment</w:t>
      </w:r>
      <w:r w:rsidRPr="00237429">
        <w:t xml:space="preserve"> pesticide loads</w:t>
      </w:r>
      <w:r w:rsidR="009B1ADB">
        <w:t xml:space="preserve"> discharged to the Reef lagoon</w:t>
      </w:r>
      <w:r>
        <w:t xml:space="preserve"> (</w:t>
      </w:r>
      <w:r w:rsidR="00262CE9" w:rsidRPr="00262CE9">
        <w:fldChar w:fldCharType="begin"/>
      </w:r>
      <w:r w:rsidR="00262CE9" w:rsidRPr="00262CE9">
        <w:instrText xml:space="preserve"> REF _Ref477107847 \h  \* MERGEFORMAT </w:instrText>
      </w:r>
      <w:r w:rsidR="00262CE9" w:rsidRPr="00262CE9">
        <w:fldChar w:fldCharType="separate"/>
      </w:r>
      <w:r w:rsidR="00D12276" w:rsidRPr="00035468">
        <w:rPr>
          <w:szCs w:val="20"/>
        </w:rPr>
        <w:t xml:space="preserve">Figure </w:t>
      </w:r>
      <w:r w:rsidR="00D12276" w:rsidRPr="00D12276">
        <w:rPr>
          <w:noProof/>
          <w:szCs w:val="20"/>
        </w:rPr>
        <w:t>3</w:t>
      </w:r>
      <w:r w:rsidR="00262CE9" w:rsidRPr="00262CE9">
        <w:fldChar w:fldCharType="end"/>
      </w:r>
      <w:r>
        <w:t>). The</w:t>
      </w:r>
      <w:r w:rsidR="00E43246" w:rsidRPr="002074FE">
        <w:t xml:space="preserve"> state</w:t>
      </w:r>
      <w:r>
        <w:t xml:space="preserve">, or condition, of water quality with respect to pesticides is presented in summary in </w:t>
      </w:r>
      <w:r w:rsidR="00262CE9">
        <w:t>S</w:t>
      </w:r>
      <w:r>
        <w:t xml:space="preserve">ection </w:t>
      </w:r>
      <w:r w:rsidR="00C91BF5">
        <w:fldChar w:fldCharType="begin"/>
      </w:r>
      <w:r w:rsidR="007058AB">
        <w:instrText xml:space="preserve"> REF _Ref480727193 \n \h </w:instrText>
      </w:r>
      <w:r w:rsidR="00C91BF5">
        <w:fldChar w:fldCharType="separate"/>
      </w:r>
      <w:r w:rsidR="00D12276">
        <w:t>4.2</w:t>
      </w:r>
      <w:r w:rsidR="00C91BF5">
        <w:fldChar w:fldCharType="end"/>
      </w:r>
      <w:r>
        <w:t xml:space="preserve"> with further details in the supporting Appendices.</w:t>
      </w:r>
    </w:p>
    <w:p w14:paraId="15720E82" w14:textId="77777777" w:rsidR="00035468" w:rsidRDefault="00035468" w:rsidP="00015606">
      <w:pPr>
        <w:spacing w:line="276" w:lineRule="auto"/>
      </w:pPr>
    </w:p>
    <w:p w14:paraId="15720E83" w14:textId="77777777" w:rsidR="00035468" w:rsidRDefault="00035468" w:rsidP="00A30511">
      <w:pPr>
        <w:spacing w:after="120" w:line="276" w:lineRule="auto"/>
        <w:ind w:left="709"/>
      </w:pPr>
      <w:r>
        <w:rPr>
          <w:noProof/>
          <w:lang w:val="en-AU" w:eastAsia="en-AU" w:bidi="ar-SA"/>
        </w:rPr>
        <w:drawing>
          <wp:inline distT="0" distB="0" distL="0" distR="0" wp14:anchorId="15721A55" wp14:editId="12D4A377">
            <wp:extent cx="5605153" cy="4512623"/>
            <wp:effectExtent l="0" t="0" r="14605" b="0"/>
            <wp:docPr id="7218" name="Diagram 7218" descr="Conceptual diagram representing DPSIR framework used to guide the structure of the MMP, derived from the Great Barrier Reef Strategic Assessment, 2015. Shows drivers, impacts/pressures, condition, community benefits and management responses in a cycle."/>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15720E84" w14:textId="72055F7E" w:rsidR="00035468" w:rsidRPr="00035468" w:rsidRDefault="00035468" w:rsidP="00035468">
      <w:pPr>
        <w:pStyle w:val="Caption"/>
        <w:rPr>
          <w:b w:val="0"/>
          <w:szCs w:val="20"/>
        </w:rPr>
      </w:pPr>
      <w:bookmarkStart w:id="375" w:name="_Ref477107847"/>
      <w:bookmarkStart w:id="376" w:name="_Toc502499933"/>
      <w:r w:rsidRPr="00035468">
        <w:rPr>
          <w:b w:val="0"/>
          <w:szCs w:val="20"/>
        </w:rPr>
        <w:t xml:space="preserve">Figure </w:t>
      </w:r>
      <w:r w:rsidR="00C91BF5" w:rsidRPr="00035468">
        <w:rPr>
          <w:b w:val="0"/>
          <w:szCs w:val="20"/>
        </w:rPr>
        <w:fldChar w:fldCharType="begin"/>
      </w:r>
      <w:r w:rsidRPr="00035468">
        <w:rPr>
          <w:b w:val="0"/>
          <w:szCs w:val="20"/>
        </w:rPr>
        <w:instrText xml:space="preserve"> SEQ Figure \* ARABIC </w:instrText>
      </w:r>
      <w:r w:rsidR="00C91BF5" w:rsidRPr="00035468">
        <w:rPr>
          <w:b w:val="0"/>
          <w:szCs w:val="20"/>
        </w:rPr>
        <w:fldChar w:fldCharType="separate"/>
      </w:r>
      <w:r w:rsidR="00D12276">
        <w:rPr>
          <w:b w:val="0"/>
          <w:noProof/>
          <w:szCs w:val="20"/>
        </w:rPr>
        <w:t>3</w:t>
      </w:r>
      <w:r w:rsidR="00C91BF5" w:rsidRPr="00035468">
        <w:rPr>
          <w:b w:val="0"/>
          <w:szCs w:val="20"/>
        </w:rPr>
        <w:fldChar w:fldCharType="end"/>
      </w:r>
      <w:bookmarkEnd w:id="375"/>
      <w:r w:rsidRPr="00035468">
        <w:rPr>
          <w:b w:val="0"/>
          <w:szCs w:val="20"/>
        </w:rPr>
        <w:t xml:space="preserve">: DPSIR framework used to guide the structure of the MMP, derived from the </w:t>
      </w:r>
      <w:r w:rsidR="00237429" w:rsidRPr="00035468">
        <w:rPr>
          <w:b w:val="0"/>
          <w:szCs w:val="20"/>
        </w:rPr>
        <w:t>2015</w:t>
      </w:r>
      <w:r w:rsidR="00237429">
        <w:rPr>
          <w:b w:val="0"/>
          <w:szCs w:val="20"/>
        </w:rPr>
        <w:t xml:space="preserve"> </w:t>
      </w:r>
      <w:r w:rsidRPr="00035468">
        <w:rPr>
          <w:b w:val="0"/>
          <w:szCs w:val="20"/>
        </w:rPr>
        <w:t>Great Ba</w:t>
      </w:r>
      <w:r w:rsidR="00237429">
        <w:rPr>
          <w:b w:val="0"/>
          <w:szCs w:val="20"/>
        </w:rPr>
        <w:t>rrier Reef Strategic Assessment</w:t>
      </w:r>
      <w:r w:rsidRPr="00035468">
        <w:rPr>
          <w:b w:val="0"/>
          <w:szCs w:val="20"/>
        </w:rPr>
        <w:t xml:space="preserve"> </w:t>
      </w:r>
      <w:r w:rsidR="00237429">
        <w:rPr>
          <w:b w:val="0"/>
          <w:szCs w:val="20"/>
        </w:rPr>
        <w:t xml:space="preserve">(figure </w:t>
      </w:r>
      <w:r w:rsidR="00D9604F">
        <w:rPr>
          <w:b w:val="0"/>
          <w:szCs w:val="20"/>
        </w:rPr>
        <w:t xml:space="preserve">modified </w:t>
      </w:r>
      <w:r w:rsidR="00237429">
        <w:rPr>
          <w:b w:val="0"/>
          <w:szCs w:val="20"/>
        </w:rPr>
        <w:t>from</w:t>
      </w:r>
      <w:r w:rsidR="002074FE">
        <w:rPr>
          <w:b w:val="0"/>
          <w:szCs w:val="20"/>
        </w:rPr>
        <w:t xml:space="preserve"> </w:t>
      </w:r>
      <w:r w:rsidR="00C91BF5">
        <w:rPr>
          <w:b w:val="0"/>
          <w:szCs w:val="20"/>
        </w:rPr>
        <w:fldChar w:fldCharType="begin"/>
      </w:r>
      <w:r w:rsidR="00216883">
        <w:rPr>
          <w:b w:val="0"/>
          <w:szCs w:val="20"/>
        </w:rPr>
        <w:instrText xml:space="preserve"> ADDIN EN.CITE &lt;EndNote&gt;&lt;Cite AuthorYear="1"&gt;&lt;Author&gt;Waterhouse&lt;/Author&gt;&lt;Year&gt;2017&lt;/Year&gt;&lt;RecNum&gt;39&lt;/RecNum&gt;&lt;DisplayText&gt;Waterhouse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C91BF5">
        <w:rPr>
          <w:b w:val="0"/>
          <w:szCs w:val="20"/>
        </w:rPr>
        <w:fldChar w:fldCharType="separate"/>
      </w:r>
      <w:r w:rsidR="00216883">
        <w:rPr>
          <w:b w:val="0"/>
          <w:noProof/>
          <w:szCs w:val="20"/>
        </w:rPr>
        <w:t>Waterhouse et al. (2017b)</w:t>
      </w:r>
      <w:r w:rsidR="00C91BF5">
        <w:rPr>
          <w:b w:val="0"/>
          <w:szCs w:val="20"/>
        </w:rPr>
        <w:fldChar w:fldCharType="end"/>
      </w:r>
      <w:r w:rsidR="00237429">
        <w:rPr>
          <w:b w:val="0"/>
          <w:szCs w:val="20"/>
        </w:rPr>
        <w:t>)</w:t>
      </w:r>
      <w:r w:rsidRPr="00035468">
        <w:rPr>
          <w:b w:val="0"/>
          <w:szCs w:val="20"/>
        </w:rPr>
        <w:t>. The aspects highlighted in yellow are included in this report.</w:t>
      </w:r>
      <w:bookmarkEnd w:id="376"/>
    </w:p>
    <w:p w14:paraId="15720E85" w14:textId="77777777" w:rsidR="0059608E" w:rsidRDefault="0059608E" w:rsidP="00015606">
      <w:pPr>
        <w:spacing w:line="276" w:lineRule="auto"/>
      </w:pPr>
    </w:p>
    <w:p w14:paraId="15720E86" w14:textId="5D3C6887" w:rsidR="00237429" w:rsidRDefault="00237429" w:rsidP="00220439">
      <w:pPr>
        <w:pStyle w:val="Heading2"/>
        <w:keepNext/>
        <w:keepLines/>
        <w:numPr>
          <w:ilvl w:val="1"/>
          <w:numId w:val="1"/>
        </w:numPr>
        <w:pBdr>
          <w:bottom w:val="none" w:sz="0" w:space="0" w:color="auto"/>
        </w:pBdr>
        <w:spacing w:before="240" w:after="120"/>
        <w:rPr>
          <w:bCs/>
          <w:sz w:val="26"/>
          <w:szCs w:val="26"/>
          <w:lang w:val="en-AU" w:eastAsia="en-US" w:bidi="ar-SA"/>
        </w:rPr>
      </w:pPr>
      <w:bookmarkStart w:id="377" w:name="_Toc461457762"/>
      <w:bookmarkStart w:id="378" w:name="_Ref480727176"/>
      <w:bookmarkStart w:id="379" w:name="_Toc502500004"/>
      <w:r>
        <w:rPr>
          <w:bCs/>
          <w:sz w:val="26"/>
          <w:szCs w:val="26"/>
          <w:lang w:val="en-AU" w:eastAsia="en-US" w:bidi="ar-SA"/>
        </w:rPr>
        <w:t>Drivers and p</w:t>
      </w:r>
      <w:r w:rsidRPr="004E0EF8">
        <w:rPr>
          <w:bCs/>
          <w:sz w:val="26"/>
          <w:szCs w:val="26"/>
          <w:lang w:val="en-AU" w:eastAsia="en-US" w:bidi="ar-SA"/>
        </w:rPr>
        <w:t>ressures influencing pesticide concentrations</w:t>
      </w:r>
      <w:bookmarkEnd w:id="377"/>
      <w:bookmarkEnd w:id="378"/>
      <w:bookmarkEnd w:id="379"/>
    </w:p>
    <w:p w14:paraId="7182EAF7" w14:textId="6BF1814C" w:rsidR="0070629A" w:rsidRPr="0070629A" w:rsidRDefault="0070629A" w:rsidP="00130DE2">
      <w:pPr>
        <w:spacing w:line="276" w:lineRule="auto"/>
        <w:rPr>
          <w:lang w:val="en-AU" w:bidi="ar-SA"/>
        </w:rPr>
      </w:pPr>
      <w:r>
        <w:rPr>
          <w:lang w:val="en-AU" w:bidi="ar-SA"/>
        </w:rPr>
        <w:t>Consistent with the reporting</w:t>
      </w:r>
      <w:r w:rsidR="00CE0A33">
        <w:rPr>
          <w:lang w:val="en-AU" w:bidi="ar-SA"/>
        </w:rPr>
        <w:t xml:space="preserve"> structure</w:t>
      </w:r>
      <w:r>
        <w:rPr>
          <w:lang w:val="en-AU" w:bidi="ar-SA"/>
        </w:rPr>
        <w:t xml:space="preserve"> for </w:t>
      </w:r>
      <w:r w:rsidR="00CE0A33">
        <w:rPr>
          <w:lang w:val="en-AU" w:bidi="ar-SA"/>
        </w:rPr>
        <w:t>all</w:t>
      </w:r>
      <w:r>
        <w:rPr>
          <w:lang w:val="en-AU" w:bidi="ar-SA"/>
        </w:rPr>
        <w:t xml:space="preserve"> MMP </w:t>
      </w:r>
      <w:r w:rsidR="00CE0A33">
        <w:rPr>
          <w:lang w:val="en-AU" w:bidi="ar-SA"/>
        </w:rPr>
        <w:t>projects</w:t>
      </w:r>
      <w:r>
        <w:rPr>
          <w:lang w:val="en-AU" w:bidi="ar-SA"/>
        </w:rPr>
        <w:t xml:space="preserve">, </w:t>
      </w:r>
      <w:r w:rsidR="00CE0A33">
        <w:rPr>
          <w:lang w:val="en-AU" w:bidi="ar-SA"/>
        </w:rPr>
        <w:t>this section outlines the</w:t>
      </w:r>
      <w:r w:rsidR="00262CE9">
        <w:rPr>
          <w:lang w:val="en-AU" w:bidi="ar-SA"/>
        </w:rPr>
        <w:t xml:space="preserve"> 2015-16 </w:t>
      </w:r>
      <w:r w:rsidR="00CE0A33">
        <w:rPr>
          <w:lang w:val="en-AU" w:bidi="ar-SA"/>
        </w:rPr>
        <w:t>drivers and pressures potentially impacting pesticide levels in the near-shore marine environment.</w:t>
      </w:r>
    </w:p>
    <w:p w14:paraId="15720E87" w14:textId="77777777" w:rsidR="008A4B4F" w:rsidRDefault="008A4B4F" w:rsidP="00220439">
      <w:pPr>
        <w:pStyle w:val="Heading30"/>
        <w:numPr>
          <w:ilvl w:val="2"/>
          <w:numId w:val="1"/>
        </w:numPr>
      </w:pPr>
      <w:bookmarkStart w:id="380" w:name="_Toc461457767"/>
      <w:bookmarkStart w:id="381" w:name="_Toc502500005"/>
      <w:r>
        <w:t>Land use</w:t>
      </w:r>
      <w:bookmarkEnd w:id="380"/>
      <w:bookmarkEnd w:id="381"/>
    </w:p>
    <w:p w14:paraId="15720E88" w14:textId="728077E4" w:rsidR="008A4B4F" w:rsidRDefault="008A4B4F" w:rsidP="008A4B4F">
      <w:pPr>
        <w:spacing w:line="276" w:lineRule="auto"/>
        <w:rPr>
          <w:lang w:val="en-GB" w:eastAsia="en-AU"/>
        </w:rPr>
      </w:pPr>
      <w:r>
        <w:rPr>
          <w:lang w:val="en-GB" w:eastAsia="en-AU"/>
        </w:rPr>
        <w:t xml:space="preserve">A wide range of land uses occur in the Reef catchments, with great diversity between NRM regions </w:t>
      </w:r>
      <w:r w:rsidR="00CE0A33">
        <w:rPr>
          <w:lang w:val="en-GB" w:eastAsia="en-AU"/>
        </w:rPr>
        <w:t>(</w:t>
      </w:r>
      <w:r w:rsidR="00CE0A33" w:rsidRPr="00CE0A33">
        <w:rPr>
          <w:lang w:val="en-GB" w:eastAsia="en-AU"/>
        </w:rPr>
        <w:fldChar w:fldCharType="begin"/>
      </w:r>
      <w:r w:rsidR="00CE0A33" w:rsidRPr="00CE0A33">
        <w:rPr>
          <w:lang w:val="en-GB" w:eastAsia="en-AU"/>
        </w:rPr>
        <w:instrText xml:space="preserve"> REF _Ref477111597 \h  \* MERGEFORMAT </w:instrText>
      </w:r>
      <w:r w:rsidR="00CE0A33" w:rsidRPr="00CE0A33">
        <w:rPr>
          <w:lang w:val="en-GB" w:eastAsia="en-AU"/>
        </w:rPr>
      </w:r>
      <w:r w:rsidR="00CE0A33" w:rsidRPr="00CE0A33">
        <w:rPr>
          <w:lang w:val="en-GB" w:eastAsia="en-AU"/>
        </w:rPr>
        <w:fldChar w:fldCharType="separate"/>
      </w:r>
      <w:r w:rsidR="00D12276" w:rsidRPr="00747824">
        <w:t xml:space="preserve">Figure </w:t>
      </w:r>
      <w:r w:rsidR="00D12276" w:rsidRPr="00D12276">
        <w:rPr>
          <w:noProof/>
        </w:rPr>
        <w:t>4</w:t>
      </w:r>
      <w:r w:rsidR="00CE0A33" w:rsidRPr="00CE0A33">
        <w:rPr>
          <w:lang w:val="en-GB" w:eastAsia="en-AU"/>
        </w:rPr>
        <w:fldChar w:fldCharType="end"/>
      </w:r>
      <w:r w:rsidR="00B31A9E">
        <w:rPr>
          <w:lang w:val="en-GB" w:eastAsia="en-AU"/>
        </w:rPr>
        <w:t xml:space="preserve">, </w:t>
      </w:r>
      <w:r w:rsidR="002A77E1">
        <w:fldChar w:fldCharType="begin"/>
      </w:r>
      <w:r w:rsidR="002A77E1">
        <w:instrText xml:space="preserve"> REF _Ref480727261 \n \h  \* MERGEFORMAT </w:instrText>
      </w:r>
      <w:r w:rsidR="002A77E1">
        <w:fldChar w:fldCharType="separate"/>
      </w:r>
      <w:r w:rsidR="00D12276" w:rsidRPr="00D12276">
        <w:rPr>
          <w:lang w:val="en-GB" w:eastAsia="en-AU"/>
        </w:rPr>
        <w:t xml:space="preserve">Appendix D </w:t>
      </w:r>
      <w:r w:rsidR="002A77E1">
        <w:fldChar w:fldCharType="end"/>
      </w:r>
      <w:r w:rsidR="00C91BF5">
        <w:rPr>
          <w:highlight w:val="yellow"/>
          <w:lang w:val="en-GB" w:eastAsia="en-AU"/>
        </w:rPr>
        <w:fldChar w:fldCharType="begin"/>
      </w:r>
      <w:r w:rsidR="007058AB">
        <w:rPr>
          <w:highlight w:val="yellow"/>
          <w:lang w:val="en-GB" w:eastAsia="en-AU"/>
        </w:rPr>
        <w:instrText xml:space="preserve"> REF _Ref480727274 \h </w:instrText>
      </w:r>
      <w:r w:rsidR="00C91BF5">
        <w:rPr>
          <w:highlight w:val="yellow"/>
          <w:lang w:val="en-GB" w:eastAsia="en-AU"/>
        </w:rPr>
      </w:r>
      <w:r w:rsidR="00C91BF5">
        <w:rPr>
          <w:highlight w:val="yellow"/>
          <w:lang w:val="en-GB" w:eastAsia="en-AU"/>
        </w:rPr>
        <w:fldChar w:fldCharType="separate"/>
      </w:r>
      <w:r w:rsidR="00D12276">
        <w:t xml:space="preserve">Figure </w:t>
      </w:r>
      <w:r w:rsidR="00D12276">
        <w:rPr>
          <w:noProof/>
        </w:rPr>
        <w:t>D</w:t>
      </w:r>
      <w:r w:rsidR="00D12276">
        <w:noBreakHyphen/>
      </w:r>
      <w:r w:rsidR="00D12276">
        <w:rPr>
          <w:noProof/>
        </w:rPr>
        <w:t>1</w:t>
      </w:r>
      <w:r w:rsidR="00C91BF5">
        <w:rPr>
          <w:highlight w:val="yellow"/>
          <w:lang w:val="en-GB" w:eastAsia="en-AU"/>
        </w:rPr>
        <w:fldChar w:fldCharType="end"/>
      </w:r>
      <w:r>
        <w:rPr>
          <w:lang w:val="en-GB" w:eastAsia="en-AU"/>
        </w:rPr>
        <w:t>).</w:t>
      </w:r>
    </w:p>
    <w:p w14:paraId="34D6AE42" w14:textId="77777777" w:rsidR="00734C2D" w:rsidRDefault="00734C2D" w:rsidP="008A4B4F">
      <w:pPr>
        <w:spacing w:line="276" w:lineRule="auto"/>
        <w:rPr>
          <w:lang w:val="en-GB" w:eastAsia="en-AU"/>
        </w:rPr>
      </w:pPr>
    </w:p>
    <w:p w14:paraId="15720E89" w14:textId="4B4A921D" w:rsidR="008A4B4F" w:rsidRDefault="008A4B4F" w:rsidP="00AA251B">
      <w:pPr>
        <w:spacing w:line="276" w:lineRule="auto"/>
        <w:jc w:val="center"/>
        <w:rPr>
          <w:lang w:val="en-GB" w:eastAsia="en-AU"/>
        </w:rPr>
      </w:pPr>
      <w:r>
        <w:rPr>
          <w:noProof/>
          <w:lang w:val="en-AU" w:eastAsia="en-AU" w:bidi="ar-SA"/>
        </w:rPr>
        <w:lastRenderedPageBreak/>
        <w:drawing>
          <wp:inline distT="0" distB="0" distL="0" distR="0" wp14:anchorId="15721A57" wp14:editId="0DEB8AAE">
            <wp:extent cx="4987652" cy="7214870"/>
            <wp:effectExtent l="0" t="0" r="3810" b="5080"/>
            <wp:docPr id="5" name="Picture 5" descr="Figure 4: Land use in the Reef catchments. All regions have a pie chart showing the proportion of different land use. Conservation, forestry and grazing dominate for most NRM 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46_Landuse1999_2009_PieGraphs.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004827" cy="7239715"/>
                    </a:xfrm>
                    <a:prstGeom prst="rect">
                      <a:avLst/>
                    </a:prstGeom>
                  </pic:spPr>
                </pic:pic>
              </a:graphicData>
            </a:graphic>
          </wp:inline>
        </w:drawing>
      </w:r>
    </w:p>
    <w:p w14:paraId="15720E8A" w14:textId="7CE503D8" w:rsidR="008A4B4F" w:rsidRPr="00747824" w:rsidRDefault="008A4B4F" w:rsidP="00AA251B">
      <w:pPr>
        <w:pStyle w:val="Caption"/>
        <w:keepNext/>
        <w:spacing w:line="276" w:lineRule="auto"/>
        <w:jc w:val="center"/>
        <w:rPr>
          <w:b w:val="0"/>
        </w:rPr>
      </w:pPr>
      <w:bookmarkStart w:id="382" w:name="_Ref477111597"/>
      <w:bookmarkStart w:id="383" w:name="_Toc502499934"/>
      <w:r w:rsidRPr="00747824">
        <w:rPr>
          <w:b w:val="0"/>
        </w:rPr>
        <w:t xml:space="preserve">Figure </w:t>
      </w:r>
      <w:r w:rsidR="00C91BF5" w:rsidRPr="00747824">
        <w:rPr>
          <w:b w:val="0"/>
        </w:rPr>
        <w:fldChar w:fldCharType="begin"/>
      </w:r>
      <w:r w:rsidRPr="00747824">
        <w:rPr>
          <w:b w:val="0"/>
        </w:rPr>
        <w:instrText xml:space="preserve"> SEQ Figure \* ARABIC </w:instrText>
      </w:r>
      <w:r w:rsidR="00C91BF5" w:rsidRPr="00747824">
        <w:rPr>
          <w:b w:val="0"/>
        </w:rPr>
        <w:fldChar w:fldCharType="separate"/>
      </w:r>
      <w:r w:rsidR="00D12276">
        <w:rPr>
          <w:b w:val="0"/>
          <w:noProof/>
        </w:rPr>
        <w:t>4</w:t>
      </w:r>
      <w:r w:rsidR="00C91BF5" w:rsidRPr="00747824">
        <w:rPr>
          <w:b w:val="0"/>
        </w:rPr>
        <w:fldChar w:fldCharType="end"/>
      </w:r>
      <w:bookmarkEnd w:id="382"/>
      <w:r>
        <w:rPr>
          <w:b w:val="0"/>
        </w:rPr>
        <w:t xml:space="preserve">: </w:t>
      </w:r>
      <w:r w:rsidRPr="00747824">
        <w:rPr>
          <w:b w:val="0"/>
        </w:rPr>
        <w:t xml:space="preserve">Land use in the Reef catchments. Sourced from </w:t>
      </w:r>
      <w:r w:rsidR="00C91BF5" w:rsidRPr="00747824">
        <w:rPr>
          <w:b w:val="0"/>
        </w:rPr>
        <w:fldChar w:fldCharType="begin"/>
      </w:r>
      <w:r w:rsidR="00147096">
        <w:rPr>
          <w:b w:val="0"/>
        </w:rPr>
        <w:instrText xml:space="preserve"> ADDIN EN.CITE &lt;EndNote&gt;&lt;Cite AuthorYear="1"&gt;&lt;Author&gt;GBRMPA&lt;/Author&gt;&lt;Year&gt;2014&lt;/Year&gt;&lt;RecNum&gt;1&lt;/RecNum&gt;&lt;DisplayText&gt;GBRMPA (2014)&lt;/DisplayText&gt;&lt;record&gt;&lt;rec-number&gt;1&lt;/rec-number&gt;&lt;foreign-keys&gt;&lt;key app="EN" db-id="vvtrt2pt4xpx5teta99vvtwg50vzve2aexae" timestamp="1493157327"&gt;1&lt;/key&gt;&lt;/foreign-keys&gt;&lt;ref-type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Townsville&lt;/pub-location&gt;&lt;urls&gt;&lt;/urls&gt;&lt;/record&gt;&lt;/Cite&gt;&lt;/EndNote&gt;</w:instrText>
      </w:r>
      <w:r w:rsidR="00C91BF5" w:rsidRPr="00747824">
        <w:rPr>
          <w:b w:val="0"/>
        </w:rPr>
        <w:fldChar w:fldCharType="separate"/>
      </w:r>
      <w:r w:rsidRPr="00747824">
        <w:rPr>
          <w:b w:val="0"/>
          <w:noProof/>
        </w:rPr>
        <w:t>GBRMPA (2014)</w:t>
      </w:r>
      <w:bookmarkEnd w:id="383"/>
      <w:r w:rsidR="00C91BF5" w:rsidRPr="00747824">
        <w:rPr>
          <w:b w:val="0"/>
        </w:rPr>
        <w:fldChar w:fldCharType="end"/>
      </w:r>
    </w:p>
    <w:p w14:paraId="15720E8B" w14:textId="77777777" w:rsidR="008A4B4F" w:rsidRPr="008B15F3" w:rsidRDefault="008A4B4F" w:rsidP="008A4B4F">
      <w:pPr>
        <w:spacing w:line="276" w:lineRule="auto"/>
      </w:pPr>
    </w:p>
    <w:p w14:paraId="15720E8C" w14:textId="62F835B9" w:rsidR="008A4B4F" w:rsidRPr="00013167" w:rsidRDefault="008F7021" w:rsidP="00DA038D">
      <w:pPr>
        <w:spacing w:line="276" w:lineRule="auto"/>
        <w:rPr>
          <w:lang w:val="en-GB" w:eastAsia="en-AU"/>
        </w:rPr>
      </w:pPr>
      <w:bookmarkStart w:id="384" w:name="OLE_LINK11"/>
      <w:r>
        <w:rPr>
          <w:lang w:val="en-GB" w:eastAsia="en-AU"/>
        </w:rPr>
        <w:t xml:space="preserve">Certain regions and/or smaller coastal catchments may represent areas of higher localised risk of pesticide run-off due to the intensity and nature of agricultural activities (such as sugar cane cropping) occurring in coastal areas </w:t>
      </w:r>
      <w:r w:rsidR="00C91BF5">
        <w:rPr>
          <w:lang w:val="en-GB" w:eastAsia="en-AU"/>
        </w:rPr>
        <w:fldChar w:fldCharType="begin"/>
      </w:r>
      <w:r w:rsidR="009D4492">
        <w:rPr>
          <w:lang w:val="en-GB" w:eastAsia="en-AU"/>
        </w:rPr>
        <w:instrText xml:space="preserve"> ADDIN EN.CITE &lt;EndNote&gt;&lt;Cite&gt;&lt;Author&gt;Brodie&lt;/Author&gt;&lt;Year&gt;2013&lt;/Year&gt;&lt;RecNum&gt;11&lt;/RecNum&gt;&lt;DisplayText&gt;(Brodie et al., 2013)&lt;/DisplayText&gt;&lt;record&gt;&lt;rec-number&gt;11&lt;/rec-number&gt;&lt;foreign-keys&gt;&lt;key app="EN" db-id="vvtrt2pt4xpx5teta99vvtwg50vzve2aexae" timestamp="1493157339"&gt;11&lt;/key&gt;&lt;/foreign-keys&gt;&lt;ref-type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sidR="00C91BF5">
        <w:rPr>
          <w:lang w:val="en-GB" w:eastAsia="en-AU"/>
        </w:rPr>
        <w:fldChar w:fldCharType="separate"/>
      </w:r>
      <w:r w:rsidR="009D4492">
        <w:rPr>
          <w:noProof/>
          <w:lang w:val="en-GB" w:eastAsia="en-AU"/>
        </w:rPr>
        <w:t>(Brodie et al., 2013)</w:t>
      </w:r>
      <w:r w:rsidR="00C91BF5">
        <w:rPr>
          <w:lang w:val="en-GB" w:eastAsia="en-AU"/>
        </w:rPr>
        <w:fldChar w:fldCharType="end"/>
      </w:r>
      <w:r>
        <w:rPr>
          <w:lang w:val="en-GB" w:eastAsia="en-AU"/>
        </w:rPr>
        <w:t>. In total, 80 per cent of the Reef catchments support agricultural activities with cattle grazing the most extensive land use, particularly in the drier Burdekin and Fitzroy regions of which 90 per cent and 77 per cent</w:t>
      </w:r>
      <w:r w:rsidR="00262CE9">
        <w:rPr>
          <w:lang w:val="en-GB" w:eastAsia="en-AU"/>
        </w:rPr>
        <w:t xml:space="preserve">, </w:t>
      </w:r>
      <w:r>
        <w:rPr>
          <w:lang w:val="en-GB" w:eastAsia="en-AU"/>
        </w:rPr>
        <w:t>respectively</w:t>
      </w:r>
      <w:r w:rsidR="00262CE9">
        <w:rPr>
          <w:lang w:val="en-GB" w:eastAsia="en-AU"/>
        </w:rPr>
        <w:t>,</w:t>
      </w:r>
      <w:r>
        <w:rPr>
          <w:lang w:val="en-GB" w:eastAsia="en-AU"/>
        </w:rPr>
        <w:t xml:space="preserve"> are utilised for this purpose </w:t>
      </w:r>
      <w:r w:rsidR="00C91BF5">
        <w:rPr>
          <w:lang w:val="en-GB" w:eastAsia="en-AU"/>
        </w:rPr>
        <w:fldChar w:fldCharType="begin"/>
      </w:r>
      <w:r w:rsidR="00734C2D">
        <w:rPr>
          <w:lang w:val="en-GB" w:eastAsia="en-AU"/>
        </w:rPr>
        <w:instrText xml:space="preserve"> ADDIN EN.CITE &lt;EndNote&gt;&lt;Cite&gt;&lt;Author&gt;DSITI&lt;/Author&gt;&lt;Year&gt;2012&lt;/Year&gt;&lt;RecNum&gt;23&lt;/RecNum&gt;&lt;DisplayText&gt;(DSITI, 2012c, a)&lt;/DisplayText&gt;&lt;record&gt;&lt;rec-number&gt;23&lt;/rec-number&gt;&lt;foreign-keys&gt;&lt;key app="EN" db-id="vvtrt2pt4xpx5teta99vvtwg50vzve2aexae" timestamp="1493157351"&gt;23&lt;/key&gt;&lt;/foreign-keys&gt;&lt;ref-type name="Report"&gt;27&lt;/ref-type&gt;&lt;contributors&gt;&lt;authors&gt;&lt;author&gt;DSITI&lt;/author&gt;&lt;/authors&gt;&lt;/contributors&gt;&lt;titles&gt;&lt;title&gt;Land use summary 1999–2009: Burdekin NRM region&lt;/title&gt;&lt;/titles&gt;&lt;dates&gt;&lt;year&gt;2012&lt;/year&gt;&lt;/dates&gt;&lt;pub-location&gt;Queensland Department of Science, Information Technology, Innovation and the Arts, Brisbane.&lt;/pub-location&gt;&lt;urls&gt;&lt;/urls&gt;&lt;/record&gt;&lt;/Cite&gt;&lt;Cite&gt;&lt;Author&gt;DSITI&lt;/Author&gt;&lt;Year&gt;2012&lt;/Year&gt;&lt;RecNum&gt;25&lt;/RecNum&gt;&lt;record&gt;&lt;rec-number&gt;25&lt;/rec-number&gt;&lt;foreign-keys&gt;&lt;key app="EN" db-id="vvtrt2pt4xpx5teta99vvtwg50vzve2aexae" timestamp="1493157354"&gt;25&lt;/key&gt;&lt;/foreign-keys&gt;&lt;ref-type name="Report"&gt;27&lt;/ref-type&gt;&lt;contributors&gt;&lt;authors&gt;&lt;author&gt;DSITI&lt;/author&gt;&lt;/authors&gt;&lt;/contributors&gt;&lt;titles&gt;&lt;title&gt;Land use summary 1999–2009 for the Fitzroy NRM region&lt;/title&gt;&lt;/titles&gt;&lt;dates&gt;&lt;year&gt;2012&lt;/year&gt;&lt;/dates&gt;&lt;pub-location&gt;Queensland Department of Science, Information Technology, Innovation and the Arts, Brisbane.&lt;/pub-location&gt;&lt;urls&gt;&lt;/urls&gt;&lt;/record&gt;&lt;/Cite&gt;&lt;/EndNote&gt;</w:instrText>
      </w:r>
      <w:r w:rsidR="00C91BF5">
        <w:rPr>
          <w:lang w:val="en-GB" w:eastAsia="en-AU"/>
        </w:rPr>
        <w:fldChar w:fldCharType="separate"/>
      </w:r>
      <w:r w:rsidR="00734C2D">
        <w:rPr>
          <w:noProof/>
          <w:lang w:val="en-GB" w:eastAsia="en-AU"/>
        </w:rPr>
        <w:t>(DSITI, 2012c, a)</w:t>
      </w:r>
      <w:r w:rsidR="00C91BF5">
        <w:rPr>
          <w:lang w:val="en-GB" w:eastAsia="en-AU"/>
        </w:rPr>
        <w:fldChar w:fldCharType="end"/>
      </w:r>
      <w:r>
        <w:rPr>
          <w:lang w:val="en-GB" w:eastAsia="en-AU"/>
        </w:rPr>
        <w:t>. The Wet Tropics and Mackay Whitsunday regions also have grazing activities (31 per cent and 42 per cent</w:t>
      </w:r>
      <w:r w:rsidR="00262CE9">
        <w:rPr>
          <w:lang w:val="en-GB" w:eastAsia="en-AU"/>
        </w:rPr>
        <w:t>,</w:t>
      </w:r>
      <w:r>
        <w:rPr>
          <w:lang w:val="en-GB" w:eastAsia="en-AU"/>
        </w:rPr>
        <w:t xml:space="preserve"> respectively); however other uses such as nature conservation (33 per cent of land use in the Wet Tropics) and irrigated cropping (sugarcane) (18 per cent of land use in the Mackay Whitsunday) are also significant </w:t>
      </w:r>
      <w:r w:rsidR="00C91BF5">
        <w:rPr>
          <w:lang w:val="en-GB" w:eastAsia="en-AU"/>
        </w:rPr>
        <w:fldChar w:fldCharType="begin"/>
      </w:r>
      <w:r w:rsidR="00734C2D">
        <w:rPr>
          <w:lang w:val="en-GB" w:eastAsia="en-AU"/>
        </w:rPr>
        <w:instrText xml:space="preserve"> ADDIN EN.CITE &lt;EndNote&gt;&lt;Cite&gt;&lt;Author&gt;DSITI&lt;/Author&gt;&lt;Year&gt;2012&lt;/Year&gt;&lt;RecNum&gt;24&lt;/RecNum&gt;&lt;DisplayText&gt;(DSITI, 2012e, b)&lt;/DisplayText&gt;&lt;record&gt;&lt;rec-number&gt;24&lt;/rec-number&gt;&lt;foreign-keys&gt;&lt;key app="EN" db-id="vvtrt2pt4xpx5teta99vvtwg50vzve2aexae" timestamp="1493157353"&gt;24&lt;/key&gt;&lt;/foreign-keys&gt;&lt;ref-type name="Report"&gt;27&lt;/ref-type&gt;&lt;contributors&gt;&lt;authors&gt;&lt;author&gt;DSITI&lt;/author&gt;&lt;/authors&gt;&lt;/contributors&gt;&lt;titles&gt;&lt;title&gt;Land use Summary 1999–2009: Mackay–Whitsunday NRM Region&lt;/title&gt;&lt;/titles&gt;&lt;dates&gt;&lt;year&gt;2012&lt;/year&gt;&lt;/dates&gt;&lt;pub-location&gt;Queensland Department of Science, Information Technology, Innovation and the Arts, Brisbane.&lt;/pub-location&gt;&lt;urls&gt;&lt;/urls&gt;&lt;/record&gt;&lt;/Cite&gt;&lt;Cite&gt;&lt;Author&gt;DSITI&lt;/Author&gt;&lt;Year&gt;2012&lt;/Year&gt;&lt;RecNum&gt;22&lt;/RecNum&gt;&lt;record&gt;&lt;rec-number&gt;22&lt;/rec-number&gt;&lt;foreign-keys&gt;&lt;key app="EN" db-id="vvtrt2pt4xpx5teta99vvtwg50vzve2aexae" timestamp="1493157350"&gt;22&lt;/key&gt;&lt;/foreign-keys&gt;&lt;ref-type name="Report"&gt;27&lt;/ref-type&gt;&lt;contributors&gt;&lt;authors&gt;&lt;author&gt;DSITI&lt;/author&gt;&lt;/authors&gt;&lt;/contributors&gt;&lt;titles&gt;&lt;title&gt;Land use summary 1999–2009 for the Wet Tropics NRM region&lt;/title&gt;&lt;/titles&gt;&lt;dates&gt;&lt;year&gt;2012&lt;/year&gt;&lt;/dates&gt;&lt;pub-location&gt;Queensland Department of Science, Information Technology, Innovation and the Arts, Brisbane.&lt;/pub-location&gt;&lt;urls&gt;&lt;/urls&gt;&lt;/record&gt;&lt;/Cite&gt;&lt;/EndNote&gt;</w:instrText>
      </w:r>
      <w:r w:rsidR="00C91BF5">
        <w:rPr>
          <w:lang w:val="en-GB" w:eastAsia="en-AU"/>
        </w:rPr>
        <w:fldChar w:fldCharType="separate"/>
      </w:r>
      <w:r w:rsidR="00734C2D">
        <w:rPr>
          <w:noProof/>
          <w:lang w:val="en-GB" w:eastAsia="en-AU"/>
        </w:rPr>
        <w:t>(DSITI, 2012e, b)</w:t>
      </w:r>
      <w:r w:rsidR="00C91BF5">
        <w:rPr>
          <w:lang w:val="en-GB" w:eastAsia="en-AU"/>
        </w:rPr>
        <w:fldChar w:fldCharType="end"/>
      </w:r>
      <w:r>
        <w:rPr>
          <w:lang w:val="en-GB" w:eastAsia="en-AU"/>
        </w:rPr>
        <w:t xml:space="preserve">. </w:t>
      </w:r>
      <w:r w:rsidR="004A2633">
        <w:rPr>
          <w:lang w:val="en-GB" w:eastAsia="en-AU"/>
        </w:rPr>
        <w:t xml:space="preserve">Although land-use is well characterised in the Reef catchments, </w:t>
      </w:r>
      <w:r w:rsidR="00424CB5">
        <w:rPr>
          <w:lang w:val="en-GB" w:eastAsia="en-AU"/>
        </w:rPr>
        <w:t xml:space="preserve">limited </w:t>
      </w:r>
      <w:r w:rsidR="00DA038D">
        <w:rPr>
          <w:lang w:val="en-GB" w:eastAsia="en-AU"/>
        </w:rPr>
        <w:t xml:space="preserve">data on pesticide usage </w:t>
      </w:r>
      <w:r w:rsidR="004A2633">
        <w:rPr>
          <w:lang w:val="en-GB" w:eastAsia="en-AU"/>
        </w:rPr>
        <w:t xml:space="preserve">are available and </w:t>
      </w:r>
      <w:r w:rsidR="00DA038D">
        <w:rPr>
          <w:lang w:val="en-GB" w:eastAsia="en-AU"/>
        </w:rPr>
        <w:t>m</w:t>
      </w:r>
      <w:r w:rsidR="00DA038D" w:rsidRPr="00DA038D">
        <w:rPr>
          <w:lang w:val="en-GB" w:eastAsia="en-AU"/>
        </w:rPr>
        <w:t xml:space="preserve">odels are </w:t>
      </w:r>
      <w:r w:rsidR="00DA038D">
        <w:rPr>
          <w:lang w:val="en-GB" w:eastAsia="en-AU"/>
        </w:rPr>
        <w:t>used</w:t>
      </w:r>
      <w:r w:rsidR="00DA038D" w:rsidRPr="00DA038D">
        <w:rPr>
          <w:lang w:val="en-GB" w:eastAsia="en-AU"/>
        </w:rPr>
        <w:t xml:space="preserve"> to extrapolate from the relatively small experimental</w:t>
      </w:r>
      <w:r w:rsidR="004A2633">
        <w:rPr>
          <w:lang w:val="en-GB" w:eastAsia="en-AU"/>
        </w:rPr>
        <w:t xml:space="preserve"> </w:t>
      </w:r>
      <w:r w:rsidR="00DA038D" w:rsidRPr="00DA038D">
        <w:rPr>
          <w:lang w:val="en-GB" w:eastAsia="en-AU"/>
        </w:rPr>
        <w:t xml:space="preserve">database </w:t>
      </w:r>
      <w:r w:rsidR="004A2633">
        <w:rPr>
          <w:lang w:val="en-GB" w:eastAsia="en-AU"/>
        </w:rPr>
        <w:t xml:space="preserve">for run-off of pesticides from the different land use areas </w:t>
      </w:r>
      <w:r w:rsidR="00DA038D" w:rsidRPr="00DA038D">
        <w:rPr>
          <w:lang w:val="en-GB" w:eastAsia="en-AU"/>
        </w:rPr>
        <w:t xml:space="preserve">to a wider range of </w:t>
      </w:r>
      <w:r w:rsidR="001E2FB9">
        <w:rPr>
          <w:lang w:val="en-GB" w:eastAsia="en-AU"/>
        </w:rPr>
        <w:t xml:space="preserve">catchment </w:t>
      </w:r>
      <w:r w:rsidR="00DA038D" w:rsidRPr="00DA038D">
        <w:rPr>
          <w:lang w:val="en-GB" w:eastAsia="en-AU"/>
        </w:rPr>
        <w:t xml:space="preserve">conditions and </w:t>
      </w:r>
      <w:r w:rsidR="007B0F2F">
        <w:rPr>
          <w:lang w:val="en-GB" w:eastAsia="en-AU"/>
        </w:rPr>
        <w:t xml:space="preserve">to </w:t>
      </w:r>
      <w:r w:rsidR="00DA038D" w:rsidRPr="00DA038D">
        <w:rPr>
          <w:lang w:val="en-GB" w:eastAsia="en-AU"/>
        </w:rPr>
        <w:t>also investigate the impact of management options</w:t>
      </w:r>
      <w:r w:rsidR="007B0F2F">
        <w:rPr>
          <w:lang w:val="en-GB" w:eastAsia="en-AU"/>
        </w:rPr>
        <w:t xml:space="preserve"> </w:t>
      </w:r>
      <w:r w:rsidR="00C91BF5">
        <w:rPr>
          <w:lang w:val="en-GB" w:eastAsia="en-AU"/>
        </w:rPr>
        <w:fldChar w:fldCharType="begin"/>
      </w:r>
      <w:r w:rsidR="009D4492">
        <w:rPr>
          <w:lang w:val="en-GB" w:eastAsia="en-AU"/>
        </w:rPr>
        <w:instrText xml:space="preserve"> ADDIN EN.CITE &lt;EndNote&gt;&lt;Cite&gt;&lt;Author&gt;Shaw&lt;/Author&gt;&lt;Year&gt;2011&lt;/Year&gt;&lt;RecNum&gt;40&lt;/RecNum&gt;&lt;DisplayText&gt;(Shaw et al., 2011)&lt;/DisplayText&gt;&lt;record&gt;&lt;rec-number&gt;40&lt;/rec-number&gt;&lt;foreign-keys&gt;&lt;key app="EN" db-id="vvtrt2pt4xpx5teta99vvtwg50vzve2aexae" timestamp="1493157372"&gt;40&lt;/key&gt;&lt;/foreign-keys&gt;&lt;ref-type name="Report"&gt;27&lt;/ref-type&gt;&lt;contributors&gt;&lt;authors&gt;&lt;author&gt;Shaw, M.&lt;/author&gt;&lt;author&gt;Silburn, D.M.&lt;/author&gt;&lt;author&gt;Thornton, C.&lt;/author&gt;&lt;author&gt;Robinson, B.&lt;/author&gt;&lt;author&gt;McClymont, D.&lt;/author&gt;&lt;/authors&gt;&lt;/contributors&gt;&lt;titles&gt;&lt;title&gt; Modelling pesticide runoff from paddocks in the Great Barrier Reef with HowLeaky. MODSIM 2011, Perth WA.&lt;/title&gt;&lt;/titles&gt;&lt;dates&gt;&lt;year&gt;2011&lt;/year&gt;&lt;/dates&gt;&lt;urls&gt;&lt;/urls&gt;&lt;/record&gt;&lt;/Cite&gt;&lt;/EndNote&gt;</w:instrText>
      </w:r>
      <w:r w:rsidR="00C91BF5">
        <w:rPr>
          <w:lang w:val="en-GB" w:eastAsia="en-AU"/>
        </w:rPr>
        <w:fldChar w:fldCharType="separate"/>
      </w:r>
      <w:r w:rsidR="009D4492">
        <w:rPr>
          <w:noProof/>
          <w:lang w:val="en-GB" w:eastAsia="en-AU"/>
        </w:rPr>
        <w:t>(Shaw et al., 2011)</w:t>
      </w:r>
      <w:r w:rsidR="00C91BF5">
        <w:rPr>
          <w:lang w:val="en-GB" w:eastAsia="en-AU"/>
        </w:rPr>
        <w:fldChar w:fldCharType="end"/>
      </w:r>
      <w:r w:rsidR="00980704">
        <w:rPr>
          <w:lang w:val="en-GB" w:eastAsia="en-AU"/>
        </w:rPr>
        <w:t xml:space="preserve">. </w:t>
      </w:r>
      <w:r w:rsidR="002C5C1C">
        <w:rPr>
          <w:lang w:val="en-GB" w:eastAsia="en-AU"/>
        </w:rPr>
        <w:t>For the purposes of this report, monitored</w:t>
      </w:r>
      <w:r w:rsidR="00980704">
        <w:rPr>
          <w:lang w:val="en-GB" w:eastAsia="en-AU"/>
        </w:rPr>
        <w:t xml:space="preserve"> </w:t>
      </w:r>
      <w:r w:rsidR="005E379C">
        <w:rPr>
          <w:lang w:val="en-GB" w:eastAsia="en-AU"/>
        </w:rPr>
        <w:t>end-of-catchment</w:t>
      </w:r>
      <w:r w:rsidR="00980704">
        <w:rPr>
          <w:lang w:val="en-GB" w:eastAsia="en-AU"/>
        </w:rPr>
        <w:t xml:space="preserve"> pesticide loads that enter the Reef lagoon (</w:t>
      </w:r>
      <w:r w:rsidR="00AB030D">
        <w:rPr>
          <w:lang w:val="en-GB" w:eastAsia="en-AU"/>
        </w:rPr>
        <w:t xml:space="preserve">see </w:t>
      </w:r>
      <w:r w:rsidR="00A82DBA">
        <w:rPr>
          <w:lang w:val="en-GB" w:eastAsia="en-AU"/>
        </w:rPr>
        <w:t>S</w:t>
      </w:r>
      <w:r w:rsidR="00980704">
        <w:rPr>
          <w:lang w:val="en-GB" w:eastAsia="en-AU"/>
        </w:rPr>
        <w:t>ection</w:t>
      </w:r>
      <w:r w:rsidR="00CE0A33">
        <w:rPr>
          <w:lang w:val="en-GB" w:eastAsia="en-AU"/>
        </w:rPr>
        <w:t xml:space="preserve"> </w:t>
      </w:r>
      <w:r w:rsidR="00A82DBA">
        <w:rPr>
          <w:lang w:val="en-GB" w:eastAsia="en-AU"/>
        </w:rPr>
        <w:fldChar w:fldCharType="begin"/>
      </w:r>
      <w:r w:rsidR="00A82DBA">
        <w:rPr>
          <w:lang w:val="en-GB" w:eastAsia="en-AU"/>
        </w:rPr>
        <w:instrText xml:space="preserve"> REF _Ref501785760 \r \h </w:instrText>
      </w:r>
      <w:r w:rsidR="00A82DBA">
        <w:rPr>
          <w:lang w:val="en-GB" w:eastAsia="en-AU"/>
        </w:rPr>
      </w:r>
      <w:r w:rsidR="00A82DBA">
        <w:rPr>
          <w:lang w:val="en-GB" w:eastAsia="en-AU"/>
        </w:rPr>
        <w:fldChar w:fldCharType="separate"/>
      </w:r>
      <w:r w:rsidR="00D12276">
        <w:rPr>
          <w:lang w:val="en-GB" w:eastAsia="en-AU"/>
        </w:rPr>
        <w:t>4.1.3</w:t>
      </w:r>
      <w:r w:rsidR="00A82DBA">
        <w:rPr>
          <w:lang w:val="en-GB" w:eastAsia="en-AU"/>
        </w:rPr>
        <w:fldChar w:fldCharType="end"/>
      </w:r>
      <w:r w:rsidR="00CE0A33">
        <w:rPr>
          <w:lang w:val="en-GB" w:eastAsia="en-AU"/>
        </w:rPr>
        <w:t>)</w:t>
      </w:r>
      <w:r w:rsidR="002C5C1C">
        <w:rPr>
          <w:lang w:val="en-GB" w:eastAsia="en-AU"/>
        </w:rPr>
        <w:t xml:space="preserve"> are used to </w:t>
      </w:r>
      <w:r w:rsidR="00CE0A33">
        <w:rPr>
          <w:lang w:val="en-GB" w:eastAsia="en-AU"/>
        </w:rPr>
        <w:t>inform the pesticide profiles observed at</w:t>
      </w:r>
      <w:r>
        <w:rPr>
          <w:lang w:val="en-GB" w:eastAsia="en-AU"/>
        </w:rPr>
        <w:t xml:space="preserve"> fixed and other monitoring sites</w:t>
      </w:r>
      <w:r w:rsidR="00980704">
        <w:rPr>
          <w:lang w:val="en-GB" w:eastAsia="en-AU"/>
        </w:rPr>
        <w:t>.</w:t>
      </w:r>
      <w:r w:rsidR="00980704" w:rsidRPr="00980704">
        <w:rPr>
          <w:lang w:val="en-GB" w:eastAsia="en-AU"/>
        </w:rPr>
        <w:t xml:space="preserve"> </w:t>
      </w:r>
      <w:bookmarkEnd w:id="384"/>
    </w:p>
    <w:p w14:paraId="15720E8D" w14:textId="77777777" w:rsidR="008A4B4F" w:rsidRPr="008A4B4F" w:rsidRDefault="008A4B4F" w:rsidP="008A4B4F">
      <w:pPr>
        <w:rPr>
          <w:lang w:val="en-AU" w:bidi="ar-SA"/>
        </w:rPr>
      </w:pPr>
    </w:p>
    <w:p w14:paraId="15720E8E" w14:textId="30086A38" w:rsidR="0059608E" w:rsidRDefault="00185EFD" w:rsidP="00220439">
      <w:pPr>
        <w:pStyle w:val="Heading30"/>
        <w:numPr>
          <w:ilvl w:val="2"/>
          <w:numId w:val="1"/>
        </w:numPr>
      </w:pPr>
      <w:bookmarkStart w:id="385" w:name="_Toc502500006"/>
      <w:r>
        <w:t>Hydrological</w:t>
      </w:r>
      <w:r w:rsidR="00A24F54">
        <w:t xml:space="preserve"> conditions in the Reef catchments</w:t>
      </w:r>
      <w:bookmarkEnd w:id="385"/>
    </w:p>
    <w:p w14:paraId="4A51A747" w14:textId="58F97A6C" w:rsidR="00A24F54" w:rsidRDefault="00A24F54" w:rsidP="004F0DAC">
      <w:pPr>
        <w:spacing w:line="276" w:lineRule="auto"/>
      </w:pPr>
      <w:r>
        <w:t xml:space="preserve">An overview of the rainfall and cyclonic activity, and associated river discharge, for the Reef region is given in the following three sections. These data are intended to provide a </w:t>
      </w:r>
      <w:r w:rsidR="007D6C43">
        <w:t>high-level</w:t>
      </w:r>
      <w:r>
        <w:t xml:space="preserve"> understanding of the </w:t>
      </w:r>
      <w:r w:rsidR="007D6C43">
        <w:t xml:space="preserve">climatic and flow </w:t>
      </w:r>
      <w:r>
        <w:t xml:space="preserve">conditions experienced in Reef catchments in 2015-16 and allow broad comparisons with previous years. </w:t>
      </w:r>
      <w:r w:rsidR="007D6C43">
        <w:t xml:space="preserve">In </w:t>
      </w:r>
      <w:r w:rsidR="00982CCE">
        <w:t>S</w:t>
      </w:r>
      <w:r w:rsidR="007D6C43">
        <w:t xml:space="preserve">ection </w:t>
      </w:r>
      <w:r w:rsidR="00760DAE">
        <w:fldChar w:fldCharType="begin"/>
      </w:r>
      <w:r w:rsidR="00760DAE">
        <w:instrText xml:space="preserve"> REF _Ref501786496 \r \h </w:instrText>
      </w:r>
      <w:r w:rsidR="00760DAE">
        <w:fldChar w:fldCharType="separate"/>
      </w:r>
      <w:r w:rsidR="00D12276">
        <w:t>4.3</w:t>
      </w:r>
      <w:r w:rsidR="00760DAE">
        <w:fldChar w:fldCharType="end"/>
      </w:r>
      <w:r w:rsidR="00760DAE">
        <w:t xml:space="preserve"> </w:t>
      </w:r>
      <w:r w:rsidR="007D6C43">
        <w:t xml:space="preserve">below, </w:t>
      </w:r>
      <w:r w:rsidR="00760DAE">
        <w:t xml:space="preserve">regional </w:t>
      </w:r>
      <w:r w:rsidR="007D6C43">
        <w:t>m</w:t>
      </w:r>
      <w:r>
        <w:t>onitoring data are presented in the context of individual rivers’ hydrographs</w:t>
      </w:r>
      <w:r w:rsidR="00760DAE">
        <w:t xml:space="preserve"> (river flow rates over time)</w:t>
      </w:r>
      <w:r>
        <w:t>.</w:t>
      </w:r>
    </w:p>
    <w:p w14:paraId="5CED8C05" w14:textId="1C94BF74" w:rsidR="00A24F54" w:rsidRPr="00A24F54" w:rsidRDefault="00A24F54" w:rsidP="00A24F54">
      <w:pPr>
        <w:pStyle w:val="Heading30"/>
        <w:numPr>
          <w:ilvl w:val="3"/>
          <w:numId w:val="1"/>
        </w:numPr>
      </w:pPr>
      <w:bookmarkStart w:id="386" w:name="_Toc502500007"/>
      <w:r w:rsidRPr="00A24F54">
        <w:t>Rainfall</w:t>
      </w:r>
      <w:bookmarkEnd w:id="386"/>
    </w:p>
    <w:p w14:paraId="15720E8F" w14:textId="19EA9896" w:rsidR="000404EC" w:rsidRDefault="00197074" w:rsidP="000404EC">
      <w:pPr>
        <w:spacing w:line="276" w:lineRule="auto"/>
      </w:pPr>
      <w:r>
        <w:t>T</w:t>
      </w:r>
      <w:r w:rsidR="0059608E" w:rsidRPr="000869A2">
        <w:t>he</w:t>
      </w:r>
      <w:r w:rsidR="00953E6C">
        <w:t xml:space="preserve"> neutral conditions following the </w:t>
      </w:r>
      <w:r w:rsidR="00841CC4">
        <w:t xml:space="preserve">peak of the </w:t>
      </w:r>
      <w:r w:rsidR="00953E6C">
        <w:t>2014</w:t>
      </w:r>
      <w:r w:rsidR="00A51779">
        <w:t>-20</w:t>
      </w:r>
      <w:r w:rsidR="00953E6C">
        <w:t>1</w:t>
      </w:r>
      <w:r w:rsidR="00841CC4">
        <w:t>6</w:t>
      </w:r>
      <w:r w:rsidR="0059608E">
        <w:t xml:space="preserve"> </w:t>
      </w:r>
      <w:r w:rsidR="0059608E" w:rsidRPr="000869A2">
        <w:t xml:space="preserve">El Niño </w:t>
      </w:r>
      <w:r w:rsidR="00953E6C">
        <w:t>event</w:t>
      </w:r>
      <w:r w:rsidR="0059608E">
        <w:t xml:space="preserve"> in December 2014</w:t>
      </w:r>
      <w:r w:rsidR="00380C15">
        <w:t xml:space="preserve"> </w:t>
      </w:r>
      <w:r w:rsidR="00077143">
        <w:t xml:space="preserve">remained for the </w:t>
      </w:r>
      <w:r w:rsidR="00070AE2">
        <w:t>2015-16</w:t>
      </w:r>
      <w:r w:rsidR="00953E6C" w:rsidRPr="000869A2">
        <w:t xml:space="preserve"> </w:t>
      </w:r>
      <w:r w:rsidR="00953E6C">
        <w:t>monitoring</w:t>
      </w:r>
      <w:r w:rsidR="00953E6C" w:rsidRPr="000869A2">
        <w:t xml:space="preserve"> </w:t>
      </w:r>
      <w:r w:rsidR="00953E6C">
        <w:t xml:space="preserve">year </w:t>
      </w:r>
      <w:r w:rsidR="00C91BF5">
        <w:fldChar w:fldCharType="begin"/>
      </w:r>
      <w:r w:rsidR="009D4492">
        <w:instrText xml:space="preserve"> ADDIN EN.CITE &lt;EndNote&gt;&lt;Cite&gt;&lt;Author&gt;BOM&lt;/Author&gt;&lt;Year&gt;2016&lt;/Year&gt;&lt;RecNum&gt;41&lt;/RecNum&gt;&lt;DisplayText&gt;(BOM, 2016)&lt;/DisplayText&gt;&lt;record&gt;&lt;rec-number&gt;41&lt;/rec-number&gt;&lt;foreign-keys&gt;&lt;key app="EN" db-id="vvtrt2pt4xpx5teta99vvtwg50vzve2aexae" timestamp="1493157373"&gt;41&lt;/key&gt;&lt;/foreign-keys&gt;&lt;ref-type name="Web Page"&gt;12&lt;/ref-type&gt;&lt;contributors&gt;&lt;authors&gt;&lt;author&gt;BOM&lt;/author&gt;&lt;/authors&gt;&lt;/contributors&gt;&lt;titles&gt;&lt;title&gt;ENSO Wrap-Up&lt;/title&gt;&lt;/titles&gt;&lt;volume&gt;2016&lt;/volume&gt;&lt;number&gt;17 June &lt;/number&gt;&lt;dates&gt;&lt;year&gt;2016&lt;/year&gt;&lt;/dates&gt;&lt;pub-location&gt;Bureau of Meteorology&lt;/pub-location&gt;&lt;urls&gt;&lt;related-urls&gt;&lt;url&gt;http://www.bom.gov.au/climate/enso/&lt;/url&gt;&lt;/related-urls&gt;&lt;/urls&gt;&lt;/record&gt;&lt;/Cite&gt;&lt;/EndNote&gt;</w:instrText>
      </w:r>
      <w:r w:rsidR="00C91BF5">
        <w:fldChar w:fldCharType="separate"/>
      </w:r>
      <w:r w:rsidR="009D4492">
        <w:rPr>
          <w:noProof/>
        </w:rPr>
        <w:t>(BOM, 2016)</w:t>
      </w:r>
      <w:r w:rsidR="00C91BF5">
        <w:fldChar w:fldCharType="end"/>
      </w:r>
      <w:r w:rsidR="0059608E">
        <w:t xml:space="preserve">. </w:t>
      </w:r>
      <w:r>
        <w:t xml:space="preserve">The first significant rainfall event occurred </w:t>
      </w:r>
      <w:r w:rsidRPr="00817681">
        <w:t xml:space="preserve">in the coastal areas </w:t>
      </w:r>
      <w:r>
        <w:t>in December 2015</w:t>
      </w:r>
      <w:r w:rsidRPr="00817681">
        <w:t xml:space="preserve"> and persisted until March 201</w:t>
      </w:r>
      <w:r>
        <w:t xml:space="preserve">6 </w:t>
      </w:r>
      <w:r w:rsidRPr="00817681">
        <w:t>(</w:t>
      </w:r>
      <w:r>
        <w:fldChar w:fldCharType="begin"/>
      </w:r>
      <w:r>
        <w:instrText xml:space="preserve"> REF _Ref480727353 \n \h </w:instrText>
      </w:r>
      <w:r>
        <w:fldChar w:fldCharType="separate"/>
      </w:r>
      <w:r w:rsidR="00D12276">
        <w:t xml:space="preserve">Appendix E </w:t>
      </w:r>
      <w:r>
        <w:fldChar w:fldCharType="end"/>
      </w:r>
      <w:r>
        <w:t xml:space="preserve">Figure E-1, </w:t>
      </w:r>
      <w:r>
        <w:fldChar w:fldCharType="begin"/>
      </w:r>
      <w:r>
        <w:instrText xml:space="preserve"> REF _Ref480727419 \h  \* MERGEFORMAT </w:instrText>
      </w:r>
      <w:r>
        <w:fldChar w:fldCharType="separate"/>
      </w:r>
      <w:r w:rsidR="00D12276" w:rsidRPr="00210B7C">
        <w:t xml:space="preserve">Table </w:t>
      </w:r>
      <w:r w:rsidR="00D12276" w:rsidRPr="00D12276">
        <w:t>4</w:t>
      </w:r>
      <w:r>
        <w:fldChar w:fldCharType="end"/>
      </w:r>
      <w:r w:rsidRPr="00817681">
        <w:t>)</w:t>
      </w:r>
      <w:r>
        <w:t xml:space="preserve">. </w:t>
      </w:r>
      <w:r>
        <w:lastRenderedPageBreak/>
        <w:t>Overall</w:t>
      </w:r>
      <w:r w:rsidR="00760DAE">
        <w:t xml:space="preserve"> in</w:t>
      </w:r>
      <w:r w:rsidR="000404EC">
        <w:rPr>
          <w:lang w:val="en-AU"/>
        </w:rPr>
        <w:t xml:space="preserve"> </w:t>
      </w:r>
      <w:r w:rsidR="00070AE2">
        <w:rPr>
          <w:lang w:val="en-AU"/>
        </w:rPr>
        <w:t>2015-16</w:t>
      </w:r>
      <w:r w:rsidR="000404EC">
        <w:rPr>
          <w:lang w:val="en-AU"/>
        </w:rPr>
        <w:t xml:space="preserve">, rainfall in most Reef catchments was below the long-term average </w:t>
      </w:r>
      <w:r w:rsidR="000404EC" w:rsidRPr="000404EC">
        <w:t>(</w:t>
      </w:r>
      <w:r w:rsidR="002A77E1">
        <w:fldChar w:fldCharType="begin"/>
      </w:r>
      <w:r w:rsidR="002A77E1">
        <w:instrText xml:space="preserve"> REF _Ref477115910 \h  \* MERGEFORMAT </w:instrText>
      </w:r>
      <w:r w:rsidR="002A77E1">
        <w:fldChar w:fldCharType="separate"/>
      </w:r>
      <w:r w:rsidR="00D12276" w:rsidRPr="00AB030D">
        <w:t xml:space="preserve">Figure </w:t>
      </w:r>
      <w:r w:rsidR="00D12276" w:rsidRPr="00D12276">
        <w:t>5</w:t>
      </w:r>
      <w:r w:rsidR="002A77E1">
        <w:fldChar w:fldCharType="end"/>
      </w:r>
      <w:r w:rsidR="00C026D7">
        <w:t xml:space="preserve">, </w:t>
      </w:r>
      <w:r w:rsidR="00C91BF5">
        <w:fldChar w:fldCharType="begin"/>
      </w:r>
      <w:r w:rsidR="007058AB">
        <w:instrText xml:space="preserve"> REF _Ref480727353 \n \h </w:instrText>
      </w:r>
      <w:r w:rsidR="00C91BF5">
        <w:fldChar w:fldCharType="separate"/>
      </w:r>
      <w:r w:rsidR="00D12276">
        <w:t xml:space="preserve">Appendix E </w:t>
      </w:r>
      <w:r w:rsidR="00C91BF5">
        <w:fldChar w:fldCharType="end"/>
      </w:r>
      <w:r w:rsidR="00C91BF5">
        <w:rPr>
          <w:highlight w:val="yellow"/>
        </w:rPr>
        <w:fldChar w:fldCharType="begin"/>
      </w:r>
      <w:r w:rsidR="007058AB">
        <w:instrText xml:space="preserve"> REF _Ref480727330 \h </w:instrText>
      </w:r>
      <w:r w:rsidR="00C91BF5">
        <w:rPr>
          <w:highlight w:val="yellow"/>
        </w:rPr>
      </w:r>
      <w:r w:rsidR="00C91BF5">
        <w:rPr>
          <w:highlight w:val="yellow"/>
        </w:rPr>
        <w:fldChar w:fldCharType="separate"/>
      </w:r>
      <w:r w:rsidR="00D12276">
        <w:t xml:space="preserve">Figure </w:t>
      </w:r>
      <w:r w:rsidR="00D12276">
        <w:rPr>
          <w:noProof/>
        </w:rPr>
        <w:t>E</w:t>
      </w:r>
      <w:r w:rsidR="00D12276">
        <w:noBreakHyphen/>
      </w:r>
      <w:r w:rsidR="00D12276">
        <w:rPr>
          <w:noProof/>
        </w:rPr>
        <w:t>2</w:t>
      </w:r>
      <w:r w:rsidR="00C91BF5">
        <w:rPr>
          <w:highlight w:val="yellow"/>
        </w:rPr>
        <w:fldChar w:fldCharType="end"/>
      </w:r>
      <w:r w:rsidR="000404EC">
        <w:t xml:space="preserve">). Normanby </w:t>
      </w:r>
      <w:r w:rsidR="001F2E2E">
        <w:t xml:space="preserve">catchment </w:t>
      </w:r>
      <w:r w:rsidR="000404EC">
        <w:t>was the e</w:t>
      </w:r>
      <w:r w:rsidR="00BA2389">
        <w:t>xcep</w:t>
      </w:r>
      <w:r w:rsidR="000404EC">
        <w:t xml:space="preserve">tion, although the increase compared to average was marginal. </w:t>
      </w:r>
      <w:r w:rsidR="00C026D7">
        <w:t>Whilst rainfall overall was low</w:t>
      </w:r>
      <w:r w:rsidR="000E1268">
        <w:t>er than the long-term annual average</w:t>
      </w:r>
      <w:r w:rsidR="00C026D7">
        <w:t>, in the northern and central Reef coastal zone, t</w:t>
      </w:r>
      <w:r w:rsidR="000404EC">
        <w:t xml:space="preserve">otal rainfall </w:t>
      </w:r>
      <w:r w:rsidR="00C026D7">
        <w:t xml:space="preserve">in the wet season </w:t>
      </w:r>
      <w:r w:rsidR="000404EC">
        <w:t xml:space="preserve">was </w:t>
      </w:r>
      <w:r w:rsidR="000404EC">
        <w:rPr>
          <w:lang w:val="en-AU"/>
        </w:rPr>
        <w:t>higher than in</w:t>
      </w:r>
      <w:r w:rsidR="000404EC">
        <w:t xml:space="preserve"> the previous m</w:t>
      </w:r>
      <w:r w:rsidR="00C026D7">
        <w:t>onitoring year (</w:t>
      </w:r>
      <w:r w:rsidR="00070AE2">
        <w:t>2014-15</w:t>
      </w:r>
      <w:r w:rsidR="00C026D7">
        <w:t>)</w:t>
      </w:r>
      <w:r w:rsidR="000404EC">
        <w:t xml:space="preserve"> (</w:t>
      </w:r>
      <w:r w:rsidR="00C91BF5">
        <w:rPr>
          <w:highlight w:val="yellow"/>
        </w:rPr>
        <w:fldChar w:fldCharType="begin"/>
      </w:r>
      <w:r w:rsidR="007058AB">
        <w:instrText xml:space="preserve"> REF _Ref480727368 \n \h </w:instrText>
      </w:r>
      <w:r w:rsidR="00C91BF5">
        <w:rPr>
          <w:highlight w:val="yellow"/>
        </w:rPr>
      </w:r>
      <w:r w:rsidR="00C91BF5">
        <w:rPr>
          <w:highlight w:val="yellow"/>
        </w:rPr>
        <w:fldChar w:fldCharType="separate"/>
      </w:r>
      <w:r w:rsidR="00D12276">
        <w:t xml:space="preserve">Appendix E </w:t>
      </w:r>
      <w:r w:rsidR="00C91BF5">
        <w:rPr>
          <w:highlight w:val="yellow"/>
        </w:rPr>
        <w:fldChar w:fldCharType="end"/>
      </w:r>
      <w:r w:rsidR="00C91BF5">
        <w:rPr>
          <w:highlight w:val="yellow"/>
        </w:rPr>
        <w:fldChar w:fldCharType="begin"/>
      </w:r>
      <w:r w:rsidR="007058AB">
        <w:rPr>
          <w:highlight w:val="yellow"/>
        </w:rPr>
        <w:instrText xml:space="preserve"> REF _Ref480727377 \h </w:instrText>
      </w:r>
      <w:r w:rsidR="00C91BF5">
        <w:rPr>
          <w:highlight w:val="yellow"/>
        </w:rPr>
      </w:r>
      <w:r w:rsidR="00C91BF5">
        <w:rPr>
          <w:highlight w:val="yellow"/>
        </w:rPr>
        <w:fldChar w:fldCharType="separate"/>
      </w:r>
      <w:r w:rsidR="00D12276">
        <w:t xml:space="preserve">Figure </w:t>
      </w:r>
      <w:r w:rsidR="00D12276">
        <w:rPr>
          <w:noProof/>
        </w:rPr>
        <w:t>E</w:t>
      </w:r>
      <w:r w:rsidR="00D12276">
        <w:noBreakHyphen/>
      </w:r>
      <w:r w:rsidR="00D12276">
        <w:rPr>
          <w:noProof/>
        </w:rPr>
        <w:t>3</w:t>
      </w:r>
      <w:r w:rsidR="00C91BF5">
        <w:rPr>
          <w:highlight w:val="yellow"/>
        </w:rPr>
        <w:fldChar w:fldCharType="end"/>
      </w:r>
      <w:r w:rsidR="00A24F54">
        <w:t>).</w:t>
      </w:r>
    </w:p>
    <w:p w14:paraId="15720E91" w14:textId="77777777" w:rsidR="000404EC" w:rsidRDefault="000404EC" w:rsidP="000404EC">
      <w:pPr>
        <w:spacing w:line="276" w:lineRule="auto"/>
        <w:jc w:val="center"/>
      </w:pPr>
      <w:r>
        <w:rPr>
          <w:noProof/>
          <w:lang w:val="en-AU" w:eastAsia="en-AU" w:bidi="ar-SA"/>
        </w:rPr>
        <w:drawing>
          <wp:inline distT="0" distB="0" distL="0" distR="0" wp14:anchorId="15721A59" wp14:editId="52E491AF">
            <wp:extent cx="5142718" cy="3076575"/>
            <wp:effectExtent l="0" t="0" r="1270" b="0"/>
            <wp:docPr id="3" name="Picture 3" descr="Figure 5:  Annual average wet season rainfall (December 2015 - April 2016), as compared to the long-term wet season rainfall average (1961 – 1990). All regions had below average rainfall (between 1 and 6 mm less on average) except for Normanby which had approximately 0.2 mm m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8860"/>
                    <a:stretch/>
                  </pic:blipFill>
                  <pic:spPr bwMode="auto">
                    <a:xfrm>
                      <a:off x="0" y="0"/>
                      <a:ext cx="5160348" cy="3087122"/>
                    </a:xfrm>
                    <a:prstGeom prst="rect">
                      <a:avLst/>
                    </a:prstGeom>
                    <a:noFill/>
                    <a:ln>
                      <a:noFill/>
                    </a:ln>
                    <a:extLst>
                      <a:ext uri="{53640926-AAD7-44D8-BBD7-CCE9431645EC}">
                        <a14:shadowObscured xmlns:a14="http://schemas.microsoft.com/office/drawing/2010/main"/>
                      </a:ext>
                    </a:extLst>
                  </pic:spPr>
                </pic:pic>
              </a:graphicData>
            </a:graphic>
          </wp:inline>
        </w:drawing>
      </w:r>
    </w:p>
    <w:p w14:paraId="15720E9A" w14:textId="45E4F0AD" w:rsidR="00F427DE" w:rsidRDefault="000404EC" w:rsidP="00197074">
      <w:pPr>
        <w:pStyle w:val="Caption"/>
      </w:pPr>
      <w:bookmarkStart w:id="387" w:name="_Ref477115910"/>
      <w:bookmarkStart w:id="388" w:name="_Toc502499935"/>
      <w:r w:rsidRPr="00AB030D">
        <w:rPr>
          <w:b w:val="0"/>
        </w:rPr>
        <w:t xml:space="preserve">Figure </w:t>
      </w:r>
      <w:r w:rsidR="00C91BF5" w:rsidRPr="00AB030D">
        <w:rPr>
          <w:b w:val="0"/>
        </w:rPr>
        <w:fldChar w:fldCharType="begin"/>
      </w:r>
      <w:r w:rsidRPr="00AB030D">
        <w:rPr>
          <w:b w:val="0"/>
        </w:rPr>
        <w:instrText xml:space="preserve"> SEQ Figure \* ARABIC </w:instrText>
      </w:r>
      <w:r w:rsidR="00C91BF5" w:rsidRPr="00AB030D">
        <w:rPr>
          <w:b w:val="0"/>
        </w:rPr>
        <w:fldChar w:fldCharType="separate"/>
      </w:r>
      <w:r w:rsidR="00D12276">
        <w:rPr>
          <w:b w:val="0"/>
          <w:noProof/>
        </w:rPr>
        <w:t>5</w:t>
      </w:r>
      <w:r w:rsidR="00C91BF5" w:rsidRPr="00AB030D">
        <w:rPr>
          <w:b w:val="0"/>
        </w:rPr>
        <w:fldChar w:fldCharType="end"/>
      </w:r>
      <w:bookmarkEnd w:id="387"/>
      <w:r w:rsidRPr="00AB030D">
        <w:rPr>
          <w:b w:val="0"/>
        </w:rPr>
        <w:t>:</w:t>
      </w:r>
      <w:r>
        <w:t xml:space="preserve">  </w:t>
      </w:r>
      <w:r w:rsidRPr="00AB030D">
        <w:rPr>
          <w:b w:val="0"/>
        </w:rPr>
        <w:t xml:space="preserve">Annual average wet season rainfall (December 2015 - April 2016), as compared to the long-term wet season rainfall average (1961 – 1990). </w:t>
      </w:r>
      <w:r w:rsidRPr="00AB030D">
        <w:rPr>
          <w:rStyle w:val="IntenseReference"/>
          <w:rFonts w:eastAsiaTheme="majorEastAsia"/>
          <w:color w:val="auto"/>
          <w:u w:val="none"/>
        </w:rPr>
        <w:t>Red bars denote catchments with rainfall below the long-term average, blue above the long-term average.</w:t>
      </w:r>
      <w:r>
        <w:rPr>
          <w:rStyle w:val="IntenseReference"/>
          <w:rFonts w:eastAsiaTheme="majorEastAsia"/>
          <w:color w:val="auto"/>
          <w:u w:val="none"/>
        </w:rPr>
        <w:t xml:space="preserve"> Source </w:t>
      </w:r>
      <w:r w:rsidR="00C91BF5">
        <w:rPr>
          <w:rStyle w:val="IntenseReference"/>
          <w:rFonts w:eastAsiaTheme="majorEastAsia"/>
          <w:color w:val="auto"/>
          <w:u w:val="none"/>
        </w:rPr>
        <w:fldChar w:fldCharType="begin"/>
      </w:r>
      <w:r w:rsidR="00216883">
        <w:rPr>
          <w:rStyle w:val="IntenseReference"/>
          <w:rFonts w:eastAsiaTheme="majorEastAsia"/>
          <w:color w:val="auto"/>
          <w:u w:val="none"/>
        </w:rPr>
        <w:instrText xml:space="preserve"> ADDIN EN.CITE &lt;EndNote&gt;&lt;Cite AuthorYear="1"&gt;&lt;Author&gt;Waterhouse&lt;/Author&gt;&lt;Year&gt;2017&lt;/Year&gt;&lt;RecNum&gt;39&lt;/RecNum&gt;&lt;DisplayText&gt;Waterhouse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C91BF5">
        <w:rPr>
          <w:rStyle w:val="IntenseReference"/>
          <w:rFonts w:eastAsiaTheme="majorEastAsia"/>
          <w:color w:val="auto"/>
          <w:u w:val="none"/>
        </w:rPr>
        <w:fldChar w:fldCharType="separate"/>
      </w:r>
      <w:r w:rsidR="00216883">
        <w:rPr>
          <w:rStyle w:val="IntenseReference"/>
          <w:rFonts w:eastAsiaTheme="majorEastAsia"/>
          <w:noProof/>
          <w:color w:val="auto"/>
          <w:u w:val="none"/>
        </w:rPr>
        <w:t>Waterhouse et al. (2017b)</w:t>
      </w:r>
      <w:bookmarkEnd w:id="388"/>
      <w:r w:rsidR="00C91BF5">
        <w:rPr>
          <w:rStyle w:val="IntenseReference"/>
          <w:rFonts w:eastAsiaTheme="majorEastAsia"/>
          <w:color w:val="auto"/>
          <w:u w:val="none"/>
        </w:rPr>
        <w:fldChar w:fldCharType="end"/>
      </w:r>
    </w:p>
    <w:p w14:paraId="15720E9B" w14:textId="77777777" w:rsidR="0059608E" w:rsidRDefault="0059608E" w:rsidP="00015606">
      <w:pPr>
        <w:spacing w:line="276" w:lineRule="auto"/>
        <w:sectPr w:rsidR="0059608E" w:rsidSect="006130D4">
          <w:footerReference w:type="default" r:id="rId27"/>
          <w:pgSz w:w="11907" w:h="16840" w:code="9"/>
          <w:pgMar w:top="720" w:right="720" w:bottom="720" w:left="720" w:header="709" w:footer="709" w:gutter="0"/>
          <w:cols w:space="708"/>
          <w:docGrid w:linePitch="360"/>
        </w:sectPr>
      </w:pPr>
    </w:p>
    <w:p w14:paraId="15720E9C" w14:textId="4F83C993" w:rsidR="00665500" w:rsidRPr="00D32A76" w:rsidRDefault="00210B7C" w:rsidP="00747824">
      <w:pPr>
        <w:pStyle w:val="Caption"/>
        <w:keepNext/>
        <w:spacing w:line="276" w:lineRule="auto"/>
        <w:rPr>
          <w:b w:val="0"/>
        </w:rPr>
      </w:pPr>
      <w:bookmarkStart w:id="389" w:name="_Ref480727419"/>
      <w:bookmarkStart w:id="390" w:name="_Toc502499862"/>
      <w:r w:rsidRPr="00210B7C">
        <w:rPr>
          <w:b w:val="0"/>
        </w:rPr>
        <w:lastRenderedPageBreak/>
        <w:t xml:space="preserve">Table </w:t>
      </w:r>
      <w:r w:rsidR="00C91BF5" w:rsidRPr="00210B7C">
        <w:rPr>
          <w:b w:val="0"/>
        </w:rPr>
        <w:fldChar w:fldCharType="begin"/>
      </w:r>
      <w:r w:rsidRPr="00210B7C">
        <w:rPr>
          <w:b w:val="0"/>
        </w:rPr>
        <w:instrText xml:space="preserve"> SEQ Table \* ARABIC </w:instrText>
      </w:r>
      <w:r w:rsidR="00C91BF5" w:rsidRPr="00210B7C">
        <w:rPr>
          <w:b w:val="0"/>
        </w:rPr>
        <w:fldChar w:fldCharType="separate"/>
      </w:r>
      <w:r w:rsidR="00D12276">
        <w:rPr>
          <w:b w:val="0"/>
          <w:noProof/>
        </w:rPr>
        <w:t>4</w:t>
      </w:r>
      <w:r w:rsidR="00C91BF5" w:rsidRPr="00210B7C">
        <w:rPr>
          <w:b w:val="0"/>
        </w:rPr>
        <w:fldChar w:fldCharType="end"/>
      </w:r>
      <w:bookmarkEnd w:id="389"/>
      <w:r w:rsidR="00747824">
        <w:rPr>
          <w:b w:val="0"/>
        </w:rPr>
        <w:t xml:space="preserve">: </w:t>
      </w:r>
      <w:r w:rsidR="008B15F3" w:rsidRPr="00747824">
        <w:rPr>
          <w:b w:val="0"/>
        </w:rPr>
        <w:tab/>
      </w:r>
      <w:r w:rsidR="000001D7" w:rsidRPr="00747824">
        <w:rPr>
          <w:b w:val="0"/>
        </w:rPr>
        <w:t xml:space="preserve">Weekly mean catchment rainfall (mm) in catchments adjacent to fixed passive sampler sites during the </w:t>
      </w:r>
      <w:r w:rsidR="00070AE2">
        <w:rPr>
          <w:b w:val="0"/>
        </w:rPr>
        <w:t>2015-16</w:t>
      </w:r>
      <w:r w:rsidR="000001D7" w:rsidRPr="00747824">
        <w:rPr>
          <w:b w:val="0"/>
        </w:rPr>
        <w:t xml:space="preserve"> wet season (beginning 1 December 201</w:t>
      </w:r>
      <w:r w:rsidR="007C1B01">
        <w:rPr>
          <w:b w:val="0"/>
        </w:rPr>
        <w:t>5</w:t>
      </w:r>
      <w:r w:rsidR="000001D7" w:rsidRPr="00747824">
        <w:rPr>
          <w:b w:val="0"/>
        </w:rPr>
        <w:t>)</w:t>
      </w:r>
      <w:r w:rsidR="00D32A76">
        <w:rPr>
          <w:b w:val="0"/>
        </w:rPr>
        <w:t xml:space="preserve">. </w:t>
      </w:r>
      <w:r w:rsidR="00D32A76" w:rsidRPr="00D32A76">
        <w:rPr>
          <w:b w:val="0"/>
        </w:rPr>
        <w:t>Table provided by Dieter Tracey, JCU</w:t>
      </w:r>
      <w:bookmarkEnd w:id="390"/>
    </w:p>
    <w:p w14:paraId="15720E9D" w14:textId="77777777" w:rsidR="008B15F3" w:rsidRPr="00D32A76" w:rsidRDefault="008B15F3" w:rsidP="00015606">
      <w:pPr>
        <w:spacing w:line="276" w:lineRule="auto"/>
      </w:pPr>
    </w:p>
    <w:p w14:paraId="15720E9E" w14:textId="7A9575F0" w:rsidR="00E56D43" w:rsidRDefault="0018039A" w:rsidP="00015606">
      <w:pPr>
        <w:keepNext/>
        <w:spacing w:line="276" w:lineRule="auto"/>
      </w:pPr>
      <w:r w:rsidRPr="0018039A">
        <w:rPr>
          <w:noProof/>
          <w:lang w:val="en-AU" w:eastAsia="en-AU" w:bidi="ar-SA"/>
        </w:rPr>
        <w:drawing>
          <wp:inline distT="0" distB="0" distL="0" distR="0" wp14:anchorId="15CE6095" wp14:editId="76B22278">
            <wp:extent cx="9779000" cy="3186416"/>
            <wp:effectExtent l="0" t="0" r="0" b="0"/>
            <wp:docPr id="19" name="Picture 19" descr="Table 4:  Weekly mean catchment rainfall (mm). The highest rainfall was in the Mackay Whitsundays region in the week commencing 1 March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779000" cy="3186416"/>
                    </a:xfrm>
                    <a:prstGeom prst="rect">
                      <a:avLst/>
                    </a:prstGeom>
                    <a:noFill/>
                    <a:ln>
                      <a:noFill/>
                    </a:ln>
                  </pic:spPr>
                </pic:pic>
              </a:graphicData>
            </a:graphic>
          </wp:inline>
        </w:drawing>
      </w:r>
    </w:p>
    <w:p w14:paraId="15720EA1" w14:textId="3E5FCFD1" w:rsidR="009C1453" w:rsidRDefault="00DF5CD0" w:rsidP="00015606">
      <w:pPr>
        <w:spacing w:line="276" w:lineRule="auto"/>
        <w:rPr>
          <w:sz w:val="18"/>
        </w:rPr>
      </w:pPr>
      <w:r>
        <w:rPr>
          <w:sz w:val="18"/>
        </w:rPr>
        <w:t>Colour gradient</w:t>
      </w:r>
      <w:r w:rsidR="00B92CD7">
        <w:rPr>
          <w:sz w:val="18"/>
        </w:rPr>
        <w:t>:</w:t>
      </w:r>
      <w:r>
        <w:rPr>
          <w:sz w:val="18"/>
        </w:rPr>
        <w:t xml:space="preserve"> </w:t>
      </w:r>
      <w:r w:rsidR="00E56D43">
        <w:rPr>
          <w:sz w:val="18"/>
        </w:rPr>
        <w:t xml:space="preserve">Red indicates </w:t>
      </w:r>
      <w:r w:rsidR="00B92CD7">
        <w:rPr>
          <w:sz w:val="18"/>
        </w:rPr>
        <w:t>the highest value</w:t>
      </w:r>
      <w:r w:rsidR="00E56D43">
        <w:rPr>
          <w:sz w:val="18"/>
        </w:rPr>
        <w:t xml:space="preserve">, </w:t>
      </w:r>
      <w:r w:rsidR="00B92CD7">
        <w:rPr>
          <w:sz w:val="18"/>
        </w:rPr>
        <w:t>yellow represents the 50</w:t>
      </w:r>
      <w:r w:rsidR="00B92CD7" w:rsidRPr="00314346">
        <w:rPr>
          <w:sz w:val="18"/>
          <w:vertAlign w:val="superscript"/>
        </w:rPr>
        <w:t>th</w:t>
      </w:r>
      <w:r w:rsidR="00B92CD7">
        <w:rPr>
          <w:sz w:val="18"/>
        </w:rPr>
        <w:t xml:space="preserve"> percentile </w:t>
      </w:r>
      <w:r w:rsidR="00E56D43">
        <w:rPr>
          <w:sz w:val="18"/>
        </w:rPr>
        <w:t xml:space="preserve">and green </w:t>
      </w:r>
      <w:r w:rsidR="00B92CD7">
        <w:rPr>
          <w:sz w:val="18"/>
        </w:rPr>
        <w:t>represents the lowest value</w:t>
      </w:r>
      <w:r w:rsidR="005C069F">
        <w:rPr>
          <w:sz w:val="18"/>
        </w:rPr>
        <w:t>.</w:t>
      </w:r>
    </w:p>
    <w:p w14:paraId="15720EA2" w14:textId="77777777" w:rsidR="0025341A" w:rsidRPr="00E56D43" w:rsidRDefault="0025341A" w:rsidP="00015606">
      <w:pPr>
        <w:spacing w:line="276" w:lineRule="auto"/>
        <w:rPr>
          <w:sz w:val="18"/>
        </w:rPr>
      </w:pPr>
    </w:p>
    <w:p w14:paraId="15720EA3" w14:textId="77777777" w:rsidR="0059608E" w:rsidRPr="00E56D43" w:rsidRDefault="0059608E" w:rsidP="00015606">
      <w:pPr>
        <w:spacing w:line="276" w:lineRule="auto"/>
        <w:sectPr w:rsidR="0059608E" w:rsidRPr="00E56D43" w:rsidSect="00515CEF">
          <w:pgSz w:w="16840" w:h="11907" w:orient="landscape" w:code="9"/>
          <w:pgMar w:top="720" w:right="720" w:bottom="720" w:left="720" w:header="709" w:footer="709" w:gutter="0"/>
          <w:cols w:space="708"/>
          <w:docGrid w:linePitch="360"/>
        </w:sectPr>
      </w:pPr>
    </w:p>
    <w:p w14:paraId="15720EA4" w14:textId="3584A970" w:rsidR="0059608E" w:rsidRDefault="0059608E" w:rsidP="00D32A76">
      <w:pPr>
        <w:pStyle w:val="Heading30"/>
        <w:numPr>
          <w:ilvl w:val="3"/>
          <w:numId w:val="1"/>
        </w:numPr>
      </w:pPr>
      <w:bookmarkStart w:id="391" w:name="_Toc461457764"/>
      <w:bookmarkStart w:id="392" w:name="_Toc502500008"/>
      <w:r>
        <w:lastRenderedPageBreak/>
        <w:t>Cyclones</w:t>
      </w:r>
      <w:bookmarkEnd w:id="391"/>
      <w:bookmarkEnd w:id="392"/>
    </w:p>
    <w:p w14:paraId="15720EA5" w14:textId="50444D0C" w:rsidR="004A4184" w:rsidRDefault="00B16140" w:rsidP="00BF6243">
      <w:pPr>
        <w:spacing w:line="276" w:lineRule="auto"/>
      </w:pPr>
      <w:r>
        <w:t xml:space="preserve">The </w:t>
      </w:r>
      <w:r w:rsidR="00070AE2">
        <w:t>2015-16</w:t>
      </w:r>
      <w:r>
        <w:t xml:space="preserve"> Australian cyclone seas</w:t>
      </w:r>
      <w:r w:rsidRPr="00DA1633">
        <w:t xml:space="preserve">on was the least active tropical cyclone season since reliable records started </w:t>
      </w:r>
      <w:r w:rsidR="00146CF5">
        <w:t>in</w:t>
      </w:r>
      <w:r w:rsidRPr="00DA1633">
        <w:t xml:space="preserve"> 1969</w:t>
      </w:r>
      <w:r w:rsidR="00C8527F" w:rsidRPr="00C8527F">
        <w:t xml:space="preserve"> </w:t>
      </w:r>
      <w:r w:rsidR="00C91BF5">
        <w:fldChar w:fldCharType="begin"/>
      </w:r>
      <w:r w:rsidR="009D4492">
        <w:instrText xml:space="preserve"> ADDIN EN.CITE &lt;EndNote&gt;&lt;Cite&gt;&lt;Author&gt;Bureau of Meteorology&lt;/Author&gt;&lt;Year&gt;2017&lt;/Year&gt;&lt;RecNum&gt;42&lt;/RecNum&gt;&lt;DisplayText&gt;(Bureau of Meteorology, 2017)&lt;/DisplayText&gt;&lt;record&gt;&lt;rec-number&gt;42&lt;/rec-number&gt;&lt;foreign-keys&gt;&lt;key app="EN" db-id="vvtrt2pt4xpx5teta99vvtwg50vzve2aexae" timestamp="1493157375"&gt;42&lt;/key&gt;&lt;/foreign-keys&gt;&lt;ref-type name="Web Page"&gt;12&lt;/ref-type&gt;&lt;contributors&gt;&lt;authors&gt;&lt;author&gt;Bureau of Meteorology,&lt;/author&gt;&lt;/authors&gt;&lt;/contributors&gt;&lt;titles&gt;&lt;title&gt;Daily rainfall totals for Australia&lt;/title&gt;&lt;/titles&gt;&lt;volume&gt;2016&lt;/volume&gt;&lt;number&gt;15 June&lt;/number&gt;&lt;dates&gt;&lt;year&gt;2017&lt;/year&gt;&lt;/dates&gt;&lt;publisher&gt;Bureau of Meteorology&lt;/publisher&gt;&lt;urls&gt;&lt;related-urls&gt;&lt;url&gt;http://www.bom.gov.au/jsp/awap/rain/index.jsp&lt;/url&gt;&lt;/related-urls&gt;&lt;/urls&gt;&lt;/record&gt;&lt;/Cite&gt;&lt;/EndNote&gt;</w:instrText>
      </w:r>
      <w:r w:rsidR="00C91BF5">
        <w:fldChar w:fldCharType="separate"/>
      </w:r>
      <w:r w:rsidR="009D4492">
        <w:rPr>
          <w:noProof/>
        </w:rPr>
        <w:t>(Bureau of Meteorology, 2017)</w:t>
      </w:r>
      <w:r w:rsidR="00C91BF5">
        <w:fldChar w:fldCharType="end"/>
      </w:r>
      <w:r w:rsidR="00146CF5">
        <w:t xml:space="preserve">. </w:t>
      </w:r>
      <w:r w:rsidR="006A23A2" w:rsidRPr="006A23A2">
        <w:t xml:space="preserve">There is a strong relationship with eastern Australian tropical cyclone impacts and the El Niño-Southern Oscillation phenomenon, with almost twice as many impacts during </w:t>
      </w:r>
      <w:bookmarkStart w:id="393" w:name="OLE_LINK3"/>
      <w:r w:rsidR="006A23A2" w:rsidRPr="006A23A2">
        <w:t xml:space="preserve">La Niña </w:t>
      </w:r>
      <w:bookmarkEnd w:id="393"/>
      <w:r w:rsidR="006A23A2" w:rsidRPr="006A23A2">
        <w:t>than during El Niño.</w:t>
      </w:r>
      <w:r w:rsidR="006A23A2">
        <w:t xml:space="preserve"> </w:t>
      </w:r>
      <w:r w:rsidR="00146CF5">
        <w:t>O</w:t>
      </w:r>
      <w:r>
        <w:t>nly three named tropical cyc</w:t>
      </w:r>
      <w:r w:rsidR="00613367">
        <w:t>lones develop</w:t>
      </w:r>
      <w:r w:rsidR="00146CF5">
        <w:t>ed</w:t>
      </w:r>
      <w:r w:rsidR="00613367">
        <w:t xml:space="preserve"> in the </w:t>
      </w:r>
      <w:r w:rsidR="00481781">
        <w:t xml:space="preserve">wider Australian </w:t>
      </w:r>
      <w:r w:rsidR="00613367">
        <w:t xml:space="preserve">region </w:t>
      </w:r>
      <w:r w:rsidR="00146CF5">
        <w:t>and</w:t>
      </w:r>
      <w:r>
        <w:t xml:space="preserve"> </w:t>
      </w:r>
      <w:r w:rsidR="00146CF5">
        <w:t>o</w:t>
      </w:r>
      <w:r>
        <w:t>nly one of these systems was in Queensland - Tropical Cyclone Tatiana</w:t>
      </w:r>
      <w:r w:rsidR="00146CF5">
        <w:t>. Tatiana</w:t>
      </w:r>
      <w:r w:rsidR="00481781">
        <w:t>,</w:t>
      </w:r>
      <w:r w:rsidR="00C8527F">
        <w:t xml:space="preserve"> a category 2 cyclone</w:t>
      </w:r>
      <w:r w:rsidR="00481781">
        <w:t>,</w:t>
      </w:r>
      <w:r w:rsidR="00C8527F">
        <w:t xml:space="preserve"> </w:t>
      </w:r>
      <w:r>
        <w:t>developed in the Coral Sea approximately 1,000 km northeast of Mackay in February 2016, but posed no threat to the Queensland or Reef coast.</w:t>
      </w:r>
      <w:r w:rsidR="008348A3">
        <w:t xml:space="preserve"> For information on cyclonic activity in the Reef region since 2006, see </w:t>
      </w:r>
      <w:r w:rsidR="008348A3">
        <w:fldChar w:fldCharType="begin"/>
      </w:r>
      <w:r w:rsidR="00216883">
        <w:instrText xml:space="preserve"> ADDIN EN.CITE &lt;EndNote&gt;&lt;Cite AuthorYear="1"&gt;&lt;Author&gt;Waterhouse&lt;/Author&gt;&lt;Year&gt;2017&lt;/Year&gt;&lt;RecNum&gt;39&lt;/RecNum&gt;&lt;DisplayText&gt;Waterhouse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8348A3">
        <w:fldChar w:fldCharType="separate"/>
      </w:r>
      <w:r w:rsidR="00216883">
        <w:rPr>
          <w:noProof/>
        </w:rPr>
        <w:t>Waterhouse et al. (2017b)</w:t>
      </w:r>
      <w:r w:rsidR="008348A3">
        <w:fldChar w:fldCharType="end"/>
      </w:r>
      <w:r w:rsidR="00262CE9">
        <w:t>.</w:t>
      </w:r>
    </w:p>
    <w:p w14:paraId="15720EA9" w14:textId="77777777" w:rsidR="00C564DC" w:rsidRPr="004A4184" w:rsidRDefault="00C564DC" w:rsidP="00015606">
      <w:pPr>
        <w:spacing w:line="276" w:lineRule="auto"/>
      </w:pPr>
    </w:p>
    <w:p w14:paraId="15720EAA" w14:textId="77777777" w:rsidR="0059608E" w:rsidRDefault="0059608E" w:rsidP="00D32A76">
      <w:pPr>
        <w:pStyle w:val="Heading30"/>
        <w:numPr>
          <w:ilvl w:val="3"/>
          <w:numId w:val="1"/>
        </w:numPr>
      </w:pPr>
      <w:bookmarkStart w:id="394" w:name="_Toc455069457"/>
      <w:bookmarkStart w:id="395" w:name="_Toc455070107"/>
      <w:bookmarkStart w:id="396" w:name="_Toc455070379"/>
      <w:bookmarkStart w:id="397" w:name="_Toc455151766"/>
      <w:bookmarkStart w:id="398" w:name="_Toc455069458"/>
      <w:bookmarkStart w:id="399" w:name="_Toc455070108"/>
      <w:bookmarkStart w:id="400" w:name="_Toc455070380"/>
      <w:bookmarkStart w:id="401" w:name="_Toc455151767"/>
      <w:bookmarkStart w:id="402" w:name="_Toc461457765"/>
      <w:bookmarkStart w:id="403" w:name="_Toc502500009"/>
      <w:bookmarkEnd w:id="394"/>
      <w:bookmarkEnd w:id="395"/>
      <w:bookmarkEnd w:id="396"/>
      <w:bookmarkEnd w:id="397"/>
      <w:bookmarkEnd w:id="398"/>
      <w:bookmarkEnd w:id="399"/>
      <w:bookmarkEnd w:id="400"/>
      <w:bookmarkEnd w:id="401"/>
      <w:r>
        <w:t>River discharge</w:t>
      </w:r>
      <w:bookmarkEnd w:id="402"/>
      <w:bookmarkEnd w:id="403"/>
    </w:p>
    <w:p w14:paraId="54F5292F" w14:textId="5D2677A7" w:rsidR="001E5909" w:rsidRDefault="0015046C" w:rsidP="002F139D">
      <w:pPr>
        <w:spacing w:line="276" w:lineRule="auto"/>
      </w:pPr>
      <w:r w:rsidRPr="00D35BF5">
        <w:rPr>
          <w:lang w:val="en-AU"/>
        </w:rPr>
        <w:t>T</w:t>
      </w:r>
      <w:r w:rsidR="0059608E" w:rsidRPr="00D35BF5">
        <w:rPr>
          <w:lang w:val="en-AU"/>
        </w:rPr>
        <w:t xml:space="preserve">otal annual discharge </w:t>
      </w:r>
      <w:r w:rsidR="0059608E" w:rsidRPr="00D35BF5">
        <w:t xml:space="preserve">of freshwater </w:t>
      </w:r>
      <w:r w:rsidR="00620A8B">
        <w:t xml:space="preserve">(based on corrected gauge values for the hydrological year, see </w:t>
      </w:r>
      <w:r w:rsidR="00C91BF5">
        <w:fldChar w:fldCharType="begin"/>
      </w:r>
      <w:r w:rsidR="00216883">
        <w:instrText xml:space="preserve"> ADDIN EN.CITE &lt;EndNote&gt;&lt;Cite AuthorYear="1"&gt;&lt;Author&gt;Waterhouse&lt;/Author&gt;&lt;Year&gt;2017&lt;/Year&gt;&lt;RecNum&gt;39&lt;/RecNum&gt;&lt;DisplayText&gt;Waterhouse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C91BF5">
        <w:fldChar w:fldCharType="separate"/>
      </w:r>
      <w:r w:rsidR="00216883">
        <w:rPr>
          <w:noProof/>
        </w:rPr>
        <w:t>Waterhouse et al. (2017b)</w:t>
      </w:r>
      <w:r w:rsidR="00C91BF5">
        <w:fldChar w:fldCharType="end"/>
      </w:r>
      <w:r w:rsidR="00620A8B">
        <w:t xml:space="preserve">) </w:t>
      </w:r>
      <w:r w:rsidR="0059608E" w:rsidRPr="00D35BF5">
        <w:t xml:space="preserve">into the Reef </w:t>
      </w:r>
      <w:r w:rsidR="002F139D">
        <w:t xml:space="preserve">lagoon </w:t>
      </w:r>
      <w:r w:rsidRPr="00D35BF5">
        <w:t xml:space="preserve">in </w:t>
      </w:r>
      <w:r w:rsidR="00070AE2">
        <w:t>2015-16</w:t>
      </w:r>
      <w:r w:rsidRPr="00D35BF5">
        <w:t xml:space="preserve"> </w:t>
      </w:r>
      <w:r w:rsidR="00D35BF5">
        <w:t>(35.2</w:t>
      </w:r>
      <w:r w:rsidR="00D35BF5" w:rsidRPr="00D35BF5">
        <w:t xml:space="preserve"> x 10</w:t>
      </w:r>
      <w:r w:rsidR="00D35BF5" w:rsidRPr="00D35BF5">
        <w:rPr>
          <w:vertAlign w:val="superscript"/>
        </w:rPr>
        <w:t>6</w:t>
      </w:r>
      <w:r w:rsidR="00D35BF5" w:rsidRPr="00D35BF5">
        <w:t xml:space="preserve"> ML</w:t>
      </w:r>
      <w:r w:rsidR="00D35BF5">
        <w:t>)</w:t>
      </w:r>
      <w:r w:rsidR="00D35BF5" w:rsidRPr="00D35BF5">
        <w:t xml:space="preserve"> </w:t>
      </w:r>
      <w:r w:rsidRPr="00D35BF5">
        <w:t>was comparable</w:t>
      </w:r>
      <w:r w:rsidR="00D35BF5">
        <w:t xml:space="preserve"> to </w:t>
      </w:r>
      <w:r w:rsidR="007058AB">
        <w:t>2014-</w:t>
      </w:r>
      <w:r w:rsidRPr="00D35BF5">
        <w:t xml:space="preserve">15 levels </w:t>
      </w:r>
      <w:r w:rsidR="00D35BF5">
        <w:t>(36.2</w:t>
      </w:r>
      <w:r w:rsidR="00D35BF5" w:rsidRPr="00D35BF5">
        <w:t xml:space="preserve"> x 10</w:t>
      </w:r>
      <w:r w:rsidR="00D35BF5" w:rsidRPr="00D35BF5">
        <w:rPr>
          <w:vertAlign w:val="superscript"/>
        </w:rPr>
        <w:t>6</w:t>
      </w:r>
      <w:r w:rsidR="00D35BF5" w:rsidRPr="00D35BF5">
        <w:t xml:space="preserve"> ML</w:t>
      </w:r>
      <w:r w:rsidR="00D35BF5">
        <w:t>)</w:t>
      </w:r>
      <w:r w:rsidR="00D35BF5" w:rsidRPr="00D35BF5">
        <w:t xml:space="preserve"> </w:t>
      </w:r>
      <w:r w:rsidR="0059608E" w:rsidRPr="00D35BF5">
        <w:t>(</w:t>
      </w:r>
      <w:r w:rsidR="002A77E1">
        <w:fldChar w:fldCharType="begin"/>
      </w:r>
      <w:r w:rsidR="002A77E1">
        <w:instrText xml:space="preserve"> REF _Ref477149849 \h  \* MERGEFORMAT </w:instrText>
      </w:r>
      <w:r w:rsidR="002A77E1">
        <w:fldChar w:fldCharType="separate"/>
      </w:r>
      <w:r w:rsidR="00D12276" w:rsidRPr="00747824">
        <w:t xml:space="preserve">Figure </w:t>
      </w:r>
      <w:r w:rsidR="00D12276" w:rsidRPr="00D12276">
        <w:t>6</w:t>
      </w:r>
      <w:r w:rsidR="002A77E1">
        <w:fldChar w:fldCharType="end"/>
      </w:r>
      <w:r w:rsidR="0059608E" w:rsidRPr="00973B69">
        <w:t>)</w:t>
      </w:r>
      <w:r w:rsidR="0059608E" w:rsidRPr="00D35BF5">
        <w:t xml:space="preserve"> and </w:t>
      </w:r>
      <w:r w:rsidR="002F139D">
        <w:t xml:space="preserve">for two consecutive years has </w:t>
      </w:r>
      <w:r w:rsidRPr="00D35BF5">
        <w:t xml:space="preserve">remained </w:t>
      </w:r>
      <w:r w:rsidR="0059608E" w:rsidRPr="00D35BF5">
        <w:t>below the long-term median discharge (</w:t>
      </w:r>
      <w:r w:rsidR="00973B69">
        <w:t xml:space="preserve">60.3 </w:t>
      </w:r>
      <w:r w:rsidR="0059608E" w:rsidRPr="00D35BF5">
        <w:t>x 10</w:t>
      </w:r>
      <w:r w:rsidR="0059608E" w:rsidRPr="00D35BF5">
        <w:rPr>
          <w:vertAlign w:val="superscript"/>
        </w:rPr>
        <w:t>6</w:t>
      </w:r>
      <w:r w:rsidR="0059608E" w:rsidRPr="00D35BF5">
        <w:t xml:space="preserve"> ML).</w:t>
      </w:r>
      <w:r w:rsidR="003A67FC">
        <w:t xml:space="preserve"> </w:t>
      </w:r>
      <w:r w:rsidR="002F139D" w:rsidRPr="003C6A96">
        <w:t xml:space="preserve">Rivers located in the northern catchments typically flow year-round, whereas rivers located in the southern drier catchments only flood periodically following large rain events during summer </w:t>
      </w:r>
      <w:r w:rsidR="00C91BF5" w:rsidRPr="003C6A96">
        <w:fldChar w:fldCharType="begin"/>
      </w:r>
      <w:r w:rsidR="009D4492">
        <w:instrText xml:space="preserve"> ADDIN EN.CITE &lt;EndNote&gt;&lt;Cite&gt;&lt;Author&gt;Lewis&lt;/Author&gt;&lt;Year&gt;2006&lt;/Year&gt;&lt;RecNum&gt;43&lt;/RecNum&gt;&lt;DisplayText&gt;(Lewis et al., 2006, Larson et al., 2013)&lt;/DisplayText&gt;&lt;record&gt;&lt;rec-number&gt;43&lt;/rec-number&gt;&lt;foreign-keys&gt;&lt;key app="EN" db-id="vvtrt2pt4xpx5teta99vvtwg50vzve2aexae" timestamp="1493157376"&gt;43&lt;/key&gt;&lt;/foreign-keys&gt;&lt;ref-type name="Report"&gt;27&lt;/ref-type&gt;&lt;contributors&gt;&lt;authors&gt;&lt;author&gt;Lewis, S.&lt;/author&gt;&lt;author&gt;Brodie, J. E.&lt;/author&gt;&lt;author&gt;Ledee, E.&lt;/author&gt;&lt;author&gt;Alewijnse, M&lt;/author&gt;&lt;/authors&gt;&lt;/contributors&gt;&lt;titles&gt;&lt;title&gt;The Spatial Extent of Delivery of Terrestrial Materials from the Burdekin Region in the GBR Lagoon ACTFR Report No. 06/02 &lt;/title&gt;&lt;/titles&gt;&lt;dates&gt;&lt;year&gt;2006&lt;/year&gt;&lt;/dates&gt;&lt;pub-location&gt;Australian Centre for Tropical Freshwater Research,  Burdekin Dry Tropics NRM&lt;/pub-location&gt;&lt;urls&gt;&lt;/urls&gt;&lt;/record&gt;&lt;/Cite&gt;&lt;Cite&gt;&lt;Author&gt;Larson&lt;/Author&gt;&lt;Year&gt;2013&lt;/Year&gt;&lt;RecNum&gt;44&lt;/RecNum&gt;&lt;record&gt;&lt;rec-number&gt;44&lt;/rec-number&gt;&lt;foreign-keys&gt;&lt;key app="EN" db-id="vvtrt2pt4xpx5teta99vvtwg50vzve2aexae" timestamp="1493157377"&gt;44&lt;/key&gt;&lt;/foreign-keys&gt;&lt;ref-type name="Report"&gt;27&lt;/ref-type&gt;&lt;contributors&gt;&lt;authors&gt;&lt;author&gt;Larson, J.&lt;/author&gt;&lt;author&gt;Leon, J.&lt;/author&gt;&lt;author&gt;McGrath, C.&lt;/author&gt;&lt;author&gt;Trancoso, R.&lt;/author&gt;&lt;/authors&gt;&lt;/contributors&gt;&lt;titles&gt;&lt;title&gt;Review of the catchment processes relevant to the Great Barrier Reef region&lt;/title&gt;&lt;/titles&gt;&lt;dates&gt;&lt;year&gt;2013&lt;/year&gt;&lt;/dates&gt;&lt;pub-location&gt;Great Barrier Reef Marine Park Authority, Townsville&lt;/pub-location&gt;&lt;urls&gt;&lt;related-urls&gt;&lt;url&gt;http://elibrary.gbrmpa.gov.au/jspui/bitstream/11017/2907/2/Hydrology_catchment_great_barrier_reef.pdf&lt;/url&gt;&lt;/related-urls&gt;&lt;/urls&gt;&lt;/record&gt;&lt;/Cite&gt;&lt;/EndNote&gt;</w:instrText>
      </w:r>
      <w:r w:rsidR="00C91BF5" w:rsidRPr="003C6A96">
        <w:fldChar w:fldCharType="separate"/>
      </w:r>
      <w:r w:rsidR="009D4492">
        <w:rPr>
          <w:noProof/>
        </w:rPr>
        <w:t>(Lewis et al., 2006, Larson et al., 2013)</w:t>
      </w:r>
      <w:r w:rsidR="00C91BF5" w:rsidRPr="003C6A96">
        <w:fldChar w:fldCharType="end"/>
      </w:r>
      <w:r w:rsidR="004D2476">
        <w:t xml:space="preserve">. </w:t>
      </w:r>
      <w:r w:rsidR="003555E2">
        <w:t>Overall</w:t>
      </w:r>
      <w:r w:rsidR="00006785">
        <w:t>, h</w:t>
      </w:r>
      <w:r w:rsidR="004D2476">
        <w:t>igher</w:t>
      </w:r>
      <w:r w:rsidR="003555E2">
        <w:t xml:space="preserve"> river</w:t>
      </w:r>
      <w:r w:rsidR="004D2476">
        <w:t xml:space="preserve"> discharges are associated with </w:t>
      </w:r>
      <w:r w:rsidR="00006785">
        <w:t>the northern catchments</w:t>
      </w:r>
      <w:r w:rsidR="004D2476" w:rsidRPr="004D2476">
        <w:t xml:space="preserve"> </w:t>
      </w:r>
      <w:r w:rsidR="004D2476" w:rsidRPr="003C6A96">
        <w:t>(</w:t>
      </w:r>
      <w:r w:rsidR="00262CE9">
        <w:fldChar w:fldCharType="begin"/>
      </w:r>
      <w:r w:rsidR="00262CE9">
        <w:instrText xml:space="preserve"> REF _Ref502465508 \h  \* MERGEFORMAT </w:instrText>
      </w:r>
      <w:r w:rsidR="00262CE9">
        <w:fldChar w:fldCharType="separate"/>
      </w:r>
      <w:r w:rsidR="00D12276" w:rsidRPr="00D12276">
        <w:t>Figure 7</w:t>
      </w:r>
      <w:r w:rsidR="00262CE9">
        <w:fldChar w:fldCharType="end"/>
      </w:r>
      <w:r w:rsidR="004D2476" w:rsidRPr="003C6A96">
        <w:t>)</w:t>
      </w:r>
      <w:r w:rsidR="007058AB">
        <w:t>, although in 2015-</w:t>
      </w:r>
      <w:r w:rsidR="0032603F">
        <w:t>16 al</w:t>
      </w:r>
      <w:r w:rsidR="0032603F" w:rsidRPr="003555E2">
        <w:t xml:space="preserve">l of the major rivers adjacent to fixed passive sampler sites had a total wet season discharge less than 1.5 times their </w:t>
      </w:r>
      <w:r w:rsidR="004E0D47" w:rsidRPr="003555E2">
        <w:t>long-term</w:t>
      </w:r>
      <w:r w:rsidR="0032603F" w:rsidRPr="003555E2">
        <w:t xml:space="preserve"> median (</w:t>
      </w:r>
      <w:r w:rsidR="002A77E1">
        <w:fldChar w:fldCharType="begin"/>
      </w:r>
      <w:r w:rsidR="002A77E1">
        <w:instrText xml:space="preserve"> REF _Ref480727555 \h  \* MERGEFORMAT </w:instrText>
      </w:r>
      <w:r w:rsidR="002A77E1">
        <w:fldChar w:fldCharType="separate"/>
      </w:r>
      <w:r w:rsidR="00D12276" w:rsidRPr="00210B7C">
        <w:t xml:space="preserve">Table </w:t>
      </w:r>
      <w:r w:rsidR="00D12276" w:rsidRPr="00D12276">
        <w:t>5</w:t>
      </w:r>
      <w:r w:rsidR="002A77E1">
        <w:fldChar w:fldCharType="end"/>
      </w:r>
      <w:r w:rsidR="0032603F" w:rsidRPr="003555E2">
        <w:t>).</w:t>
      </w:r>
      <w:r w:rsidR="0032603F">
        <w:t xml:space="preserve"> </w:t>
      </w:r>
      <w:r w:rsidR="00006785" w:rsidRPr="003C6A96">
        <w:t xml:space="preserve">This monitoring year, gauged rivers in the Wet Tropics contributed </w:t>
      </w:r>
      <w:r w:rsidR="00006785">
        <w:t>44</w:t>
      </w:r>
      <w:r w:rsidR="007058AB">
        <w:t xml:space="preserve"> per cent</w:t>
      </w:r>
      <w:r w:rsidR="00006785" w:rsidRPr="003C6A96">
        <w:t xml:space="preserve"> of the total volume of freshwater discharge into the Reef, </w:t>
      </w:r>
      <w:r w:rsidR="00006785">
        <w:t>compared to 6.5, 5.8 and 16</w:t>
      </w:r>
      <w:r w:rsidR="001E5909">
        <w:t xml:space="preserve"> per cent</w:t>
      </w:r>
      <w:r w:rsidR="00006785">
        <w:t xml:space="preserve"> in the Burdekin, </w:t>
      </w:r>
      <w:r w:rsidR="00006785" w:rsidRPr="003C6A96">
        <w:t xml:space="preserve">Mackay Whitsunday </w:t>
      </w:r>
      <w:r w:rsidR="00006785">
        <w:t>and</w:t>
      </w:r>
      <w:r w:rsidR="00006785" w:rsidRPr="003C6A96">
        <w:t xml:space="preserve"> Fitzroy region</w:t>
      </w:r>
      <w:r w:rsidR="00006785">
        <w:t>s, respectively</w:t>
      </w:r>
      <w:r w:rsidR="00006785" w:rsidRPr="003C6A96">
        <w:t xml:space="preserve">. </w:t>
      </w:r>
      <w:r w:rsidR="009C0D52" w:rsidRPr="003C6A96">
        <w:t xml:space="preserve">The </w:t>
      </w:r>
      <w:r w:rsidR="00006785" w:rsidRPr="003C6A96">
        <w:t>differ</w:t>
      </w:r>
      <w:r w:rsidR="00006785">
        <w:t>ence</w:t>
      </w:r>
      <w:r w:rsidR="00006785" w:rsidRPr="003C6A96">
        <w:t xml:space="preserve">s </w:t>
      </w:r>
      <w:r w:rsidR="00006785">
        <w:t xml:space="preserve">in the </w:t>
      </w:r>
      <w:r w:rsidR="00006785" w:rsidRPr="003C6A96">
        <w:t>timing, duration and intensity of rainfall between the northern and southern Reef catchments</w:t>
      </w:r>
      <w:r w:rsidR="00006785">
        <w:t xml:space="preserve"> drive</w:t>
      </w:r>
      <w:r w:rsidR="009C0D52" w:rsidRPr="003C6A96">
        <w:t xml:space="preserve"> river flow and </w:t>
      </w:r>
      <w:r w:rsidR="00776FA7">
        <w:t>contribute to</w:t>
      </w:r>
      <w:r w:rsidR="00776FA7" w:rsidRPr="003C6A96">
        <w:t xml:space="preserve"> </w:t>
      </w:r>
      <w:r w:rsidR="005433FB">
        <w:t>the pattern of pesticide discharge</w:t>
      </w:r>
      <w:r w:rsidR="00006785">
        <w:t xml:space="preserve"> to the marine environment.</w:t>
      </w:r>
    </w:p>
    <w:p w14:paraId="15720EAC" w14:textId="5CAC8FF5" w:rsidR="0059608E" w:rsidRDefault="005E54C8" w:rsidP="00015606">
      <w:pPr>
        <w:spacing w:line="276" w:lineRule="auto"/>
      </w:pPr>
      <w:r>
        <w:rPr>
          <w:rFonts w:cs="Arial"/>
          <w:noProof/>
          <w:lang w:val="en-AU" w:eastAsia="en-AU" w:bidi="ar-SA"/>
        </w:rPr>
        <w:drawing>
          <wp:anchor distT="0" distB="0" distL="114300" distR="114300" simplePos="0" relativeHeight="251659264" behindDoc="0" locked="0" layoutInCell="1" allowOverlap="1" wp14:anchorId="70E81CCE" wp14:editId="43BD7563">
            <wp:simplePos x="0" y="0"/>
            <wp:positionH relativeFrom="margin">
              <wp:align>left</wp:align>
            </wp:positionH>
            <wp:positionV relativeFrom="paragraph">
              <wp:posOffset>270510</wp:posOffset>
            </wp:positionV>
            <wp:extent cx="6120765" cy="3176270"/>
            <wp:effectExtent l="0" t="0" r="0" b="5080"/>
            <wp:wrapTopAndBottom/>
            <wp:docPr id="7197" name="Picture 7197" descr="GRaph showing the long-term total discharge in million litres (ML) (hydrological year: 1 October to 30 September) for the 35 main GBR Rivers. Source: DNRM, http://watermonitoring.dnrm.qld.gov.au/host.htm." title="Long-term total discharge in million litres (ML) (hydrological year: 1 October to 30 September) for the 35 main GB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7" name="Total GBR discharge.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120765" cy="3176270"/>
                    </a:xfrm>
                    <a:prstGeom prst="rect">
                      <a:avLst/>
                    </a:prstGeom>
                  </pic:spPr>
                </pic:pic>
              </a:graphicData>
            </a:graphic>
            <wp14:sizeRelH relativeFrom="page">
              <wp14:pctWidth>0</wp14:pctWidth>
            </wp14:sizeRelH>
            <wp14:sizeRelV relativeFrom="page">
              <wp14:pctHeight>0</wp14:pctHeight>
            </wp14:sizeRelV>
          </wp:anchor>
        </w:drawing>
      </w:r>
    </w:p>
    <w:p w14:paraId="15720EAD" w14:textId="648BA7AD" w:rsidR="0059608E" w:rsidRDefault="0059608E" w:rsidP="00015606">
      <w:pPr>
        <w:tabs>
          <w:tab w:val="left" w:pos="10065"/>
        </w:tabs>
        <w:spacing w:line="276" w:lineRule="auto"/>
      </w:pPr>
    </w:p>
    <w:p w14:paraId="15720EAE" w14:textId="611A44C6" w:rsidR="0059608E" w:rsidRDefault="0059608E" w:rsidP="005F0692">
      <w:pPr>
        <w:pStyle w:val="Caption"/>
        <w:keepNext/>
        <w:spacing w:line="276" w:lineRule="auto"/>
        <w:rPr>
          <w:b w:val="0"/>
        </w:rPr>
      </w:pPr>
      <w:bookmarkStart w:id="404" w:name="_Ref477149849"/>
      <w:bookmarkStart w:id="405" w:name="_Toc502499936"/>
      <w:r w:rsidRPr="00747824">
        <w:rPr>
          <w:b w:val="0"/>
        </w:rPr>
        <w:t xml:space="preserve">Figure </w:t>
      </w:r>
      <w:r w:rsidR="00C91BF5" w:rsidRPr="00747824">
        <w:rPr>
          <w:b w:val="0"/>
        </w:rPr>
        <w:fldChar w:fldCharType="begin"/>
      </w:r>
      <w:r w:rsidRPr="00747824">
        <w:rPr>
          <w:b w:val="0"/>
        </w:rPr>
        <w:instrText xml:space="preserve"> SEQ Figure \* ARABIC </w:instrText>
      </w:r>
      <w:r w:rsidR="00C91BF5" w:rsidRPr="00747824">
        <w:rPr>
          <w:b w:val="0"/>
        </w:rPr>
        <w:fldChar w:fldCharType="separate"/>
      </w:r>
      <w:r w:rsidR="00D12276">
        <w:rPr>
          <w:b w:val="0"/>
          <w:noProof/>
        </w:rPr>
        <w:t>6</w:t>
      </w:r>
      <w:r w:rsidR="00C91BF5" w:rsidRPr="00747824">
        <w:rPr>
          <w:b w:val="0"/>
        </w:rPr>
        <w:fldChar w:fldCharType="end"/>
      </w:r>
      <w:bookmarkEnd w:id="404"/>
      <w:r w:rsidR="00747824">
        <w:rPr>
          <w:b w:val="0"/>
        </w:rPr>
        <w:t xml:space="preserve">: </w:t>
      </w:r>
      <w:r w:rsidR="00180E26" w:rsidRPr="00180E26">
        <w:rPr>
          <w:b w:val="0"/>
        </w:rPr>
        <w:t xml:space="preserve">Long-term </w:t>
      </w:r>
      <w:r w:rsidR="003A67FC">
        <w:rPr>
          <w:b w:val="0"/>
        </w:rPr>
        <w:t>total annual</w:t>
      </w:r>
      <w:r w:rsidR="00180E26" w:rsidRPr="00180E26">
        <w:rPr>
          <w:b w:val="0"/>
        </w:rPr>
        <w:t xml:space="preserve"> discharge in </w:t>
      </w:r>
      <w:r w:rsidR="00776FA7">
        <w:rPr>
          <w:b w:val="0"/>
        </w:rPr>
        <w:t>mega</w:t>
      </w:r>
      <w:r w:rsidR="00776FA7" w:rsidRPr="00180E26">
        <w:rPr>
          <w:b w:val="0"/>
        </w:rPr>
        <w:t xml:space="preserve"> </w:t>
      </w:r>
      <w:r w:rsidR="00180E26" w:rsidRPr="00180E26">
        <w:rPr>
          <w:b w:val="0"/>
        </w:rPr>
        <w:t xml:space="preserve">litres (ML) (hydrological year: 1 October to 30 September) for the 35 main </w:t>
      </w:r>
      <w:r w:rsidR="003A67FC">
        <w:rPr>
          <w:b w:val="0"/>
        </w:rPr>
        <w:t>Reef</w:t>
      </w:r>
      <w:r w:rsidR="00180E26" w:rsidRPr="00180E26">
        <w:rPr>
          <w:b w:val="0"/>
        </w:rPr>
        <w:t xml:space="preserve"> </w:t>
      </w:r>
      <w:r w:rsidR="003A67FC">
        <w:rPr>
          <w:b w:val="0"/>
        </w:rPr>
        <w:t>river catchments</w:t>
      </w:r>
      <w:r w:rsidR="00180E26" w:rsidRPr="00180E26">
        <w:rPr>
          <w:b w:val="0"/>
        </w:rPr>
        <w:t xml:space="preserve">. </w:t>
      </w:r>
      <w:r w:rsidR="00180E26">
        <w:rPr>
          <w:b w:val="0"/>
        </w:rPr>
        <w:t xml:space="preserve">Data </w:t>
      </w:r>
      <w:r w:rsidR="00AC4642">
        <w:rPr>
          <w:b w:val="0"/>
        </w:rPr>
        <w:t>derived from DNRM</w:t>
      </w:r>
      <w:r w:rsidR="00180E26" w:rsidRPr="00180E26">
        <w:rPr>
          <w:b w:val="0"/>
        </w:rPr>
        <w:t xml:space="preserve"> </w:t>
      </w:r>
      <w:hyperlink r:id="rId30" w:history="1">
        <w:r w:rsidR="00180E26" w:rsidRPr="00A41CC7">
          <w:rPr>
            <w:rStyle w:val="Hyperlink"/>
            <w:rFonts w:cstheme="minorBidi"/>
            <w:b w:val="0"/>
          </w:rPr>
          <w:t>http://watermonitoring.dnrm.qld.gov.au/host.htm</w:t>
        </w:r>
      </w:hyperlink>
      <w:r w:rsidR="00AC4642">
        <w:rPr>
          <w:b w:val="0"/>
        </w:rPr>
        <w:t xml:space="preserve"> and</w:t>
      </w:r>
      <w:r w:rsidR="00180E26">
        <w:rPr>
          <w:b w:val="0"/>
        </w:rPr>
        <w:t xml:space="preserve"> </w:t>
      </w:r>
      <w:r w:rsidR="00E74446">
        <w:rPr>
          <w:b w:val="0"/>
        </w:rPr>
        <w:t>r</w:t>
      </w:r>
      <w:r w:rsidR="00E74446" w:rsidRPr="00E74446">
        <w:rPr>
          <w:b w:val="0"/>
        </w:rPr>
        <w:t xml:space="preserve">aw gauge discharge data were corrected by </w:t>
      </w:r>
      <w:r w:rsidR="001E5909">
        <w:rPr>
          <w:b w:val="0"/>
        </w:rPr>
        <w:fldChar w:fldCharType="begin"/>
      </w:r>
      <w:r w:rsidR="001E5909">
        <w:rPr>
          <w:b w:val="0"/>
        </w:rPr>
        <w:instrText xml:space="preserve"> ADDIN EN.CITE &lt;EndNote&gt;&lt;Cite AuthorYear="1"&gt;&lt;Author&gt;Waterhouse&lt;/Author&gt;&lt;Year&gt;2017&lt;/Year&gt;&lt;RecNum&gt;39&lt;/RecNum&gt;&lt;DisplayText&gt;Waterhouse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1E5909">
        <w:rPr>
          <w:b w:val="0"/>
        </w:rPr>
        <w:fldChar w:fldCharType="separate"/>
      </w:r>
      <w:r w:rsidR="001E5909">
        <w:rPr>
          <w:b w:val="0"/>
          <w:noProof/>
        </w:rPr>
        <w:t>Waterhouse et al. (2017b)</w:t>
      </w:r>
      <w:r w:rsidR="001E5909">
        <w:rPr>
          <w:b w:val="0"/>
        </w:rPr>
        <w:fldChar w:fldCharType="end"/>
      </w:r>
      <w:r w:rsidR="001E5909">
        <w:rPr>
          <w:b w:val="0"/>
        </w:rPr>
        <w:t xml:space="preserve"> </w:t>
      </w:r>
      <w:r w:rsidR="00E74446" w:rsidRPr="00E74446">
        <w:rPr>
          <w:b w:val="0"/>
        </w:rPr>
        <w:t>to account for different placement position of gauges within each catchment</w:t>
      </w:r>
      <w:r w:rsidR="00E74446">
        <w:rPr>
          <w:b w:val="0"/>
        </w:rPr>
        <w:t>. F</w:t>
      </w:r>
      <w:r w:rsidR="00180E26">
        <w:rPr>
          <w:b w:val="0"/>
        </w:rPr>
        <w:t xml:space="preserve">igure </w:t>
      </w:r>
      <w:r w:rsidR="001E5909">
        <w:rPr>
          <w:b w:val="0"/>
        </w:rPr>
        <w:t xml:space="preserve">reproduced </w:t>
      </w:r>
      <w:r w:rsidR="00180E26">
        <w:rPr>
          <w:b w:val="0"/>
        </w:rPr>
        <w:t xml:space="preserve">from </w:t>
      </w:r>
      <w:r w:rsidR="00C91BF5">
        <w:rPr>
          <w:b w:val="0"/>
        </w:rPr>
        <w:fldChar w:fldCharType="begin"/>
      </w:r>
      <w:r w:rsidR="00216883">
        <w:rPr>
          <w:b w:val="0"/>
        </w:rPr>
        <w:instrText xml:space="preserve"> ADDIN EN.CITE &lt;EndNote&gt;&lt;Cite AuthorYear="1"&gt;&lt;Author&gt;Waterhouse&lt;/Author&gt;&lt;Year&gt;2017&lt;/Year&gt;&lt;RecNum&gt;39&lt;/RecNum&gt;&lt;DisplayText&gt;Waterhouse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C91BF5">
        <w:rPr>
          <w:b w:val="0"/>
        </w:rPr>
        <w:fldChar w:fldCharType="separate"/>
      </w:r>
      <w:r w:rsidR="00216883">
        <w:rPr>
          <w:b w:val="0"/>
          <w:noProof/>
        </w:rPr>
        <w:t>Waterhouse et al. (2017b)</w:t>
      </w:r>
      <w:r w:rsidR="00C91BF5">
        <w:rPr>
          <w:b w:val="0"/>
        </w:rPr>
        <w:fldChar w:fldCharType="end"/>
      </w:r>
      <w:r w:rsidR="00E74446">
        <w:rPr>
          <w:b w:val="0"/>
        </w:rPr>
        <w:t>.</w:t>
      </w:r>
      <w:bookmarkEnd w:id="405"/>
      <w:r w:rsidR="00E74446">
        <w:rPr>
          <w:b w:val="0"/>
        </w:rPr>
        <w:t xml:space="preserve"> </w:t>
      </w:r>
    </w:p>
    <w:p w14:paraId="67C60416" w14:textId="77777777" w:rsidR="00203958" w:rsidRDefault="00203958" w:rsidP="00197074"/>
    <w:p w14:paraId="4BE5D533" w14:textId="77777777" w:rsidR="00262CE9" w:rsidRDefault="009F5052" w:rsidP="00197074">
      <w:pPr>
        <w:rPr>
          <w:bCs/>
          <w:sz w:val="18"/>
          <w:szCs w:val="18"/>
        </w:rPr>
      </w:pPr>
      <w:r w:rsidRPr="00197074">
        <w:rPr>
          <w:bCs/>
          <w:noProof/>
          <w:sz w:val="18"/>
          <w:szCs w:val="18"/>
          <w:lang w:val="en-AU" w:eastAsia="en-AU" w:bidi="ar-SA"/>
        </w:rPr>
        <w:drawing>
          <wp:inline distT="0" distB="0" distL="0" distR="0" wp14:anchorId="15721A63" wp14:editId="320AAEFB">
            <wp:extent cx="6120765" cy="2804160"/>
            <wp:effectExtent l="0" t="0" r="0" b="0"/>
            <wp:docPr id="43" name="Picture 43" descr="Figure 7: Corrected annual discharge from each NRM region for 2002-2003 to 2015-16. Discharge in 2015-16 was similar to the previous year in all NRM regions and highes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9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20765" cy="2804160"/>
                    </a:xfrm>
                    <a:prstGeom prst="rect">
                      <a:avLst/>
                    </a:prstGeom>
                    <a:noFill/>
                  </pic:spPr>
                </pic:pic>
              </a:graphicData>
            </a:graphic>
          </wp:inline>
        </w:drawing>
      </w:r>
      <w:bookmarkStart w:id="406" w:name="_Toc471562221"/>
    </w:p>
    <w:p w14:paraId="15720EB0" w14:textId="09E0D25F" w:rsidR="009F5052" w:rsidRPr="00197074" w:rsidRDefault="00203958" w:rsidP="00197074">
      <w:pPr>
        <w:rPr>
          <w:bCs/>
          <w:sz w:val="18"/>
          <w:szCs w:val="18"/>
        </w:rPr>
      </w:pPr>
      <w:bookmarkStart w:id="407" w:name="_Ref502465508"/>
      <w:bookmarkStart w:id="408" w:name="_Toc502499937"/>
      <w:r w:rsidRPr="00203958">
        <w:rPr>
          <w:bCs/>
          <w:sz w:val="18"/>
          <w:szCs w:val="18"/>
        </w:rPr>
        <w:t xml:space="preserve">Figure </w:t>
      </w:r>
      <w:r w:rsidRPr="00203958">
        <w:rPr>
          <w:bCs/>
          <w:sz w:val="18"/>
          <w:szCs w:val="18"/>
        </w:rPr>
        <w:fldChar w:fldCharType="begin"/>
      </w:r>
      <w:r w:rsidRPr="00203958">
        <w:rPr>
          <w:bCs/>
          <w:sz w:val="18"/>
          <w:szCs w:val="18"/>
        </w:rPr>
        <w:instrText xml:space="preserve"> SEQ Figure \* ARABIC </w:instrText>
      </w:r>
      <w:r w:rsidRPr="00203958">
        <w:rPr>
          <w:bCs/>
          <w:sz w:val="18"/>
          <w:szCs w:val="18"/>
        </w:rPr>
        <w:fldChar w:fldCharType="separate"/>
      </w:r>
      <w:r w:rsidR="00D12276">
        <w:rPr>
          <w:bCs/>
          <w:noProof/>
          <w:sz w:val="18"/>
          <w:szCs w:val="18"/>
        </w:rPr>
        <w:t>7</w:t>
      </w:r>
      <w:r w:rsidRPr="00203958">
        <w:rPr>
          <w:bCs/>
          <w:sz w:val="18"/>
          <w:szCs w:val="18"/>
        </w:rPr>
        <w:fldChar w:fldCharType="end"/>
      </w:r>
      <w:bookmarkEnd w:id="407"/>
      <w:r w:rsidRPr="00203958">
        <w:rPr>
          <w:bCs/>
          <w:sz w:val="18"/>
          <w:szCs w:val="18"/>
        </w:rPr>
        <w:t xml:space="preserve">: </w:t>
      </w:r>
      <w:r w:rsidR="009F5052" w:rsidRPr="00197074">
        <w:rPr>
          <w:bCs/>
          <w:sz w:val="18"/>
          <w:szCs w:val="18"/>
        </w:rPr>
        <w:t xml:space="preserve">Corrected annual </w:t>
      </w:r>
      <w:r w:rsidR="00FF0319" w:rsidRPr="00197074">
        <w:rPr>
          <w:bCs/>
          <w:sz w:val="18"/>
          <w:szCs w:val="18"/>
        </w:rPr>
        <w:t xml:space="preserve">discharge from each NRM region </w:t>
      </w:r>
      <w:r w:rsidR="009F5052" w:rsidRPr="00197074">
        <w:rPr>
          <w:bCs/>
          <w:sz w:val="18"/>
          <w:szCs w:val="18"/>
        </w:rPr>
        <w:t>for 2002-</w:t>
      </w:r>
      <w:r w:rsidR="00AC4642" w:rsidRPr="00197074">
        <w:rPr>
          <w:bCs/>
          <w:sz w:val="18"/>
          <w:szCs w:val="18"/>
        </w:rPr>
        <w:t>20</w:t>
      </w:r>
      <w:r w:rsidR="009F5052" w:rsidRPr="00197074">
        <w:rPr>
          <w:bCs/>
          <w:sz w:val="18"/>
          <w:szCs w:val="18"/>
        </w:rPr>
        <w:t xml:space="preserve">03 to </w:t>
      </w:r>
      <w:r w:rsidR="00070AE2" w:rsidRPr="00197074">
        <w:rPr>
          <w:bCs/>
          <w:sz w:val="18"/>
          <w:szCs w:val="18"/>
        </w:rPr>
        <w:t>2015-16</w:t>
      </w:r>
      <w:r w:rsidR="009F5052" w:rsidRPr="00197074">
        <w:rPr>
          <w:bCs/>
          <w:sz w:val="18"/>
          <w:szCs w:val="18"/>
        </w:rPr>
        <w:t xml:space="preserve"> in </w:t>
      </w:r>
      <w:r w:rsidR="00FF0319" w:rsidRPr="00197074">
        <w:rPr>
          <w:bCs/>
          <w:sz w:val="18"/>
          <w:szCs w:val="18"/>
        </w:rPr>
        <w:t xml:space="preserve">millions of </w:t>
      </w:r>
      <w:r w:rsidR="009F5052" w:rsidRPr="00197074">
        <w:rPr>
          <w:bCs/>
          <w:sz w:val="18"/>
          <w:szCs w:val="18"/>
        </w:rPr>
        <w:t>megalitres (ML) per year. Data derived from DNRM</w:t>
      </w:r>
      <w:r w:rsidR="00552D82" w:rsidRPr="00197074">
        <w:rPr>
          <w:bCs/>
          <w:sz w:val="18"/>
          <w:szCs w:val="18"/>
        </w:rPr>
        <w:t xml:space="preserve"> </w:t>
      </w:r>
      <w:hyperlink r:id="rId32" w:history="1">
        <w:r w:rsidR="00552D82" w:rsidRPr="00197074">
          <w:rPr>
            <w:bCs/>
            <w:sz w:val="18"/>
            <w:szCs w:val="18"/>
          </w:rPr>
          <w:t>http://watermonitoring.dnrm.qld.gov.au/host.htm</w:t>
        </w:r>
      </w:hyperlink>
      <w:r w:rsidR="00FF0319" w:rsidRPr="00197074">
        <w:rPr>
          <w:bCs/>
          <w:sz w:val="18"/>
          <w:szCs w:val="18"/>
        </w:rPr>
        <w:t xml:space="preserve"> and figure</w:t>
      </w:r>
      <w:r w:rsidR="001E5909">
        <w:rPr>
          <w:bCs/>
          <w:sz w:val="18"/>
          <w:szCs w:val="18"/>
        </w:rPr>
        <w:t xml:space="preserve"> reproduced</w:t>
      </w:r>
      <w:r w:rsidR="00FF0319" w:rsidRPr="00197074">
        <w:rPr>
          <w:bCs/>
          <w:sz w:val="18"/>
          <w:szCs w:val="18"/>
        </w:rPr>
        <w:t xml:space="preserve"> from </w:t>
      </w:r>
      <w:r w:rsidR="00C91BF5" w:rsidRPr="00197074">
        <w:rPr>
          <w:bCs/>
          <w:sz w:val="18"/>
          <w:szCs w:val="18"/>
        </w:rPr>
        <w:fldChar w:fldCharType="begin"/>
      </w:r>
      <w:r w:rsidR="00216883">
        <w:rPr>
          <w:bCs/>
          <w:sz w:val="18"/>
          <w:szCs w:val="18"/>
        </w:rPr>
        <w:instrText xml:space="preserve"> ADDIN EN.CITE &lt;EndNote&gt;&lt;Cite AuthorYear="1"&gt;&lt;Author&gt;Waterhouse&lt;/Author&gt;&lt;Year&gt;2017&lt;/Year&gt;&lt;RecNum&gt;39&lt;/RecNum&gt;&lt;DisplayText&gt;Waterhouse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C91BF5" w:rsidRPr="00197074">
        <w:rPr>
          <w:bCs/>
          <w:sz w:val="18"/>
          <w:szCs w:val="18"/>
        </w:rPr>
        <w:fldChar w:fldCharType="separate"/>
      </w:r>
      <w:r w:rsidR="00216883">
        <w:rPr>
          <w:bCs/>
          <w:noProof/>
          <w:sz w:val="18"/>
          <w:szCs w:val="18"/>
        </w:rPr>
        <w:t>Waterhouse et al. (2017b)</w:t>
      </w:r>
      <w:r w:rsidR="00C91BF5" w:rsidRPr="00197074">
        <w:rPr>
          <w:bCs/>
          <w:sz w:val="18"/>
          <w:szCs w:val="18"/>
        </w:rPr>
        <w:fldChar w:fldCharType="end"/>
      </w:r>
      <w:r w:rsidR="009F5052" w:rsidRPr="00197074">
        <w:rPr>
          <w:bCs/>
          <w:sz w:val="18"/>
          <w:szCs w:val="18"/>
        </w:rPr>
        <w:t>.</w:t>
      </w:r>
      <w:bookmarkEnd w:id="406"/>
      <w:bookmarkEnd w:id="408"/>
    </w:p>
    <w:p w14:paraId="15720EB1" w14:textId="3D4F176C" w:rsidR="007F4C3B" w:rsidRDefault="007F4C3B" w:rsidP="007F4C3B"/>
    <w:p w14:paraId="1E4260C7" w14:textId="093DE2B8" w:rsidR="007758EB" w:rsidRDefault="007758EB" w:rsidP="007F4C3B"/>
    <w:p w14:paraId="4A40AFFA" w14:textId="77777777" w:rsidR="007758EB" w:rsidRDefault="007758EB" w:rsidP="007758EB">
      <w:pPr>
        <w:pStyle w:val="Heading30"/>
        <w:numPr>
          <w:ilvl w:val="2"/>
          <w:numId w:val="1"/>
        </w:numPr>
      </w:pPr>
      <w:bookmarkStart w:id="409" w:name="_Ref501785760"/>
      <w:bookmarkStart w:id="410" w:name="_Toc502500010"/>
      <w:r>
        <w:lastRenderedPageBreak/>
        <w:t>End-of-catchment annual pesticide loads</w:t>
      </w:r>
      <w:bookmarkEnd w:id="409"/>
      <w:bookmarkEnd w:id="410"/>
      <w:r>
        <w:t xml:space="preserve"> </w:t>
      </w:r>
    </w:p>
    <w:p w14:paraId="7673B47F" w14:textId="23242CE4" w:rsidR="007758EB" w:rsidRDefault="00760DAE" w:rsidP="00760DAE">
      <w:pPr>
        <w:spacing w:line="276" w:lineRule="auto"/>
      </w:pPr>
      <w:r>
        <w:t>The e</w:t>
      </w:r>
      <w:r w:rsidR="007758EB">
        <w:t xml:space="preserve">nd-of-catchment annual </w:t>
      </w:r>
      <w:r w:rsidR="00A521C0" w:rsidRPr="00A521C0">
        <w:t xml:space="preserve">pesticide </w:t>
      </w:r>
      <w:r w:rsidR="007758EB">
        <w:t>loads</w:t>
      </w:r>
      <w:r w:rsidR="00E412CE">
        <w:t xml:space="preserve"> </w:t>
      </w:r>
      <w:r w:rsidR="007758EB">
        <w:t xml:space="preserve">monitored under the GBRCLMP reflect the entirety of paddock-scale drivers and pressures </w:t>
      </w:r>
      <w:r w:rsidR="00E412CE">
        <w:t>resulting in pesticide losses into waterways and subsequent detection in marine environments</w:t>
      </w:r>
      <w:r w:rsidR="007758EB">
        <w:t>.</w:t>
      </w:r>
      <w:r>
        <w:t xml:space="preserve"> </w:t>
      </w:r>
      <w:r w:rsidR="007758EB">
        <w:t xml:space="preserve">Thirty-six </w:t>
      </w:r>
      <w:r w:rsidR="00A521C0" w:rsidRPr="00A521C0">
        <w:t>pesticide</w:t>
      </w:r>
      <w:r w:rsidR="00982CCE">
        <w:t>s</w:t>
      </w:r>
      <w:r w:rsidR="00A521C0" w:rsidRPr="00A521C0">
        <w:t xml:space="preserve"> </w:t>
      </w:r>
      <w:r w:rsidR="007758EB">
        <w:t>and metabolites were monitored in 17 catchments (comprising ten end-of-catchment and seven sub-catchment sites) under GBRCLMP in 2015-16 (</w:t>
      </w:r>
      <w:r w:rsidR="007758EB" w:rsidRPr="00EB15F0">
        <w:t>Huggins et al.,</w:t>
      </w:r>
      <w:r w:rsidR="007758EB">
        <w:rPr>
          <w:i/>
        </w:rPr>
        <w:t xml:space="preserve"> in prep</w:t>
      </w:r>
      <w:r w:rsidR="007758EB">
        <w:t xml:space="preserve">). Samples were collected at regular intervals throughout the year (typically </w:t>
      </w:r>
      <w:r w:rsidR="007758EB" w:rsidRPr="00A05725">
        <w:t>monthly</w:t>
      </w:r>
      <w:r w:rsidR="007758EB">
        <w:t xml:space="preserve">) during low-flow (ambient) conditions and higher frequency sampling during high-flow (event) conditions. Monitoring data were extrapolated to calculate annual </w:t>
      </w:r>
      <w:r w:rsidR="00A521C0" w:rsidRPr="00A521C0">
        <w:t xml:space="preserve">pesticide </w:t>
      </w:r>
      <w:r w:rsidR="007758EB">
        <w:t xml:space="preserve">loads entering the Reef lagoon from these catchments. Three rivers adjacent to passive sampling sites were not monitored during 2015-16: Mossman River (Low Isles site), Proserpine River (Repulse Bay site) and Plane Creek (Sarina Inlet) </w:t>
      </w:r>
      <w:r w:rsidR="007758EB" w:rsidRPr="00D9460D">
        <w:t>(</w:t>
      </w:r>
      <w:r w:rsidR="007758EB">
        <w:fldChar w:fldCharType="begin"/>
      </w:r>
      <w:r w:rsidR="007758EB">
        <w:instrText xml:space="preserve"> REF _Ref480727733 \h  \* MERGEFORMAT </w:instrText>
      </w:r>
      <w:r w:rsidR="007758EB">
        <w:fldChar w:fldCharType="separate"/>
      </w:r>
      <w:r w:rsidR="00D12276" w:rsidRPr="00210B7C">
        <w:t xml:space="preserve">Table </w:t>
      </w:r>
      <w:r w:rsidR="00D12276" w:rsidRPr="00D12276">
        <w:t>6</w:t>
      </w:r>
      <w:r w:rsidR="007758EB">
        <w:fldChar w:fldCharType="end"/>
      </w:r>
      <w:r w:rsidR="007758EB">
        <w:t>).</w:t>
      </w:r>
    </w:p>
    <w:p w14:paraId="262F6F02" w14:textId="5B0D3FB3" w:rsidR="007758EB" w:rsidRDefault="007758EB" w:rsidP="007F4C3B"/>
    <w:p w14:paraId="26518BAC" w14:textId="00AA09BF" w:rsidR="00197074" w:rsidRDefault="00197074" w:rsidP="009D4492">
      <w:pPr>
        <w:tabs>
          <w:tab w:val="left" w:pos="10065"/>
        </w:tabs>
        <w:spacing w:line="276" w:lineRule="auto"/>
      </w:pPr>
      <w:r>
        <w:t>In th</w:t>
      </w:r>
      <w:r w:rsidR="001E5909">
        <w:t>e current</w:t>
      </w:r>
      <w:r>
        <w:t xml:space="preserve"> monitoring year, each PSII herbicide and major metabolite detected in the marine monitoring program was also detected at the end of at least one catchment adjacent to passive samplers’ locations (</w:t>
      </w:r>
      <w:r>
        <w:fldChar w:fldCharType="begin"/>
      </w:r>
      <w:r>
        <w:instrText xml:space="preserve"> REF _Ref480727733 \h  \* MERGEFORMAT </w:instrText>
      </w:r>
      <w:r>
        <w:fldChar w:fldCharType="separate"/>
      </w:r>
      <w:r w:rsidR="00D12276" w:rsidRPr="00210B7C">
        <w:t xml:space="preserve">Table </w:t>
      </w:r>
      <w:r w:rsidR="00D12276" w:rsidRPr="00D12276">
        <w:t>6</w:t>
      </w:r>
      <w:r>
        <w:fldChar w:fldCharType="end"/>
      </w:r>
      <w:r>
        <w:t>). Atrazine, diuron and hexazinone were detected at all sites, and except for the Fitzroy River catchment, these three herbicides dominated the PSII herbicide load profile across all catchments (</w:t>
      </w:r>
      <w:r w:rsidR="00B022B4">
        <w:fldChar w:fldCharType="begin"/>
      </w:r>
      <w:r w:rsidR="00B022B4">
        <w:instrText xml:space="preserve"> REF _Ref480727144 \n \h </w:instrText>
      </w:r>
      <w:r w:rsidR="00B022B4">
        <w:fldChar w:fldCharType="separate"/>
      </w:r>
      <w:r w:rsidR="00D12276">
        <w:t xml:space="preserve">Appendix E </w:t>
      </w:r>
      <w:r w:rsidR="00B022B4">
        <w:fldChar w:fldCharType="end"/>
      </w:r>
      <w:r w:rsidR="00B022B4">
        <w:t>Figure E-4</w:t>
      </w:r>
      <w:r>
        <w:t>). Fluometuron and prometryn loads were very low and were only at detectable levels at one/two sites, respectively. T</w:t>
      </w:r>
      <w:r w:rsidRPr="00E3106C">
        <w:t>he PSII herbicide load profiles</w:t>
      </w:r>
      <w:r>
        <w:t xml:space="preserve"> </w:t>
      </w:r>
      <w:r w:rsidR="001E5909">
        <w:t>reflect</w:t>
      </w:r>
      <w:r>
        <w:t xml:space="preserve"> t</w:t>
      </w:r>
      <w:r w:rsidRPr="00E3106C">
        <w:t>he land use</w:t>
      </w:r>
      <w:r>
        <w:t xml:space="preserve"> in</w:t>
      </w:r>
      <w:r w:rsidRPr="00E3106C">
        <w:t xml:space="preserve"> </w:t>
      </w:r>
      <w:r>
        <w:t>a</w:t>
      </w:r>
      <w:r w:rsidRPr="00E3106C">
        <w:t xml:space="preserve"> monitored catchment (e.g. tebuthiuron loads </w:t>
      </w:r>
      <w:r>
        <w:t>reflec</w:t>
      </w:r>
      <w:r w:rsidR="009D4492">
        <w:t xml:space="preserve">t the </w:t>
      </w:r>
      <w:r w:rsidRPr="00E3106C">
        <w:t xml:space="preserve">grazing </w:t>
      </w:r>
      <w:r>
        <w:t>land use in the central and southern NRM regions</w:t>
      </w:r>
      <w:r w:rsidRPr="00E3106C">
        <w:t>) (</w:t>
      </w:r>
      <w:r>
        <w:fldChar w:fldCharType="begin"/>
      </w:r>
      <w:r>
        <w:instrText xml:space="preserve"> REF _Ref480727733 \h  \* MERGEFORMAT </w:instrText>
      </w:r>
      <w:r>
        <w:fldChar w:fldCharType="separate"/>
      </w:r>
      <w:r w:rsidR="00D12276" w:rsidRPr="00210B7C">
        <w:t xml:space="preserve">Table </w:t>
      </w:r>
      <w:r w:rsidR="00D12276" w:rsidRPr="00D12276">
        <w:t>6</w:t>
      </w:r>
      <w:r>
        <w:fldChar w:fldCharType="end"/>
      </w:r>
      <w:r w:rsidRPr="00E3106C">
        <w:t>).</w:t>
      </w:r>
    </w:p>
    <w:p w14:paraId="5052FA81" w14:textId="323BA4AA" w:rsidR="009D4492" w:rsidRDefault="009D4492" w:rsidP="009D4492">
      <w:pPr>
        <w:tabs>
          <w:tab w:val="left" w:pos="10065"/>
        </w:tabs>
        <w:spacing w:line="276" w:lineRule="auto"/>
      </w:pPr>
    </w:p>
    <w:p w14:paraId="7A496035" w14:textId="77777777" w:rsidR="009D4492" w:rsidRDefault="009D4492" w:rsidP="009D4492">
      <w:pPr>
        <w:tabs>
          <w:tab w:val="left" w:pos="10065"/>
        </w:tabs>
        <w:spacing w:line="276" w:lineRule="auto"/>
      </w:pPr>
      <w:r w:rsidRPr="00EB15F0">
        <w:t xml:space="preserve">An expanded suite of </w:t>
      </w:r>
      <w:r>
        <w:t>other</w:t>
      </w:r>
      <w:r w:rsidRPr="00EB15F0">
        <w:t xml:space="preserve"> </w:t>
      </w:r>
      <w:r>
        <w:t>(</w:t>
      </w:r>
      <w:r w:rsidRPr="00EB15F0">
        <w:t>non-PSII</w:t>
      </w:r>
      <w:r>
        <w:t>)</w:t>
      </w:r>
      <w:r w:rsidRPr="00EB15F0">
        <w:t xml:space="preserve"> pesticides were also monitored as part of the GBRCLMP program. A total of eight additional pesticides were monitored at both the fixed monitoring sites (this report) and as part of the GBRCLMP. All or most of these </w:t>
      </w:r>
      <w:r>
        <w:t>other</w:t>
      </w:r>
      <w:r w:rsidRPr="00EB15F0">
        <w:t xml:space="preserve"> pesticides were discharged from catchments adjacent to fixed monitoring sites in this program (</w:t>
      </w:r>
      <w:r w:rsidRPr="00EB15F0">
        <w:fldChar w:fldCharType="begin"/>
      </w:r>
      <w:r w:rsidRPr="00EB15F0">
        <w:instrText xml:space="preserve"> REF _Ref480727733 \h  \* MERGEFORMAT </w:instrText>
      </w:r>
      <w:r w:rsidRPr="00EB15F0">
        <w:fldChar w:fldCharType="separate"/>
      </w:r>
      <w:r w:rsidR="00D12276" w:rsidRPr="00210B7C">
        <w:t xml:space="preserve">Table </w:t>
      </w:r>
      <w:r w:rsidR="00D12276" w:rsidRPr="00D12276">
        <w:t>6</w:t>
      </w:r>
      <w:r w:rsidRPr="00EB15F0">
        <w:fldChar w:fldCharType="end"/>
      </w:r>
      <w:r w:rsidRPr="00EB15F0">
        <w:t xml:space="preserve">). The exception was the Fitzroy River catchment where only </w:t>
      </w:r>
      <w:r>
        <w:t>three</w:t>
      </w:r>
      <w:r w:rsidRPr="00EB15F0">
        <w:t xml:space="preserve"> of the </w:t>
      </w:r>
      <w:r>
        <w:t>eight pesticides were detected.</w:t>
      </w:r>
    </w:p>
    <w:p w14:paraId="3528E221" w14:textId="77777777" w:rsidR="009D4492" w:rsidRPr="007F4C3B" w:rsidRDefault="009D4492" w:rsidP="009D4492">
      <w:pPr>
        <w:tabs>
          <w:tab w:val="left" w:pos="10065"/>
        </w:tabs>
        <w:spacing w:line="276" w:lineRule="auto"/>
        <w:sectPr w:rsidR="009D4492" w:rsidRPr="007F4C3B" w:rsidSect="006130D4">
          <w:pgSz w:w="11907" w:h="16840" w:code="9"/>
          <w:pgMar w:top="720" w:right="720" w:bottom="720" w:left="720" w:header="709" w:footer="709" w:gutter="0"/>
          <w:cols w:space="708"/>
          <w:docGrid w:linePitch="360"/>
        </w:sectPr>
      </w:pPr>
    </w:p>
    <w:p w14:paraId="15720EB2" w14:textId="38577AAA" w:rsidR="00676D26" w:rsidRPr="00676D26" w:rsidRDefault="00210B7C" w:rsidP="00777B42">
      <w:pPr>
        <w:pStyle w:val="Caption"/>
        <w:spacing w:after="120"/>
        <w:jc w:val="both"/>
        <w:rPr>
          <w:rStyle w:val="IntenseReference"/>
          <w:rFonts w:eastAsiaTheme="majorEastAsia"/>
          <w:color w:val="auto"/>
          <w:u w:val="none"/>
        </w:rPr>
      </w:pPr>
      <w:bookmarkStart w:id="411" w:name="_Ref480727555"/>
      <w:bookmarkStart w:id="412" w:name="_Toc502499863"/>
      <w:r w:rsidRPr="00210B7C">
        <w:rPr>
          <w:b w:val="0"/>
        </w:rPr>
        <w:lastRenderedPageBreak/>
        <w:t xml:space="preserve">Table </w:t>
      </w:r>
      <w:r w:rsidR="00C91BF5" w:rsidRPr="00210B7C">
        <w:rPr>
          <w:b w:val="0"/>
        </w:rPr>
        <w:fldChar w:fldCharType="begin"/>
      </w:r>
      <w:r w:rsidRPr="00210B7C">
        <w:rPr>
          <w:b w:val="0"/>
        </w:rPr>
        <w:instrText xml:space="preserve"> SEQ Table \* ARABIC </w:instrText>
      </w:r>
      <w:r w:rsidR="00C91BF5" w:rsidRPr="00210B7C">
        <w:rPr>
          <w:b w:val="0"/>
        </w:rPr>
        <w:fldChar w:fldCharType="separate"/>
      </w:r>
      <w:r w:rsidR="00D12276">
        <w:rPr>
          <w:b w:val="0"/>
          <w:noProof/>
        </w:rPr>
        <w:t>5</w:t>
      </w:r>
      <w:r w:rsidR="00C91BF5" w:rsidRPr="00210B7C">
        <w:rPr>
          <w:b w:val="0"/>
        </w:rPr>
        <w:fldChar w:fldCharType="end"/>
      </w:r>
      <w:bookmarkEnd w:id="411"/>
      <w:r w:rsidR="00747824" w:rsidRPr="00233071">
        <w:rPr>
          <w:b w:val="0"/>
        </w:rPr>
        <w:t xml:space="preserve">: </w:t>
      </w:r>
      <w:r w:rsidR="004A4644" w:rsidRPr="00233071">
        <w:rPr>
          <w:b w:val="0"/>
        </w:rPr>
        <w:t>2015</w:t>
      </w:r>
      <w:r w:rsidR="00F510E5">
        <w:rPr>
          <w:b w:val="0"/>
        </w:rPr>
        <w:t>-</w:t>
      </w:r>
      <w:r w:rsidR="004A4644">
        <w:rPr>
          <w:b w:val="0"/>
        </w:rPr>
        <w:t>16 wet season discharge (ML</w:t>
      </w:r>
      <w:r w:rsidR="004A4644" w:rsidRPr="004A4644">
        <w:rPr>
          <w:b w:val="0"/>
        </w:rPr>
        <w:t xml:space="preserve">) of the </w:t>
      </w:r>
      <w:r w:rsidR="004A4644" w:rsidRPr="00EE3C8D">
        <w:rPr>
          <w:rStyle w:val="IntenseReference"/>
          <w:rFonts w:eastAsiaTheme="majorEastAsia"/>
          <w:color w:val="auto"/>
          <w:u w:val="none"/>
        </w:rPr>
        <w:t xml:space="preserve">major </w:t>
      </w:r>
      <w:r w:rsidR="004A4644">
        <w:rPr>
          <w:rStyle w:val="IntenseReference"/>
          <w:rFonts w:eastAsiaTheme="majorEastAsia"/>
          <w:color w:val="auto"/>
          <w:u w:val="none"/>
        </w:rPr>
        <w:t>Reef</w:t>
      </w:r>
      <w:r w:rsidR="004A4644" w:rsidRPr="00EE3C8D">
        <w:rPr>
          <w:rStyle w:val="IntenseReference"/>
          <w:rFonts w:eastAsiaTheme="majorEastAsia"/>
          <w:color w:val="auto"/>
          <w:u w:val="none"/>
        </w:rPr>
        <w:t xml:space="preserve"> </w:t>
      </w:r>
      <w:r w:rsidR="00E158C4">
        <w:rPr>
          <w:rStyle w:val="IntenseReference"/>
          <w:rFonts w:eastAsiaTheme="majorEastAsia"/>
          <w:color w:val="auto"/>
          <w:u w:val="none"/>
        </w:rPr>
        <w:t>c</w:t>
      </w:r>
      <w:r w:rsidR="004A4644" w:rsidRPr="00EE3C8D">
        <w:rPr>
          <w:rStyle w:val="IntenseReference"/>
          <w:rFonts w:eastAsiaTheme="majorEastAsia"/>
          <w:color w:val="auto"/>
          <w:u w:val="none"/>
        </w:rPr>
        <w:t xml:space="preserve">atchment rivers </w:t>
      </w:r>
      <w:r w:rsidR="004A4644">
        <w:rPr>
          <w:rStyle w:val="IntenseReference"/>
          <w:rFonts w:eastAsiaTheme="majorEastAsia"/>
          <w:color w:val="auto"/>
          <w:u w:val="none"/>
        </w:rPr>
        <w:t>adjacent to</w:t>
      </w:r>
      <w:r w:rsidR="004A4644" w:rsidRPr="00EE3C8D">
        <w:rPr>
          <w:rStyle w:val="IntenseReference"/>
          <w:rFonts w:eastAsiaTheme="majorEastAsia"/>
          <w:color w:val="auto"/>
          <w:u w:val="none"/>
        </w:rPr>
        <w:t xml:space="preserve"> </w:t>
      </w:r>
      <w:r w:rsidR="004A4644">
        <w:rPr>
          <w:rStyle w:val="IntenseReference"/>
          <w:rFonts w:eastAsiaTheme="majorEastAsia"/>
          <w:color w:val="auto"/>
          <w:u w:val="none"/>
        </w:rPr>
        <w:t xml:space="preserve">passive </w:t>
      </w:r>
      <w:r w:rsidR="004A4644" w:rsidRPr="00EE3C8D">
        <w:rPr>
          <w:rStyle w:val="IntenseReference"/>
          <w:rFonts w:eastAsiaTheme="majorEastAsia"/>
          <w:color w:val="auto"/>
          <w:u w:val="none"/>
        </w:rPr>
        <w:t>sampling site</w:t>
      </w:r>
      <w:r w:rsidR="004A4644">
        <w:rPr>
          <w:rStyle w:val="IntenseReference"/>
          <w:rFonts w:eastAsiaTheme="majorEastAsia"/>
          <w:color w:val="auto"/>
          <w:u w:val="none"/>
        </w:rPr>
        <w:t>s</w:t>
      </w:r>
      <w:r w:rsidR="004A4644" w:rsidRPr="004A4644">
        <w:rPr>
          <w:b w:val="0"/>
        </w:rPr>
        <w:t xml:space="preserve"> (c.a., November 2015 to April 2016, inclusive)</w:t>
      </w:r>
      <w:r w:rsidR="00AC6342">
        <w:rPr>
          <w:b w:val="0"/>
        </w:rPr>
        <w:t xml:space="preserve"> compared to the </w:t>
      </w:r>
      <w:r w:rsidR="00AC6342">
        <w:rPr>
          <w:rStyle w:val="IntenseReference"/>
          <w:rFonts w:eastAsiaTheme="majorEastAsia"/>
          <w:color w:val="auto"/>
          <w:u w:val="none"/>
        </w:rPr>
        <w:t xml:space="preserve">long term (LT) median discharge (1970 to 2000). </w:t>
      </w:r>
      <w:r w:rsidR="00721CBA" w:rsidRPr="00EE3C8D">
        <w:rPr>
          <w:rStyle w:val="IntenseReference"/>
          <w:rFonts w:eastAsiaTheme="majorEastAsia"/>
          <w:color w:val="auto"/>
          <w:u w:val="none"/>
        </w:rPr>
        <w:t xml:space="preserve">Relative </w:t>
      </w:r>
      <w:r w:rsidR="00721CBA">
        <w:rPr>
          <w:rStyle w:val="IntenseReference"/>
          <w:rFonts w:eastAsiaTheme="majorEastAsia"/>
          <w:color w:val="auto"/>
          <w:u w:val="none"/>
        </w:rPr>
        <w:t>w</w:t>
      </w:r>
      <w:r w:rsidR="00721CBA" w:rsidRPr="00721CBA">
        <w:rPr>
          <w:rStyle w:val="IntenseReference"/>
          <w:rFonts w:eastAsiaTheme="majorEastAsia"/>
          <w:color w:val="auto"/>
          <w:u w:val="none"/>
        </w:rPr>
        <w:t xml:space="preserve">et season discharge </w:t>
      </w:r>
      <w:r w:rsidR="00721CBA" w:rsidRPr="00EE3C8D">
        <w:rPr>
          <w:rStyle w:val="IntenseReference"/>
          <w:rFonts w:eastAsiaTheme="majorEastAsia"/>
          <w:color w:val="auto"/>
          <w:u w:val="none"/>
        </w:rPr>
        <w:t xml:space="preserve">(fraction of long-term median) for the </w:t>
      </w:r>
      <w:r w:rsidR="00AC6342">
        <w:rPr>
          <w:rStyle w:val="IntenseReference"/>
          <w:rFonts w:eastAsiaTheme="majorEastAsia"/>
          <w:color w:val="auto"/>
          <w:u w:val="none"/>
        </w:rPr>
        <w:t>current wet season and previous 5 years are shown</w:t>
      </w:r>
      <w:r w:rsidR="00721CBA">
        <w:rPr>
          <w:rStyle w:val="IntenseReference"/>
          <w:rFonts w:eastAsiaTheme="majorEastAsia"/>
          <w:color w:val="auto"/>
          <w:u w:val="none"/>
        </w:rPr>
        <w:t>.</w:t>
      </w:r>
      <w:bookmarkEnd w:id="412"/>
      <w:r w:rsidR="00721CBA">
        <w:rPr>
          <w:rStyle w:val="IntenseReference"/>
          <w:rFonts w:eastAsiaTheme="majorEastAsia"/>
          <w:color w:val="auto"/>
          <w:u w:val="none"/>
        </w:rPr>
        <w:t xml:space="preserve"> </w:t>
      </w:r>
    </w:p>
    <w:tbl>
      <w:tblPr>
        <w:tblW w:w="15324" w:type="dxa"/>
        <w:tblInd w:w="93" w:type="dxa"/>
        <w:tblLayout w:type="fixed"/>
        <w:tblLook w:val="04A0" w:firstRow="1" w:lastRow="0" w:firstColumn="1" w:lastColumn="0" w:noHBand="0" w:noVBand="1"/>
      </w:tblPr>
      <w:tblGrid>
        <w:gridCol w:w="2040"/>
        <w:gridCol w:w="1695"/>
        <w:gridCol w:w="1984"/>
        <w:gridCol w:w="2177"/>
        <w:gridCol w:w="1238"/>
        <w:gridCol w:w="1238"/>
        <w:gridCol w:w="1238"/>
        <w:gridCol w:w="1238"/>
        <w:gridCol w:w="1238"/>
        <w:gridCol w:w="1238"/>
      </w:tblGrid>
      <w:tr w:rsidR="00AC6342" w:rsidRPr="007758EB" w14:paraId="15720EBB" w14:textId="77777777" w:rsidTr="00777B42">
        <w:trPr>
          <w:trHeight w:val="279"/>
        </w:trPr>
        <w:tc>
          <w:tcPr>
            <w:tcW w:w="2040" w:type="dxa"/>
            <w:vMerge w:val="restart"/>
            <w:tcBorders>
              <w:top w:val="single" w:sz="4" w:space="0" w:color="auto"/>
              <w:left w:val="single" w:sz="4" w:space="0" w:color="auto"/>
              <w:right w:val="nil"/>
            </w:tcBorders>
            <w:shd w:val="clear" w:color="auto" w:fill="F2F2F2" w:themeFill="background1" w:themeFillShade="F2"/>
            <w:noWrap/>
            <w:vAlign w:val="center"/>
            <w:hideMark/>
          </w:tcPr>
          <w:p w14:paraId="15720EB4"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b/>
                <w:bCs/>
                <w:color w:val="000000"/>
                <w:sz w:val="20"/>
                <w:lang w:val="en-AU" w:eastAsia="en-AU" w:bidi="ar-SA"/>
              </w:rPr>
              <w:t>Region</w:t>
            </w:r>
          </w:p>
        </w:tc>
        <w:tc>
          <w:tcPr>
            <w:tcW w:w="1695" w:type="dxa"/>
            <w:vMerge w:val="restart"/>
            <w:tcBorders>
              <w:top w:val="single" w:sz="4" w:space="0" w:color="auto"/>
              <w:left w:val="nil"/>
              <w:right w:val="nil"/>
            </w:tcBorders>
            <w:shd w:val="clear" w:color="auto" w:fill="F2F2F2" w:themeFill="background1" w:themeFillShade="F2"/>
            <w:noWrap/>
            <w:vAlign w:val="center"/>
            <w:hideMark/>
          </w:tcPr>
          <w:p w14:paraId="15720EB5"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b/>
                <w:bCs/>
                <w:color w:val="000000"/>
                <w:sz w:val="20"/>
                <w:lang w:val="en-AU" w:eastAsia="en-AU" w:bidi="ar-SA"/>
              </w:rPr>
              <w:t>Site</w:t>
            </w:r>
          </w:p>
        </w:tc>
        <w:tc>
          <w:tcPr>
            <w:tcW w:w="1984" w:type="dxa"/>
            <w:vMerge w:val="restart"/>
            <w:tcBorders>
              <w:top w:val="single" w:sz="4" w:space="0" w:color="auto"/>
              <w:left w:val="nil"/>
              <w:right w:val="nil"/>
            </w:tcBorders>
            <w:shd w:val="clear" w:color="auto" w:fill="F2F2F2" w:themeFill="background1" w:themeFillShade="F2"/>
            <w:noWrap/>
            <w:vAlign w:val="center"/>
            <w:hideMark/>
          </w:tcPr>
          <w:p w14:paraId="15720EB7" w14:textId="02106BA0" w:rsidR="00AC6342" w:rsidRPr="007758EB" w:rsidRDefault="00F510E5" w:rsidP="007758EB">
            <w:pPr>
              <w:jc w:val="center"/>
              <w:rPr>
                <w:rFonts w:asciiTheme="minorHAnsi" w:eastAsia="Times New Roman" w:hAnsiTheme="minorHAnsi" w:cstheme="minorHAnsi"/>
                <w:b/>
                <w:color w:val="000000"/>
                <w:sz w:val="20"/>
                <w:lang w:val="en-AU" w:eastAsia="en-AU" w:bidi="ar-SA"/>
              </w:rPr>
            </w:pPr>
            <w:r w:rsidRPr="007758EB">
              <w:rPr>
                <w:rFonts w:asciiTheme="minorHAnsi" w:eastAsia="Times New Roman" w:hAnsiTheme="minorHAnsi" w:cstheme="minorHAnsi"/>
                <w:b/>
                <w:color w:val="000000"/>
                <w:sz w:val="20"/>
                <w:lang w:val="en-AU" w:eastAsia="en-AU" w:bidi="ar-SA"/>
              </w:rPr>
              <w:t>2015</w:t>
            </w:r>
            <w:r w:rsidR="00AC6342" w:rsidRPr="007758EB">
              <w:rPr>
                <w:rFonts w:asciiTheme="minorHAnsi" w:eastAsia="Times New Roman" w:hAnsiTheme="minorHAnsi" w:cstheme="minorHAnsi"/>
                <w:b/>
                <w:color w:val="000000"/>
                <w:sz w:val="20"/>
                <w:lang w:val="en-AU" w:eastAsia="en-AU" w:bidi="ar-SA"/>
              </w:rPr>
              <w:t>–16 wet season discharge</w:t>
            </w:r>
            <w:r w:rsidR="007758EB">
              <w:rPr>
                <w:rFonts w:asciiTheme="minorHAnsi" w:eastAsia="Times New Roman" w:hAnsiTheme="minorHAnsi" w:cstheme="minorHAnsi"/>
                <w:b/>
                <w:color w:val="000000"/>
                <w:sz w:val="20"/>
                <w:lang w:val="en-AU" w:eastAsia="en-AU" w:bidi="ar-SA"/>
              </w:rPr>
              <w:t xml:space="preserve"> </w:t>
            </w:r>
            <w:r w:rsidR="00AC6342" w:rsidRPr="007758EB">
              <w:rPr>
                <w:rFonts w:asciiTheme="minorHAnsi" w:eastAsia="Times New Roman" w:hAnsiTheme="minorHAnsi" w:cstheme="minorHAnsi"/>
                <w:b/>
                <w:color w:val="000000"/>
                <w:sz w:val="20"/>
                <w:lang w:val="en-AU" w:eastAsia="en-AU" w:bidi="ar-SA"/>
              </w:rPr>
              <w:t>(ML)</w:t>
            </w:r>
          </w:p>
        </w:tc>
        <w:tc>
          <w:tcPr>
            <w:tcW w:w="2177" w:type="dxa"/>
            <w:vMerge w:val="restart"/>
            <w:tcBorders>
              <w:top w:val="single" w:sz="4" w:space="0" w:color="auto"/>
              <w:left w:val="nil"/>
              <w:right w:val="nil"/>
            </w:tcBorders>
            <w:shd w:val="clear" w:color="auto" w:fill="F2F2F2" w:themeFill="background1" w:themeFillShade="F2"/>
            <w:noWrap/>
            <w:vAlign w:val="center"/>
            <w:hideMark/>
          </w:tcPr>
          <w:p w14:paraId="15720EB9" w14:textId="6C0D943C" w:rsidR="00AC6342" w:rsidRPr="007758EB" w:rsidRDefault="00AC6342" w:rsidP="007758EB">
            <w:pPr>
              <w:jc w:val="center"/>
              <w:rPr>
                <w:rFonts w:asciiTheme="minorHAnsi" w:eastAsia="Times New Roman" w:hAnsiTheme="minorHAnsi" w:cstheme="minorHAnsi"/>
                <w:b/>
                <w:color w:val="000000"/>
                <w:sz w:val="20"/>
                <w:lang w:val="en-AU" w:eastAsia="en-AU" w:bidi="ar-SA"/>
              </w:rPr>
            </w:pPr>
            <w:r w:rsidRPr="007758EB">
              <w:rPr>
                <w:rFonts w:asciiTheme="minorHAnsi" w:eastAsia="Times New Roman" w:hAnsiTheme="minorHAnsi" w:cstheme="minorHAnsi"/>
                <w:b/>
                <w:color w:val="000000"/>
                <w:sz w:val="20"/>
                <w:lang w:val="en-AU" w:eastAsia="en-AU" w:bidi="ar-SA"/>
              </w:rPr>
              <w:t>LT median wet season discharge</w:t>
            </w:r>
            <w:r w:rsidR="007758EB">
              <w:rPr>
                <w:rFonts w:asciiTheme="minorHAnsi" w:eastAsia="Times New Roman" w:hAnsiTheme="minorHAnsi" w:cstheme="minorHAnsi"/>
                <w:b/>
                <w:color w:val="000000"/>
                <w:sz w:val="20"/>
                <w:lang w:val="en-AU" w:eastAsia="en-AU" w:bidi="ar-SA"/>
              </w:rPr>
              <w:t xml:space="preserve"> </w:t>
            </w:r>
            <w:r w:rsidRPr="007758EB">
              <w:rPr>
                <w:rFonts w:asciiTheme="minorHAnsi" w:eastAsia="Times New Roman" w:hAnsiTheme="minorHAnsi" w:cstheme="minorHAnsi"/>
                <w:b/>
                <w:color w:val="000000"/>
                <w:sz w:val="20"/>
                <w:lang w:val="en-AU" w:eastAsia="en-AU" w:bidi="ar-SA"/>
              </w:rPr>
              <w:t>(ML)</w:t>
            </w:r>
          </w:p>
        </w:tc>
        <w:tc>
          <w:tcPr>
            <w:tcW w:w="7428" w:type="dxa"/>
            <w:gridSpan w:val="6"/>
            <w:tcBorders>
              <w:top w:val="single" w:sz="4" w:space="0" w:color="auto"/>
              <w:left w:val="nil"/>
              <w:bottom w:val="single" w:sz="4" w:space="0" w:color="auto"/>
              <w:right w:val="single" w:sz="4" w:space="0" w:color="auto"/>
            </w:tcBorders>
            <w:shd w:val="clear" w:color="auto" w:fill="F2F2F2" w:themeFill="background1" w:themeFillShade="F2"/>
            <w:noWrap/>
            <w:vAlign w:val="center"/>
          </w:tcPr>
          <w:p w14:paraId="15720EBA" w14:textId="77777777" w:rsidR="00AC6342" w:rsidRPr="007758EB" w:rsidRDefault="00E158C4" w:rsidP="00BB6E33">
            <w:pPr>
              <w:jc w:val="center"/>
              <w:rPr>
                <w:rFonts w:asciiTheme="minorHAnsi" w:eastAsia="Times New Roman" w:hAnsiTheme="minorHAnsi" w:cstheme="minorHAnsi"/>
                <w:b/>
                <w:color w:val="000000"/>
                <w:sz w:val="20"/>
                <w:lang w:val="en-AU" w:eastAsia="en-AU" w:bidi="ar-SA"/>
              </w:rPr>
            </w:pPr>
            <w:r w:rsidRPr="007758EB">
              <w:rPr>
                <w:rFonts w:asciiTheme="minorHAnsi" w:eastAsia="Times New Roman" w:hAnsiTheme="minorHAnsi" w:cstheme="minorHAnsi"/>
                <w:b/>
                <w:bCs/>
                <w:color w:val="000000"/>
                <w:sz w:val="20"/>
                <w:lang w:val="en-AU" w:eastAsia="en-AU" w:bidi="ar-SA"/>
              </w:rPr>
              <w:t>Relative wet season discharge (fraction of long-term median)</w:t>
            </w:r>
          </w:p>
        </w:tc>
      </w:tr>
      <w:tr w:rsidR="00AC6342" w:rsidRPr="00016315" w14:paraId="15720EC6" w14:textId="77777777" w:rsidTr="00777B42">
        <w:trPr>
          <w:trHeight w:val="198"/>
        </w:trPr>
        <w:tc>
          <w:tcPr>
            <w:tcW w:w="2040" w:type="dxa"/>
            <w:vMerge/>
            <w:tcBorders>
              <w:left w:val="single" w:sz="4" w:space="0" w:color="auto"/>
              <w:bottom w:val="single" w:sz="4" w:space="0" w:color="auto"/>
              <w:right w:val="nil"/>
            </w:tcBorders>
            <w:shd w:val="clear" w:color="auto" w:fill="F2F2F2" w:themeFill="background1" w:themeFillShade="F2"/>
            <w:noWrap/>
            <w:vAlign w:val="center"/>
          </w:tcPr>
          <w:p w14:paraId="15720EBC" w14:textId="77777777" w:rsidR="00AC6342" w:rsidRPr="00016315" w:rsidRDefault="00AC6342" w:rsidP="00676D26">
            <w:pPr>
              <w:jc w:val="left"/>
              <w:rPr>
                <w:rFonts w:asciiTheme="minorHAnsi" w:eastAsia="Times New Roman" w:hAnsiTheme="minorHAnsi" w:cstheme="minorHAnsi"/>
                <w:b/>
                <w:bCs/>
                <w:color w:val="000000"/>
                <w:lang w:val="en-AU" w:eastAsia="en-AU" w:bidi="ar-SA"/>
              </w:rPr>
            </w:pPr>
          </w:p>
        </w:tc>
        <w:tc>
          <w:tcPr>
            <w:tcW w:w="1695" w:type="dxa"/>
            <w:vMerge/>
            <w:tcBorders>
              <w:left w:val="nil"/>
              <w:bottom w:val="single" w:sz="4" w:space="0" w:color="auto"/>
              <w:right w:val="nil"/>
            </w:tcBorders>
            <w:shd w:val="clear" w:color="auto" w:fill="F2F2F2" w:themeFill="background1" w:themeFillShade="F2"/>
            <w:noWrap/>
            <w:vAlign w:val="center"/>
          </w:tcPr>
          <w:p w14:paraId="15720EBD" w14:textId="77777777" w:rsidR="00AC6342" w:rsidRPr="00016315" w:rsidRDefault="00AC6342" w:rsidP="00676D26">
            <w:pPr>
              <w:jc w:val="left"/>
              <w:rPr>
                <w:rFonts w:asciiTheme="minorHAnsi" w:eastAsia="Times New Roman" w:hAnsiTheme="minorHAnsi" w:cstheme="minorHAnsi"/>
                <w:b/>
                <w:bCs/>
                <w:color w:val="000000"/>
                <w:lang w:val="en-AU" w:eastAsia="en-AU" w:bidi="ar-SA"/>
              </w:rPr>
            </w:pPr>
          </w:p>
        </w:tc>
        <w:tc>
          <w:tcPr>
            <w:tcW w:w="1984" w:type="dxa"/>
            <w:vMerge/>
            <w:tcBorders>
              <w:left w:val="nil"/>
              <w:bottom w:val="single" w:sz="4" w:space="0" w:color="auto"/>
              <w:right w:val="nil"/>
            </w:tcBorders>
            <w:shd w:val="clear" w:color="auto" w:fill="F2F2F2" w:themeFill="background1" w:themeFillShade="F2"/>
            <w:noWrap/>
            <w:vAlign w:val="center"/>
          </w:tcPr>
          <w:p w14:paraId="15720EBE" w14:textId="77777777" w:rsidR="00AC6342" w:rsidRPr="00016315" w:rsidRDefault="00AC6342" w:rsidP="00BB6E33">
            <w:pPr>
              <w:jc w:val="center"/>
              <w:rPr>
                <w:rFonts w:asciiTheme="minorHAnsi" w:eastAsia="Times New Roman" w:hAnsiTheme="minorHAnsi" w:cstheme="minorHAnsi"/>
                <w:b/>
                <w:color w:val="000000"/>
                <w:lang w:val="en-AU" w:eastAsia="en-AU" w:bidi="ar-SA"/>
              </w:rPr>
            </w:pPr>
          </w:p>
        </w:tc>
        <w:tc>
          <w:tcPr>
            <w:tcW w:w="2177" w:type="dxa"/>
            <w:vMerge/>
            <w:tcBorders>
              <w:left w:val="nil"/>
              <w:bottom w:val="single" w:sz="4" w:space="0" w:color="auto"/>
              <w:right w:val="nil"/>
            </w:tcBorders>
            <w:shd w:val="clear" w:color="auto" w:fill="F2F2F2" w:themeFill="background1" w:themeFillShade="F2"/>
            <w:noWrap/>
            <w:vAlign w:val="center"/>
          </w:tcPr>
          <w:p w14:paraId="15720EBF" w14:textId="77777777" w:rsidR="00AC6342" w:rsidRPr="00016315" w:rsidRDefault="00AC6342" w:rsidP="00AC6342">
            <w:pPr>
              <w:jc w:val="center"/>
              <w:rPr>
                <w:rFonts w:asciiTheme="minorHAnsi" w:eastAsia="Times New Roman" w:hAnsiTheme="minorHAnsi" w:cstheme="minorHAnsi"/>
                <w:b/>
                <w:color w:val="000000"/>
                <w:lang w:val="en-AU" w:eastAsia="en-AU" w:bidi="ar-SA"/>
              </w:rPr>
            </w:pPr>
          </w:p>
        </w:tc>
        <w:tc>
          <w:tcPr>
            <w:tcW w:w="1238" w:type="dxa"/>
            <w:tcBorders>
              <w:top w:val="single" w:sz="4" w:space="0" w:color="auto"/>
              <w:left w:val="nil"/>
              <w:bottom w:val="single" w:sz="4" w:space="0" w:color="auto"/>
              <w:right w:val="nil"/>
            </w:tcBorders>
            <w:shd w:val="clear" w:color="auto" w:fill="F2F2F2" w:themeFill="background1" w:themeFillShade="F2"/>
            <w:noWrap/>
            <w:vAlign w:val="center"/>
          </w:tcPr>
          <w:p w14:paraId="15720EC0" w14:textId="77777777" w:rsidR="00AC6342" w:rsidRPr="007758EB" w:rsidRDefault="00AC6342" w:rsidP="00BB6E33">
            <w:pPr>
              <w:jc w:val="center"/>
              <w:rPr>
                <w:rFonts w:asciiTheme="minorHAnsi" w:eastAsia="Times New Roman" w:hAnsiTheme="minorHAnsi" w:cstheme="minorHAnsi"/>
                <w:b/>
                <w:color w:val="000000"/>
                <w:sz w:val="20"/>
                <w:lang w:val="en-AU" w:eastAsia="en-AU" w:bidi="ar-SA"/>
              </w:rPr>
            </w:pPr>
            <w:r w:rsidRPr="007758EB">
              <w:rPr>
                <w:rFonts w:asciiTheme="minorHAnsi" w:eastAsia="Times New Roman" w:hAnsiTheme="minorHAnsi" w:cstheme="minorHAnsi"/>
                <w:b/>
                <w:color w:val="000000"/>
                <w:sz w:val="20"/>
                <w:lang w:val="en-AU" w:eastAsia="en-AU" w:bidi="ar-SA"/>
              </w:rPr>
              <w:t>2010 - 2011</w:t>
            </w:r>
          </w:p>
        </w:tc>
        <w:tc>
          <w:tcPr>
            <w:tcW w:w="1238" w:type="dxa"/>
            <w:tcBorders>
              <w:top w:val="single" w:sz="4" w:space="0" w:color="auto"/>
              <w:left w:val="nil"/>
              <w:bottom w:val="single" w:sz="4" w:space="0" w:color="auto"/>
              <w:right w:val="nil"/>
            </w:tcBorders>
            <w:shd w:val="clear" w:color="auto" w:fill="F2F2F2" w:themeFill="background1" w:themeFillShade="F2"/>
            <w:vAlign w:val="center"/>
          </w:tcPr>
          <w:p w14:paraId="15720EC1" w14:textId="77777777" w:rsidR="00AC6342" w:rsidRPr="007758EB" w:rsidRDefault="00AC6342" w:rsidP="00BB6E33">
            <w:pPr>
              <w:jc w:val="center"/>
              <w:rPr>
                <w:rFonts w:asciiTheme="minorHAnsi" w:eastAsia="Times New Roman" w:hAnsiTheme="minorHAnsi" w:cstheme="minorHAnsi"/>
                <w:b/>
                <w:color w:val="000000"/>
                <w:sz w:val="20"/>
                <w:lang w:val="en-AU" w:eastAsia="en-AU" w:bidi="ar-SA"/>
              </w:rPr>
            </w:pPr>
            <w:r w:rsidRPr="007758EB">
              <w:rPr>
                <w:rFonts w:asciiTheme="minorHAnsi" w:eastAsia="Times New Roman" w:hAnsiTheme="minorHAnsi" w:cstheme="minorHAnsi"/>
                <w:b/>
                <w:color w:val="000000"/>
                <w:sz w:val="20"/>
                <w:lang w:val="en-AU" w:eastAsia="en-AU" w:bidi="ar-SA"/>
              </w:rPr>
              <w:t>2011 - 2012</w:t>
            </w:r>
          </w:p>
        </w:tc>
        <w:tc>
          <w:tcPr>
            <w:tcW w:w="1238" w:type="dxa"/>
            <w:tcBorders>
              <w:top w:val="single" w:sz="4" w:space="0" w:color="auto"/>
              <w:left w:val="nil"/>
              <w:bottom w:val="single" w:sz="4" w:space="0" w:color="auto"/>
              <w:right w:val="nil"/>
            </w:tcBorders>
            <w:shd w:val="clear" w:color="auto" w:fill="F2F2F2" w:themeFill="background1" w:themeFillShade="F2"/>
            <w:vAlign w:val="center"/>
          </w:tcPr>
          <w:p w14:paraId="15720EC2" w14:textId="77777777" w:rsidR="00AC6342" w:rsidRPr="007758EB" w:rsidRDefault="00AC6342" w:rsidP="00BB6E33">
            <w:pPr>
              <w:jc w:val="center"/>
              <w:rPr>
                <w:rFonts w:asciiTheme="minorHAnsi" w:eastAsia="Times New Roman" w:hAnsiTheme="minorHAnsi" w:cstheme="minorHAnsi"/>
                <w:b/>
                <w:color w:val="000000"/>
                <w:sz w:val="20"/>
                <w:lang w:val="en-AU" w:eastAsia="en-AU" w:bidi="ar-SA"/>
              </w:rPr>
            </w:pPr>
            <w:r w:rsidRPr="007758EB">
              <w:rPr>
                <w:rFonts w:asciiTheme="minorHAnsi" w:eastAsia="Times New Roman" w:hAnsiTheme="minorHAnsi" w:cstheme="minorHAnsi"/>
                <w:b/>
                <w:color w:val="000000"/>
                <w:sz w:val="20"/>
                <w:lang w:val="en-AU" w:eastAsia="en-AU" w:bidi="ar-SA"/>
              </w:rPr>
              <w:t>2012 - 2013</w:t>
            </w:r>
          </w:p>
        </w:tc>
        <w:tc>
          <w:tcPr>
            <w:tcW w:w="1238" w:type="dxa"/>
            <w:tcBorders>
              <w:top w:val="single" w:sz="4" w:space="0" w:color="auto"/>
              <w:left w:val="nil"/>
              <w:bottom w:val="single" w:sz="4" w:space="0" w:color="auto"/>
              <w:right w:val="nil"/>
            </w:tcBorders>
            <w:shd w:val="clear" w:color="auto" w:fill="F2F2F2" w:themeFill="background1" w:themeFillShade="F2"/>
            <w:vAlign w:val="center"/>
          </w:tcPr>
          <w:p w14:paraId="15720EC3" w14:textId="77777777" w:rsidR="00AC6342" w:rsidRPr="007758EB" w:rsidRDefault="00AC6342" w:rsidP="00BB6E33">
            <w:pPr>
              <w:jc w:val="center"/>
              <w:rPr>
                <w:rFonts w:asciiTheme="minorHAnsi" w:eastAsia="Times New Roman" w:hAnsiTheme="minorHAnsi" w:cstheme="minorHAnsi"/>
                <w:b/>
                <w:color w:val="000000"/>
                <w:sz w:val="20"/>
                <w:lang w:val="en-AU" w:eastAsia="en-AU" w:bidi="ar-SA"/>
              </w:rPr>
            </w:pPr>
            <w:r w:rsidRPr="007758EB">
              <w:rPr>
                <w:rFonts w:asciiTheme="minorHAnsi" w:eastAsia="Times New Roman" w:hAnsiTheme="minorHAnsi" w:cstheme="minorHAnsi"/>
                <w:b/>
                <w:color w:val="000000"/>
                <w:sz w:val="20"/>
                <w:lang w:val="en-AU" w:eastAsia="en-AU" w:bidi="ar-SA"/>
              </w:rPr>
              <w:t>2013 - 2014</w:t>
            </w:r>
          </w:p>
        </w:tc>
        <w:tc>
          <w:tcPr>
            <w:tcW w:w="1238" w:type="dxa"/>
            <w:tcBorders>
              <w:top w:val="single" w:sz="4" w:space="0" w:color="auto"/>
              <w:left w:val="nil"/>
              <w:bottom w:val="single" w:sz="4" w:space="0" w:color="auto"/>
              <w:right w:val="nil"/>
            </w:tcBorders>
            <w:shd w:val="clear" w:color="auto" w:fill="F2F2F2" w:themeFill="background1" w:themeFillShade="F2"/>
            <w:vAlign w:val="center"/>
          </w:tcPr>
          <w:p w14:paraId="15720EC4" w14:textId="77777777" w:rsidR="00AC6342" w:rsidRPr="007758EB" w:rsidRDefault="00AC6342" w:rsidP="00BB6E33">
            <w:pPr>
              <w:jc w:val="center"/>
              <w:rPr>
                <w:rFonts w:asciiTheme="minorHAnsi" w:eastAsia="Times New Roman" w:hAnsiTheme="minorHAnsi" w:cstheme="minorHAnsi"/>
                <w:b/>
                <w:color w:val="000000"/>
                <w:sz w:val="20"/>
                <w:lang w:val="en-AU" w:eastAsia="en-AU" w:bidi="ar-SA"/>
              </w:rPr>
            </w:pPr>
            <w:r w:rsidRPr="007758EB">
              <w:rPr>
                <w:rFonts w:asciiTheme="minorHAnsi" w:eastAsia="Times New Roman" w:hAnsiTheme="minorHAnsi" w:cstheme="minorHAnsi"/>
                <w:b/>
                <w:color w:val="000000"/>
                <w:sz w:val="20"/>
                <w:lang w:val="en-AU" w:eastAsia="en-AU" w:bidi="ar-SA"/>
              </w:rPr>
              <w:t>2014 - 2015</w:t>
            </w:r>
          </w:p>
        </w:tc>
        <w:tc>
          <w:tcPr>
            <w:tcW w:w="1238" w:type="dxa"/>
            <w:tcBorders>
              <w:top w:val="single" w:sz="4" w:space="0" w:color="auto"/>
              <w:left w:val="nil"/>
              <w:bottom w:val="single" w:sz="4" w:space="0" w:color="auto"/>
              <w:right w:val="single" w:sz="4" w:space="0" w:color="auto"/>
            </w:tcBorders>
            <w:shd w:val="clear" w:color="auto" w:fill="F2F2F2" w:themeFill="background1" w:themeFillShade="F2"/>
            <w:vAlign w:val="center"/>
          </w:tcPr>
          <w:p w14:paraId="15720EC5" w14:textId="77777777" w:rsidR="00AC6342" w:rsidRPr="007758EB" w:rsidRDefault="00AC6342" w:rsidP="00BB6E33">
            <w:pPr>
              <w:jc w:val="center"/>
              <w:rPr>
                <w:rFonts w:asciiTheme="minorHAnsi" w:eastAsia="Times New Roman" w:hAnsiTheme="minorHAnsi" w:cstheme="minorHAnsi"/>
                <w:b/>
                <w:color w:val="000000"/>
                <w:sz w:val="20"/>
                <w:lang w:val="en-AU" w:eastAsia="en-AU" w:bidi="ar-SA"/>
              </w:rPr>
            </w:pPr>
            <w:r w:rsidRPr="007758EB">
              <w:rPr>
                <w:rFonts w:asciiTheme="minorHAnsi" w:eastAsia="Times New Roman" w:hAnsiTheme="minorHAnsi" w:cstheme="minorHAnsi"/>
                <w:b/>
                <w:color w:val="000000"/>
                <w:sz w:val="20"/>
                <w:lang w:val="en-AU" w:eastAsia="en-AU" w:bidi="ar-SA"/>
              </w:rPr>
              <w:t>2015 - 2016</w:t>
            </w:r>
          </w:p>
        </w:tc>
      </w:tr>
      <w:tr w:rsidR="00AC6342" w:rsidRPr="007758EB" w14:paraId="15720ED1" w14:textId="77777777" w:rsidTr="00777B42">
        <w:trPr>
          <w:trHeight w:val="20"/>
        </w:trPr>
        <w:tc>
          <w:tcPr>
            <w:tcW w:w="2040" w:type="dxa"/>
            <w:vMerge w:val="restart"/>
            <w:tcBorders>
              <w:top w:val="single" w:sz="4" w:space="0" w:color="auto"/>
              <w:left w:val="single" w:sz="4" w:space="0" w:color="auto"/>
              <w:bottom w:val="nil"/>
              <w:right w:val="nil"/>
            </w:tcBorders>
            <w:shd w:val="clear" w:color="auto" w:fill="auto"/>
            <w:vAlign w:val="center"/>
            <w:hideMark/>
          </w:tcPr>
          <w:p w14:paraId="15720EC7"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Wet Tropics</w:t>
            </w:r>
          </w:p>
        </w:tc>
        <w:tc>
          <w:tcPr>
            <w:tcW w:w="1695" w:type="dxa"/>
            <w:tcBorders>
              <w:top w:val="single" w:sz="4" w:space="0" w:color="auto"/>
              <w:left w:val="nil"/>
              <w:bottom w:val="nil"/>
              <w:right w:val="nil"/>
            </w:tcBorders>
            <w:shd w:val="clear" w:color="auto" w:fill="auto"/>
            <w:vAlign w:val="center"/>
            <w:hideMark/>
          </w:tcPr>
          <w:p w14:paraId="15720EC8"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eastAsia="en-AU" w:bidi="ar-SA"/>
              </w:rPr>
              <w:t>Mossman</w:t>
            </w:r>
          </w:p>
        </w:tc>
        <w:tc>
          <w:tcPr>
            <w:tcW w:w="1984" w:type="dxa"/>
            <w:tcBorders>
              <w:top w:val="single" w:sz="4" w:space="0" w:color="auto"/>
              <w:left w:val="nil"/>
              <w:bottom w:val="nil"/>
              <w:right w:val="nil"/>
            </w:tcBorders>
            <w:shd w:val="clear" w:color="auto" w:fill="auto"/>
            <w:noWrap/>
            <w:vAlign w:val="center"/>
            <w:hideMark/>
          </w:tcPr>
          <w:p w14:paraId="15720EC9"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1,245,275</w:t>
            </w:r>
          </w:p>
        </w:tc>
        <w:tc>
          <w:tcPr>
            <w:tcW w:w="2177" w:type="dxa"/>
            <w:tcBorders>
              <w:top w:val="single" w:sz="4" w:space="0" w:color="auto"/>
              <w:left w:val="nil"/>
              <w:bottom w:val="nil"/>
              <w:right w:val="nil"/>
            </w:tcBorders>
            <w:shd w:val="clear" w:color="auto" w:fill="auto"/>
            <w:noWrap/>
            <w:vAlign w:val="center"/>
            <w:hideMark/>
          </w:tcPr>
          <w:p w14:paraId="15720ECA"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1,207,012</w:t>
            </w:r>
          </w:p>
        </w:tc>
        <w:tc>
          <w:tcPr>
            <w:tcW w:w="1238" w:type="dxa"/>
            <w:tcBorders>
              <w:top w:val="single" w:sz="4" w:space="0" w:color="auto"/>
              <w:left w:val="nil"/>
              <w:bottom w:val="nil"/>
              <w:right w:val="nil"/>
            </w:tcBorders>
            <w:shd w:val="clear" w:color="000000" w:fill="FFFF00"/>
            <w:noWrap/>
            <w:vAlign w:val="bottom"/>
            <w:hideMark/>
          </w:tcPr>
          <w:p w14:paraId="15720ECB"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1.7</w:t>
            </w:r>
          </w:p>
        </w:tc>
        <w:tc>
          <w:tcPr>
            <w:tcW w:w="1238" w:type="dxa"/>
            <w:tcBorders>
              <w:top w:val="single" w:sz="4" w:space="0" w:color="auto"/>
              <w:left w:val="nil"/>
              <w:bottom w:val="nil"/>
              <w:right w:val="nil"/>
            </w:tcBorders>
            <w:shd w:val="clear" w:color="auto" w:fill="auto"/>
            <w:noWrap/>
            <w:vAlign w:val="bottom"/>
            <w:hideMark/>
          </w:tcPr>
          <w:p w14:paraId="15720ECC"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1.3</w:t>
            </w:r>
          </w:p>
        </w:tc>
        <w:tc>
          <w:tcPr>
            <w:tcW w:w="1238" w:type="dxa"/>
            <w:tcBorders>
              <w:top w:val="single" w:sz="4" w:space="0" w:color="auto"/>
              <w:left w:val="nil"/>
              <w:bottom w:val="nil"/>
              <w:right w:val="nil"/>
            </w:tcBorders>
            <w:shd w:val="clear" w:color="auto" w:fill="auto"/>
            <w:noWrap/>
            <w:vAlign w:val="bottom"/>
            <w:hideMark/>
          </w:tcPr>
          <w:p w14:paraId="15720ECD"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1.0</w:t>
            </w:r>
          </w:p>
        </w:tc>
        <w:tc>
          <w:tcPr>
            <w:tcW w:w="1238" w:type="dxa"/>
            <w:tcBorders>
              <w:top w:val="single" w:sz="4" w:space="0" w:color="auto"/>
              <w:left w:val="nil"/>
              <w:bottom w:val="nil"/>
              <w:right w:val="nil"/>
            </w:tcBorders>
            <w:shd w:val="clear" w:color="000000" w:fill="FFFF00"/>
            <w:noWrap/>
            <w:vAlign w:val="bottom"/>
            <w:hideMark/>
          </w:tcPr>
          <w:p w14:paraId="15720ECE"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1.6</w:t>
            </w:r>
          </w:p>
        </w:tc>
        <w:tc>
          <w:tcPr>
            <w:tcW w:w="1238" w:type="dxa"/>
            <w:tcBorders>
              <w:top w:val="single" w:sz="4" w:space="0" w:color="auto"/>
              <w:left w:val="nil"/>
              <w:bottom w:val="nil"/>
              <w:right w:val="nil"/>
            </w:tcBorders>
            <w:shd w:val="clear" w:color="auto" w:fill="auto"/>
            <w:noWrap/>
            <w:vAlign w:val="bottom"/>
            <w:hideMark/>
          </w:tcPr>
          <w:p w14:paraId="15720ECF"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0.7</w:t>
            </w:r>
          </w:p>
        </w:tc>
        <w:tc>
          <w:tcPr>
            <w:tcW w:w="1238" w:type="dxa"/>
            <w:tcBorders>
              <w:top w:val="single" w:sz="4" w:space="0" w:color="auto"/>
              <w:left w:val="nil"/>
              <w:bottom w:val="nil"/>
              <w:right w:val="single" w:sz="4" w:space="0" w:color="auto"/>
            </w:tcBorders>
            <w:shd w:val="clear" w:color="auto" w:fill="auto"/>
            <w:noWrap/>
            <w:vAlign w:val="bottom"/>
            <w:hideMark/>
          </w:tcPr>
          <w:p w14:paraId="15720ED0"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1.0</w:t>
            </w:r>
          </w:p>
        </w:tc>
      </w:tr>
      <w:tr w:rsidR="00AC6342" w:rsidRPr="007758EB" w14:paraId="15720EDC" w14:textId="77777777" w:rsidTr="00777B42">
        <w:trPr>
          <w:trHeight w:val="20"/>
        </w:trPr>
        <w:tc>
          <w:tcPr>
            <w:tcW w:w="2040" w:type="dxa"/>
            <w:vMerge/>
            <w:tcBorders>
              <w:top w:val="nil"/>
              <w:left w:val="single" w:sz="4" w:space="0" w:color="auto"/>
              <w:bottom w:val="nil"/>
              <w:right w:val="nil"/>
            </w:tcBorders>
            <w:vAlign w:val="center"/>
            <w:hideMark/>
          </w:tcPr>
          <w:p w14:paraId="15720ED2"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p>
        </w:tc>
        <w:tc>
          <w:tcPr>
            <w:tcW w:w="1695" w:type="dxa"/>
            <w:tcBorders>
              <w:top w:val="nil"/>
              <w:left w:val="nil"/>
              <w:bottom w:val="nil"/>
              <w:right w:val="nil"/>
            </w:tcBorders>
            <w:shd w:val="clear" w:color="auto" w:fill="auto"/>
            <w:vAlign w:val="center"/>
            <w:hideMark/>
          </w:tcPr>
          <w:p w14:paraId="15720ED3"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eastAsia="en-AU" w:bidi="ar-SA"/>
              </w:rPr>
              <w:t>Mulgrave-Russell</w:t>
            </w:r>
          </w:p>
        </w:tc>
        <w:tc>
          <w:tcPr>
            <w:tcW w:w="1984" w:type="dxa"/>
            <w:tcBorders>
              <w:top w:val="nil"/>
              <w:left w:val="nil"/>
              <w:bottom w:val="nil"/>
              <w:right w:val="nil"/>
            </w:tcBorders>
            <w:shd w:val="clear" w:color="auto" w:fill="auto"/>
            <w:noWrap/>
            <w:vAlign w:val="center"/>
            <w:hideMark/>
          </w:tcPr>
          <w:p w14:paraId="15720ED4"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3,253,825</w:t>
            </w:r>
          </w:p>
        </w:tc>
        <w:tc>
          <w:tcPr>
            <w:tcW w:w="2177" w:type="dxa"/>
            <w:tcBorders>
              <w:top w:val="nil"/>
              <w:left w:val="nil"/>
              <w:bottom w:val="nil"/>
              <w:right w:val="nil"/>
            </w:tcBorders>
            <w:shd w:val="clear" w:color="auto" w:fill="auto"/>
            <w:noWrap/>
            <w:vAlign w:val="center"/>
            <w:hideMark/>
          </w:tcPr>
          <w:p w14:paraId="15720ED5"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4,457,940</w:t>
            </w:r>
          </w:p>
        </w:tc>
        <w:tc>
          <w:tcPr>
            <w:tcW w:w="1238" w:type="dxa"/>
            <w:tcBorders>
              <w:top w:val="nil"/>
              <w:left w:val="nil"/>
              <w:bottom w:val="nil"/>
              <w:right w:val="nil"/>
            </w:tcBorders>
            <w:shd w:val="clear" w:color="000000" w:fill="FFFF00"/>
            <w:noWrap/>
            <w:vAlign w:val="bottom"/>
            <w:hideMark/>
          </w:tcPr>
          <w:p w14:paraId="15720ED6"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1.8</w:t>
            </w:r>
          </w:p>
        </w:tc>
        <w:tc>
          <w:tcPr>
            <w:tcW w:w="1238" w:type="dxa"/>
            <w:tcBorders>
              <w:top w:val="nil"/>
              <w:left w:val="nil"/>
              <w:bottom w:val="nil"/>
              <w:right w:val="nil"/>
            </w:tcBorders>
            <w:shd w:val="clear" w:color="auto" w:fill="auto"/>
            <w:noWrap/>
            <w:vAlign w:val="bottom"/>
            <w:hideMark/>
          </w:tcPr>
          <w:p w14:paraId="15720ED7"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1.3</w:t>
            </w:r>
          </w:p>
        </w:tc>
        <w:tc>
          <w:tcPr>
            <w:tcW w:w="1238" w:type="dxa"/>
            <w:tcBorders>
              <w:top w:val="nil"/>
              <w:left w:val="nil"/>
              <w:bottom w:val="nil"/>
              <w:right w:val="nil"/>
            </w:tcBorders>
            <w:shd w:val="clear" w:color="auto" w:fill="auto"/>
            <w:noWrap/>
            <w:vAlign w:val="bottom"/>
            <w:hideMark/>
          </w:tcPr>
          <w:p w14:paraId="15720ED8"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0.8</w:t>
            </w:r>
          </w:p>
        </w:tc>
        <w:tc>
          <w:tcPr>
            <w:tcW w:w="1238" w:type="dxa"/>
            <w:tcBorders>
              <w:top w:val="nil"/>
              <w:left w:val="nil"/>
              <w:bottom w:val="nil"/>
              <w:right w:val="nil"/>
            </w:tcBorders>
            <w:shd w:val="clear" w:color="auto" w:fill="auto"/>
            <w:noWrap/>
            <w:vAlign w:val="bottom"/>
            <w:hideMark/>
          </w:tcPr>
          <w:p w14:paraId="15720ED9"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1.2</w:t>
            </w:r>
          </w:p>
        </w:tc>
        <w:tc>
          <w:tcPr>
            <w:tcW w:w="1238" w:type="dxa"/>
            <w:tcBorders>
              <w:top w:val="nil"/>
              <w:left w:val="nil"/>
              <w:bottom w:val="nil"/>
              <w:right w:val="nil"/>
            </w:tcBorders>
            <w:shd w:val="clear" w:color="auto" w:fill="auto"/>
            <w:noWrap/>
            <w:vAlign w:val="bottom"/>
            <w:hideMark/>
          </w:tcPr>
          <w:p w14:paraId="15720EDA"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0.7</w:t>
            </w:r>
          </w:p>
        </w:tc>
        <w:tc>
          <w:tcPr>
            <w:tcW w:w="1238" w:type="dxa"/>
            <w:tcBorders>
              <w:top w:val="nil"/>
              <w:left w:val="nil"/>
              <w:bottom w:val="nil"/>
              <w:right w:val="single" w:sz="4" w:space="0" w:color="auto"/>
            </w:tcBorders>
            <w:shd w:val="clear" w:color="auto" w:fill="auto"/>
            <w:noWrap/>
            <w:vAlign w:val="bottom"/>
            <w:hideMark/>
          </w:tcPr>
          <w:p w14:paraId="15720EDB"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0.7</w:t>
            </w:r>
          </w:p>
        </w:tc>
      </w:tr>
      <w:tr w:rsidR="00AC6342" w:rsidRPr="007758EB" w14:paraId="15720EE7" w14:textId="77777777" w:rsidTr="00777B42">
        <w:trPr>
          <w:trHeight w:val="20"/>
        </w:trPr>
        <w:tc>
          <w:tcPr>
            <w:tcW w:w="2040" w:type="dxa"/>
            <w:vMerge/>
            <w:tcBorders>
              <w:top w:val="nil"/>
              <w:left w:val="single" w:sz="4" w:space="0" w:color="auto"/>
              <w:bottom w:val="nil"/>
              <w:right w:val="nil"/>
            </w:tcBorders>
            <w:vAlign w:val="center"/>
            <w:hideMark/>
          </w:tcPr>
          <w:p w14:paraId="15720EDD"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p>
        </w:tc>
        <w:tc>
          <w:tcPr>
            <w:tcW w:w="1695" w:type="dxa"/>
            <w:tcBorders>
              <w:top w:val="nil"/>
              <w:left w:val="nil"/>
              <w:right w:val="nil"/>
            </w:tcBorders>
            <w:shd w:val="clear" w:color="auto" w:fill="auto"/>
            <w:vAlign w:val="center"/>
            <w:hideMark/>
          </w:tcPr>
          <w:p w14:paraId="15720EDE"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eastAsia="en-AU" w:bidi="ar-SA"/>
              </w:rPr>
              <w:t>Tully</w:t>
            </w:r>
          </w:p>
        </w:tc>
        <w:tc>
          <w:tcPr>
            <w:tcW w:w="1984" w:type="dxa"/>
            <w:tcBorders>
              <w:top w:val="nil"/>
              <w:left w:val="nil"/>
              <w:right w:val="nil"/>
            </w:tcBorders>
            <w:shd w:val="clear" w:color="auto" w:fill="auto"/>
            <w:noWrap/>
            <w:vAlign w:val="center"/>
            <w:hideMark/>
          </w:tcPr>
          <w:p w14:paraId="15720EDF"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2,942,770</w:t>
            </w:r>
          </w:p>
        </w:tc>
        <w:tc>
          <w:tcPr>
            <w:tcW w:w="2177" w:type="dxa"/>
            <w:tcBorders>
              <w:top w:val="nil"/>
              <w:left w:val="nil"/>
              <w:right w:val="nil"/>
            </w:tcBorders>
            <w:shd w:val="clear" w:color="auto" w:fill="auto"/>
            <w:noWrap/>
            <w:vAlign w:val="center"/>
            <w:hideMark/>
          </w:tcPr>
          <w:p w14:paraId="15720EE0"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3,536,054</w:t>
            </w:r>
          </w:p>
        </w:tc>
        <w:tc>
          <w:tcPr>
            <w:tcW w:w="1238" w:type="dxa"/>
            <w:tcBorders>
              <w:top w:val="nil"/>
              <w:left w:val="nil"/>
              <w:right w:val="nil"/>
            </w:tcBorders>
            <w:shd w:val="clear" w:color="auto" w:fill="F79646" w:themeFill="accent6"/>
            <w:noWrap/>
            <w:vAlign w:val="bottom"/>
            <w:hideMark/>
          </w:tcPr>
          <w:p w14:paraId="15720EE1"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2.1</w:t>
            </w:r>
          </w:p>
        </w:tc>
        <w:tc>
          <w:tcPr>
            <w:tcW w:w="1238" w:type="dxa"/>
            <w:tcBorders>
              <w:top w:val="nil"/>
              <w:left w:val="nil"/>
              <w:right w:val="nil"/>
            </w:tcBorders>
            <w:shd w:val="clear" w:color="auto" w:fill="auto"/>
            <w:noWrap/>
            <w:vAlign w:val="bottom"/>
            <w:hideMark/>
          </w:tcPr>
          <w:p w14:paraId="15720EE2"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1.0</w:t>
            </w:r>
          </w:p>
        </w:tc>
        <w:tc>
          <w:tcPr>
            <w:tcW w:w="1238" w:type="dxa"/>
            <w:tcBorders>
              <w:top w:val="nil"/>
              <w:left w:val="nil"/>
              <w:right w:val="nil"/>
            </w:tcBorders>
            <w:shd w:val="clear" w:color="auto" w:fill="auto"/>
            <w:noWrap/>
            <w:vAlign w:val="bottom"/>
            <w:hideMark/>
          </w:tcPr>
          <w:p w14:paraId="15720EE3"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0.9</w:t>
            </w:r>
          </w:p>
        </w:tc>
        <w:tc>
          <w:tcPr>
            <w:tcW w:w="1238" w:type="dxa"/>
            <w:tcBorders>
              <w:top w:val="nil"/>
              <w:left w:val="nil"/>
              <w:right w:val="nil"/>
            </w:tcBorders>
            <w:shd w:val="clear" w:color="auto" w:fill="auto"/>
            <w:noWrap/>
            <w:vAlign w:val="bottom"/>
            <w:hideMark/>
          </w:tcPr>
          <w:p w14:paraId="15720EE4"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1.2</w:t>
            </w:r>
          </w:p>
        </w:tc>
        <w:tc>
          <w:tcPr>
            <w:tcW w:w="1238" w:type="dxa"/>
            <w:tcBorders>
              <w:top w:val="nil"/>
              <w:left w:val="nil"/>
              <w:right w:val="nil"/>
            </w:tcBorders>
            <w:shd w:val="clear" w:color="auto" w:fill="auto"/>
            <w:noWrap/>
            <w:vAlign w:val="bottom"/>
            <w:hideMark/>
          </w:tcPr>
          <w:p w14:paraId="15720EE5"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0.8</w:t>
            </w:r>
          </w:p>
        </w:tc>
        <w:tc>
          <w:tcPr>
            <w:tcW w:w="1238" w:type="dxa"/>
            <w:tcBorders>
              <w:top w:val="nil"/>
              <w:left w:val="nil"/>
              <w:right w:val="single" w:sz="4" w:space="0" w:color="auto"/>
            </w:tcBorders>
            <w:shd w:val="clear" w:color="auto" w:fill="auto"/>
            <w:noWrap/>
            <w:vAlign w:val="bottom"/>
            <w:hideMark/>
          </w:tcPr>
          <w:p w14:paraId="15720EE6"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0.8</w:t>
            </w:r>
          </w:p>
        </w:tc>
      </w:tr>
      <w:tr w:rsidR="00AC6342" w:rsidRPr="007758EB" w14:paraId="15720EF2" w14:textId="77777777" w:rsidTr="00777B42">
        <w:trPr>
          <w:trHeight w:val="20"/>
        </w:trPr>
        <w:tc>
          <w:tcPr>
            <w:tcW w:w="2040" w:type="dxa"/>
            <w:vMerge/>
            <w:tcBorders>
              <w:top w:val="nil"/>
              <w:left w:val="single" w:sz="4" w:space="0" w:color="auto"/>
              <w:bottom w:val="single" w:sz="4" w:space="0" w:color="auto"/>
              <w:right w:val="nil"/>
            </w:tcBorders>
            <w:vAlign w:val="center"/>
            <w:hideMark/>
          </w:tcPr>
          <w:p w14:paraId="15720EE8"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p>
        </w:tc>
        <w:tc>
          <w:tcPr>
            <w:tcW w:w="1695" w:type="dxa"/>
            <w:tcBorders>
              <w:top w:val="nil"/>
              <w:left w:val="nil"/>
              <w:bottom w:val="single" w:sz="4" w:space="0" w:color="auto"/>
              <w:right w:val="nil"/>
            </w:tcBorders>
            <w:shd w:val="clear" w:color="auto" w:fill="auto"/>
            <w:vAlign w:val="center"/>
            <w:hideMark/>
          </w:tcPr>
          <w:p w14:paraId="15720EE9"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Herbert</w:t>
            </w:r>
          </w:p>
        </w:tc>
        <w:tc>
          <w:tcPr>
            <w:tcW w:w="1984" w:type="dxa"/>
            <w:tcBorders>
              <w:top w:val="nil"/>
              <w:left w:val="nil"/>
              <w:bottom w:val="single" w:sz="4" w:space="0" w:color="auto"/>
              <w:right w:val="nil"/>
            </w:tcBorders>
            <w:shd w:val="clear" w:color="auto" w:fill="auto"/>
            <w:noWrap/>
            <w:vAlign w:val="center"/>
            <w:hideMark/>
          </w:tcPr>
          <w:p w14:paraId="15720EEA"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1,895,526</w:t>
            </w:r>
          </w:p>
        </w:tc>
        <w:tc>
          <w:tcPr>
            <w:tcW w:w="2177" w:type="dxa"/>
            <w:tcBorders>
              <w:top w:val="nil"/>
              <w:left w:val="nil"/>
              <w:bottom w:val="single" w:sz="4" w:space="0" w:color="auto"/>
              <w:right w:val="nil"/>
            </w:tcBorders>
            <w:shd w:val="clear" w:color="auto" w:fill="auto"/>
            <w:noWrap/>
            <w:vAlign w:val="center"/>
            <w:hideMark/>
          </w:tcPr>
          <w:p w14:paraId="15720EEB"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3,556,376</w:t>
            </w:r>
          </w:p>
        </w:tc>
        <w:tc>
          <w:tcPr>
            <w:tcW w:w="1238" w:type="dxa"/>
            <w:tcBorders>
              <w:top w:val="nil"/>
              <w:left w:val="nil"/>
              <w:bottom w:val="single" w:sz="4" w:space="0" w:color="auto"/>
              <w:right w:val="nil"/>
            </w:tcBorders>
            <w:shd w:val="clear" w:color="000000" w:fill="FF0000"/>
            <w:noWrap/>
            <w:vAlign w:val="bottom"/>
            <w:hideMark/>
          </w:tcPr>
          <w:p w14:paraId="15720EEC"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3.5</w:t>
            </w:r>
          </w:p>
        </w:tc>
        <w:tc>
          <w:tcPr>
            <w:tcW w:w="1238" w:type="dxa"/>
            <w:tcBorders>
              <w:top w:val="nil"/>
              <w:left w:val="nil"/>
              <w:bottom w:val="single" w:sz="4" w:space="0" w:color="auto"/>
              <w:right w:val="nil"/>
            </w:tcBorders>
            <w:shd w:val="clear" w:color="auto" w:fill="auto"/>
            <w:noWrap/>
            <w:vAlign w:val="bottom"/>
            <w:hideMark/>
          </w:tcPr>
          <w:p w14:paraId="15720EED"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1.3</w:t>
            </w:r>
          </w:p>
        </w:tc>
        <w:tc>
          <w:tcPr>
            <w:tcW w:w="1238" w:type="dxa"/>
            <w:tcBorders>
              <w:top w:val="nil"/>
              <w:left w:val="nil"/>
              <w:bottom w:val="single" w:sz="4" w:space="0" w:color="auto"/>
              <w:right w:val="nil"/>
            </w:tcBorders>
            <w:shd w:val="clear" w:color="auto" w:fill="auto"/>
            <w:noWrap/>
            <w:vAlign w:val="bottom"/>
            <w:hideMark/>
          </w:tcPr>
          <w:p w14:paraId="15720EEE"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0.9</w:t>
            </w:r>
          </w:p>
        </w:tc>
        <w:tc>
          <w:tcPr>
            <w:tcW w:w="1238" w:type="dxa"/>
            <w:tcBorders>
              <w:top w:val="nil"/>
              <w:left w:val="nil"/>
              <w:bottom w:val="single" w:sz="4" w:space="0" w:color="auto"/>
              <w:right w:val="nil"/>
            </w:tcBorders>
            <w:shd w:val="clear" w:color="auto" w:fill="auto"/>
            <w:noWrap/>
            <w:vAlign w:val="bottom"/>
            <w:hideMark/>
          </w:tcPr>
          <w:p w14:paraId="15720EEF"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1.2</w:t>
            </w:r>
          </w:p>
        </w:tc>
        <w:tc>
          <w:tcPr>
            <w:tcW w:w="1238" w:type="dxa"/>
            <w:tcBorders>
              <w:top w:val="nil"/>
              <w:left w:val="nil"/>
              <w:bottom w:val="single" w:sz="4" w:space="0" w:color="auto"/>
              <w:right w:val="nil"/>
            </w:tcBorders>
            <w:shd w:val="clear" w:color="auto" w:fill="auto"/>
            <w:noWrap/>
            <w:vAlign w:val="bottom"/>
            <w:hideMark/>
          </w:tcPr>
          <w:p w14:paraId="15720EF0"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0.3</w:t>
            </w:r>
          </w:p>
        </w:tc>
        <w:tc>
          <w:tcPr>
            <w:tcW w:w="1238" w:type="dxa"/>
            <w:tcBorders>
              <w:top w:val="nil"/>
              <w:left w:val="nil"/>
              <w:bottom w:val="single" w:sz="4" w:space="0" w:color="auto"/>
              <w:right w:val="single" w:sz="4" w:space="0" w:color="auto"/>
            </w:tcBorders>
            <w:shd w:val="clear" w:color="auto" w:fill="auto"/>
            <w:noWrap/>
            <w:vAlign w:val="bottom"/>
            <w:hideMark/>
          </w:tcPr>
          <w:p w14:paraId="15720EF1"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0.5</w:t>
            </w:r>
          </w:p>
        </w:tc>
      </w:tr>
      <w:tr w:rsidR="00AC6342" w:rsidRPr="007758EB" w14:paraId="15720EFD" w14:textId="77777777" w:rsidTr="00777B42">
        <w:trPr>
          <w:trHeight w:val="20"/>
        </w:trPr>
        <w:tc>
          <w:tcPr>
            <w:tcW w:w="2040" w:type="dxa"/>
            <w:tcBorders>
              <w:top w:val="single" w:sz="4" w:space="0" w:color="auto"/>
              <w:left w:val="single" w:sz="4" w:space="0" w:color="auto"/>
              <w:bottom w:val="single" w:sz="4" w:space="0" w:color="auto"/>
              <w:right w:val="nil"/>
            </w:tcBorders>
            <w:shd w:val="clear" w:color="auto" w:fill="auto"/>
            <w:vAlign w:val="center"/>
            <w:hideMark/>
          </w:tcPr>
          <w:p w14:paraId="15720EF3"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Burdekin</w:t>
            </w:r>
          </w:p>
        </w:tc>
        <w:tc>
          <w:tcPr>
            <w:tcW w:w="1695" w:type="dxa"/>
            <w:tcBorders>
              <w:top w:val="single" w:sz="4" w:space="0" w:color="auto"/>
              <w:left w:val="nil"/>
              <w:bottom w:val="single" w:sz="4" w:space="0" w:color="auto"/>
              <w:right w:val="nil"/>
            </w:tcBorders>
            <w:shd w:val="clear" w:color="auto" w:fill="auto"/>
            <w:vAlign w:val="center"/>
            <w:hideMark/>
          </w:tcPr>
          <w:p w14:paraId="15720EF4"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Burdekin</w:t>
            </w:r>
          </w:p>
        </w:tc>
        <w:tc>
          <w:tcPr>
            <w:tcW w:w="1984" w:type="dxa"/>
            <w:tcBorders>
              <w:top w:val="single" w:sz="4" w:space="0" w:color="auto"/>
              <w:left w:val="nil"/>
              <w:bottom w:val="single" w:sz="4" w:space="0" w:color="auto"/>
              <w:right w:val="nil"/>
            </w:tcBorders>
            <w:shd w:val="clear" w:color="auto" w:fill="auto"/>
            <w:noWrap/>
            <w:vAlign w:val="center"/>
            <w:hideMark/>
          </w:tcPr>
          <w:p w14:paraId="15720EF5"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1,807,104</w:t>
            </w:r>
          </w:p>
        </w:tc>
        <w:tc>
          <w:tcPr>
            <w:tcW w:w="2177" w:type="dxa"/>
            <w:tcBorders>
              <w:top w:val="single" w:sz="4" w:space="0" w:color="auto"/>
              <w:left w:val="nil"/>
              <w:bottom w:val="single" w:sz="4" w:space="0" w:color="auto"/>
              <w:right w:val="nil"/>
            </w:tcBorders>
            <w:shd w:val="clear" w:color="auto" w:fill="auto"/>
            <w:noWrap/>
            <w:vAlign w:val="center"/>
            <w:hideMark/>
          </w:tcPr>
          <w:p w14:paraId="15720EF6"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4,406,780</w:t>
            </w:r>
          </w:p>
        </w:tc>
        <w:tc>
          <w:tcPr>
            <w:tcW w:w="1238" w:type="dxa"/>
            <w:tcBorders>
              <w:top w:val="single" w:sz="4" w:space="0" w:color="auto"/>
              <w:left w:val="nil"/>
              <w:bottom w:val="single" w:sz="4" w:space="0" w:color="auto"/>
              <w:right w:val="nil"/>
            </w:tcBorders>
            <w:shd w:val="clear" w:color="000000" w:fill="FF0000"/>
            <w:noWrap/>
            <w:vAlign w:val="bottom"/>
            <w:hideMark/>
          </w:tcPr>
          <w:p w14:paraId="15720EF7"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7.9</w:t>
            </w:r>
          </w:p>
        </w:tc>
        <w:tc>
          <w:tcPr>
            <w:tcW w:w="1238" w:type="dxa"/>
            <w:tcBorders>
              <w:top w:val="single" w:sz="4" w:space="0" w:color="auto"/>
              <w:left w:val="nil"/>
              <w:bottom w:val="single" w:sz="4" w:space="0" w:color="auto"/>
              <w:right w:val="nil"/>
            </w:tcBorders>
            <w:shd w:val="clear" w:color="000000" w:fill="FF0000"/>
            <w:noWrap/>
            <w:vAlign w:val="bottom"/>
            <w:hideMark/>
          </w:tcPr>
          <w:p w14:paraId="15720EF8"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3.5</w:t>
            </w:r>
          </w:p>
        </w:tc>
        <w:tc>
          <w:tcPr>
            <w:tcW w:w="1238" w:type="dxa"/>
            <w:tcBorders>
              <w:top w:val="single" w:sz="4" w:space="0" w:color="auto"/>
              <w:left w:val="nil"/>
              <w:bottom w:val="single" w:sz="4" w:space="0" w:color="auto"/>
              <w:right w:val="nil"/>
            </w:tcBorders>
            <w:shd w:val="clear" w:color="auto" w:fill="auto"/>
            <w:noWrap/>
            <w:vAlign w:val="bottom"/>
            <w:hideMark/>
          </w:tcPr>
          <w:p w14:paraId="15720EF9"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0.8</w:t>
            </w:r>
          </w:p>
        </w:tc>
        <w:tc>
          <w:tcPr>
            <w:tcW w:w="1238" w:type="dxa"/>
            <w:tcBorders>
              <w:top w:val="single" w:sz="4" w:space="0" w:color="auto"/>
              <w:left w:val="nil"/>
              <w:bottom w:val="single" w:sz="4" w:space="0" w:color="auto"/>
              <w:right w:val="nil"/>
            </w:tcBorders>
            <w:shd w:val="clear" w:color="auto" w:fill="auto"/>
            <w:noWrap/>
            <w:vAlign w:val="bottom"/>
            <w:hideMark/>
          </w:tcPr>
          <w:p w14:paraId="15720EFA"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0.3</w:t>
            </w:r>
          </w:p>
        </w:tc>
        <w:tc>
          <w:tcPr>
            <w:tcW w:w="1238" w:type="dxa"/>
            <w:tcBorders>
              <w:top w:val="single" w:sz="4" w:space="0" w:color="auto"/>
              <w:left w:val="nil"/>
              <w:bottom w:val="single" w:sz="4" w:space="0" w:color="auto"/>
              <w:right w:val="nil"/>
            </w:tcBorders>
            <w:shd w:val="clear" w:color="auto" w:fill="auto"/>
            <w:noWrap/>
            <w:vAlign w:val="bottom"/>
            <w:hideMark/>
          </w:tcPr>
          <w:p w14:paraId="15720EFB"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0.2</w:t>
            </w:r>
          </w:p>
        </w:tc>
        <w:tc>
          <w:tcPr>
            <w:tcW w:w="1238" w:type="dxa"/>
            <w:tcBorders>
              <w:top w:val="single" w:sz="4" w:space="0" w:color="auto"/>
              <w:left w:val="nil"/>
              <w:bottom w:val="single" w:sz="4" w:space="0" w:color="auto"/>
              <w:right w:val="single" w:sz="4" w:space="0" w:color="auto"/>
            </w:tcBorders>
            <w:shd w:val="clear" w:color="auto" w:fill="auto"/>
            <w:noWrap/>
            <w:vAlign w:val="bottom"/>
            <w:hideMark/>
          </w:tcPr>
          <w:p w14:paraId="15720EFC"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0.4</w:t>
            </w:r>
          </w:p>
        </w:tc>
      </w:tr>
      <w:tr w:rsidR="00AC6342" w:rsidRPr="007758EB" w14:paraId="15720F08" w14:textId="77777777" w:rsidTr="00777B42">
        <w:trPr>
          <w:trHeight w:val="20"/>
        </w:trPr>
        <w:tc>
          <w:tcPr>
            <w:tcW w:w="2040" w:type="dxa"/>
            <w:vMerge w:val="restart"/>
            <w:tcBorders>
              <w:top w:val="single" w:sz="4" w:space="0" w:color="auto"/>
              <w:left w:val="single" w:sz="4" w:space="0" w:color="auto"/>
              <w:bottom w:val="nil"/>
              <w:right w:val="nil"/>
            </w:tcBorders>
            <w:shd w:val="clear" w:color="auto" w:fill="auto"/>
            <w:vAlign w:val="center"/>
            <w:hideMark/>
          </w:tcPr>
          <w:p w14:paraId="15720EFE" w14:textId="77777777" w:rsidR="00AC6342" w:rsidRPr="007758EB" w:rsidRDefault="00AC6342" w:rsidP="00E836A0">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Mackay Whitsunday</w:t>
            </w:r>
          </w:p>
        </w:tc>
        <w:tc>
          <w:tcPr>
            <w:tcW w:w="1695" w:type="dxa"/>
            <w:tcBorders>
              <w:top w:val="single" w:sz="4" w:space="0" w:color="auto"/>
              <w:left w:val="nil"/>
              <w:bottom w:val="nil"/>
              <w:right w:val="nil"/>
            </w:tcBorders>
            <w:shd w:val="clear" w:color="auto" w:fill="auto"/>
            <w:vAlign w:val="center"/>
            <w:hideMark/>
          </w:tcPr>
          <w:p w14:paraId="15720EFF" w14:textId="77777777" w:rsidR="00AC6342" w:rsidRPr="007758EB" w:rsidRDefault="009D528F"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Proserpine</w:t>
            </w:r>
          </w:p>
        </w:tc>
        <w:tc>
          <w:tcPr>
            <w:tcW w:w="1984" w:type="dxa"/>
            <w:tcBorders>
              <w:top w:val="single" w:sz="4" w:space="0" w:color="auto"/>
              <w:left w:val="nil"/>
              <w:bottom w:val="nil"/>
              <w:right w:val="nil"/>
            </w:tcBorders>
            <w:shd w:val="clear" w:color="auto" w:fill="auto"/>
            <w:noWrap/>
            <w:vAlign w:val="center"/>
            <w:hideMark/>
          </w:tcPr>
          <w:p w14:paraId="15720F00"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316,648</w:t>
            </w:r>
          </w:p>
        </w:tc>
        <w:tc>
          <w:tcPr>
            <w:tcW w:w="2177" w:type="dxa"/>
            <w:tcBorders>
              <w:top w:val="single" w:sz="4" w:space="0" w:color="auto"/>
              <w:left w:val="nil"/>
              <w:bottom w:val="nil"/>
              <w:right w:val="nil"/>
            </w:tcBorders>
            <w:shd w:val="clear" w:color="auto" w:fill="auto"/>
            <w:noWrap/>
            <w:vAlign w:val="center"/>
            <w:hideMark/>
          </w:tcPr>
          <w:p w14:paraId="15720F01"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887,771</w:t>
            </w:r>
          </w:p>
        </w:tc>
        <w:tc>
          <w:tcPr>
            <w:tcW w:w="1238" w:type="dxa"/>
            <w:tcBorders>
              <w:top w:val="single" w:sz="4" w:space="0" w:color="auto"/>
              <w:left w:val="nil"/>
              <w:bottom w:val="nil"/>
              <w:right w:val="nil"/>
            </w:tcBorders>
            <w:shd w:val="clear" w:color="000000" w:fill="FF0000"/>
            <w:noWrap/>
            <w:vAlign w:val="bottom"/>
            <w:hideMark/>
          </w:tcPr>
          <w:p w14:paraId="15720F02"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5.2</w:t>
            </w:r>
          </w:p>
        </w:tc>
        <w:tc>
          <w:tcPr>
            <w:tcW w:w="1238" w:type="dxa"/>
            <w:tcBorders>
              <w:top w:val="single" w:sz="4" w:space="0" w:color="auto"/>
              <w:left w:val="nil"/>
              <w:bottom w:val="nil"/>
              <w:right w:val="nil"/>
            </w:tcBorders>
            <w:shd w:val="clear" w:color="auto" w:fill="F79646" w:themeFill="accent6"/>
            <w:noWrap/>
            <w:vAlign w:val="bottom"/>
            <w:hideMark/>
          </w:tcPr>
          <w:p w14:paraId="15720F03"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2.4</w:t>
            </w:r>
          </w:p>
        </w:tc>
        <w:tc>
          <w:tcPr>
            <w:tcW w:w="1238" w:type="dxa"/>
            <w:tcBorders>
              <w:top w:val="single" w:sz="4" w:space="0" w:color="auto"/>
              <w:left w:val="nil"/>
              <w:bottom w:val="nil"/>
              <w:right w:val="nil"/>
            </w:tcBorders>
            <w:shd w:val="clear" w:color="auto" w:fill="auto"/>
            <w:noWrap/>
            <w:vAlign w:val="bottom"/>
            <w:hideMark/>
          </w:tcPr>
          <w:p w14:paraId="15720F04"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1.0</w:t>
            </w:r>
          </w:p>
        </w:tc>
        <w:tc>
          <w:tcPr>
            <w:tcW w:w="1238" w:type="dxa"/>
            <w:tcBorders>
              <w:top w:val="single" w:sz="4" w:space="0" w:color="auto"/>
              <w:left w:val="nil"/>
              <w:bottom w:val="nil"/>
              <w:right w:val="nil"/>
            </w:tcBorders>
            <w:shd w:val="clear" w:color="auto" w:fill="auto"/>
            <w:noWrap/>
            <w:vAlign w:val="bottom"/>
            <w:hideMark/>
          </w:tcPr>
          <w:p w14:paraId="15720F05"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0.8</w:t>
            </w:r>
          </w:p>
        </w:tc>
        <w:tc>
          <w:tcPr>
            <w:tcW w:w="1238" w:type="dxa"/>
            <w:tcBorders>
              <w:top w:val="single" w:sz="4" w:space="0" w:color="auto"/>
              <w:left w:val="nil"/>
              <w:bottom w:val="nil"/>
              <w:right w:val="nil"/>
            </w:tcBorders>
            <w:shd w:val="clear" w:color="auto" w:fill="auto"/>
            <w:noWrap/>
            <w:vAlign w:val="bottom"/>
            <w:hideMark/>
          </w:tcPr>
          <w:p w14:paraId="15720F06"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0.2</w:t>
            </w:r>
          </w:p>
        </w:tc>
        <w:tc>
          <w:tcPr>
            <w:tcW w:w="1238" w:type="dxa"/>
            <w:tcBorders>
              <w:top w:val="single" w:sz="4" w:space="0" w:color="auto"/>
              <w:left w:val="nil"/>
              <w:bottom w:val="nil"/>
              <w:right w:val="single" w:sz="4" w:space="0" w:color="auto"/>
            </w:tcBorders>
            <w:shd w:val="clear" w:color="auto" w:fill="auto"/>
            <w:noWrap/>
            <w:vAlign w:val="bottom"/>
            <w:hideMark/>
          </w:tcPr>
          <w:p w14:paraId="15720F07"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0.4</w:t>
            </w:r>
          </w:p>
        </w:tc>
      </w:tr>
      <w:tr w:rsidR="00AC6342" w:rsidRPr="007758EB" w14:paraId="15720F13" w14:textId="77777777" w:rsidTr="00777B42">
        <w:trPr>
          <w:trHeight w:val="20"/>
        </w:trPr>
        <w:tc>
          <w:tcPr>
            <w:tcW w:w="2040" w:type="dxa"/>
            <w:vMerge/>
            <w:tcBorders>
              <w:top w:val="nil"/>
              <w:left w:val="single" w:sz="4" w:space="0" w:color="auto"/>
              <w:bottom w:val="nil"/>
              <w:right w:val="nil"/>
            </w:tcBorders>
            <w:vAlign w:val="center"/>
            <w:hideMark/>
          </w:tcPr>
          <w:p w14:paraId="15720F09"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p>
        </w:tc>
        <w:tc>
          <w:tcPr>
            <w:tcW w:w="1695" w:type="dxa"/>
            <w:tcBorders>
              <w:top w:val="nil"/>
              <w:left w:val="nil"/>
              <w:bottom w:val="nil"/>
              <w:right w:val="nil"/>
            </w:tcBorders>
            <w:shd w:val="clear" w:color="auto" w:fill="auto"/>
            <w:vAlign w:val="center"/>
            <w:hideMark/>
          </w:tcPr>
          <w:p w14:paraId="15720F0A"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O'Connell</w:t>
            </w:r>
          </w:p>
        </w:tc>
        <w:tc>
          <w:tcPr>
            <w:tcW w:w="1984" w:type="dxa"/>
            <w:tcBorders>
              <w:top w:val="nil"/>
              <w:left w:val="nil"/>
              <w:bottom w:val="nil"/>
              <w:right w:val="nil"/>
            </w:tcBorders>
            <w:shd w:val="clear" w:color="auto" w:fill="auto"/>
            <w:noWrap/>
            <w:vAlign w:val="center"/>
            <w:hideMark/>
          </w:tcPr>
          <w:p w14:paraId="15720F0B"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284,171</w:t>
            </w:r>
          </w:p>
        </w:tc>
        <w:tc>
          <w:tcPr>
            <w:tcW w:w="2177" w:type="dxa"/>
            <w:tcBorders>
              <w:top w:val="nil"/>
              <w:left w:val="nil"/>
              <w:bottom w:val="nil"/>
              <w:right w:val="nil"/>
            </w:tcBorders>
            <w:shd w:val="clear" w:color="auto" w:fill="auto"/>
            <w:noWrap/>
            <w:vAlign w:val="center"/>
            <w:hideMark/>
          </w:tcPr>
          <w:p w14:paraId="15720F0C"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796,718</w:t>
            </w:r>
          </w:p>
        </w:tc>
        <w:tc>
          <w:tcPr>
            <w:tcW w:w="1238" w:type="dxa"/>
            <w:tcBorders>
              <w:top w:val="nil"/>
              <w:left w:val="nil"/>
              <w:bottom w:val="nil"/>
              <w:right w:val="nil"/>
            </w:tcBorders>
            <w:shd w:val="clear" w:color="000000" w:fill="FF0000"/>
            <w:noWrap/>
            <w:vAlign w:val="bottom"/>
            <w:hideMark/>
          </w:tcPr>
          <w:p w14:paraId="15720F0D"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5.2</w:t>
            </w:r>
          </w:p>
        </w:tc>
        <w:tc>
          <w:tcPr>
            <w:tcW w:w="1238" w:type="dxa"/>
            <w:tcBorders>
              <w:top w:val="nil"/>
              <w:left w:val="nil"/>
              <w:bottom w:val="nil"/>
              <w:right w:val="nil"/>
            </w:tcBorders>
            <w:shd w:val="clear" w:color="auto" w:fill="F79646" w:themeFill="accent6"/>
            <w:noWrap/>
            <w:vAlign w:val="bottom"/>
            <w:hideMark/>
          </w:tcPr>
          <w:p w14:paraId="15720F0E"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2.4</w:t>
            </w:r>
          </w:p>
        </w:tc>
        <w:tc>
          <w:tcPr>
            <w:tcW w:w="1238" w:type="dxa"/>
            <w:tcBorders>
              <w:top w:val="nil"/>
              <w:left w:val="nil"/>
              <w:bottom w:val="nil"/>
              <w:right w:val="nil"/>
            </w:tcBorders>
            <w:shd w:val="clear" w:color="auto" w:fill="auto"/>
            <w:noWrap/>
            <w:vAlign w:val="bottom"/>
            <w:hideMark/>
          </w:tcPr>
          <w:p w14:paraId="15720F0F"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1.0</w:t>
            </w:r>
          </w:p>
        </w:tc>
        <w:tc>
          <w:tcPr>
            <w:tcW w:w="1238" w:type="dxa"/>
            <w:tcBorders>
              <w:top w:val="nil"/>
              <w:left w:val="nil"/>
              <w:bottom w:val="nil"/>
              <w:right w:val="nil"/>
            </w:tcBorders>
            <w:shd w:val="clear" w:color="auto" w:fill="auto"/>
            <w:noWrap/>
            <w:vAlign w:val="bottom"/>
            <w:hideMark/>
          </w:tcPr>
          <w:p w14:paraId="15720F10"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0.8</w:t>
            </w:r>
          </w:p>
        </w:tc>
        <w:tc>
          <w:tcPr>
            <w:tcW w:w="1238" w:type="dxa"/>
            <w:tcBorders>
              <w:top w:val="nil"/>
              <w:left w:val="nil"/>
              <w:bottom w:val="nil"/>
              <w:right w:val="nil"/>
            </w:tcBorders>
            <w:shd w:val="clear" w:color="auto" w:fill="auto"/>
            <w:noWrap/>
            <w:vAlign w:val="bottom"/>
            <w:hideMark/>
          </w:tcPr>
          <w:p w14:paraId="15720F11"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0.2</w:t>
            </w:r>
          </w:p>
        </w:tc>
        <w:tc>
          <w:tcPr>
            <w:tcW w:w="1238" w:type="dxa"/>
            <w:tcBorders>
              <w:top w:val="nil"/>
              <w:left w:val="nil"/>
              <w:bottom w:val="nil"/>
              <w:right w:val="single" w:sz="4" w:space="0" w:color="auto"/>
            </w:tcBorders>
            <w:shd w:val="clear" w:color="auto" w:fill="auto"/>
            <w:noWrap/>
            <w:vAlign w:val="bottom"/>
            <w:hideMark/>
          </w:tcPr>
          <w:p w14:paraId="15720F12"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0.4</w:t>
            </w:r>
          </w:p>
        </w:tc>
      </w:tr>
      <w:tr w:rsidR="00AC6342" w:rsidRPr="007758EB" w14:paraId="15720F1E" w14:textId="77777777" w:rsidTr="00777B42">
        <w:trPr>
          <w:trHeight w:val="20"/>
        </w:trPr>
        <w:tc>
          <w:tcPr>
            <w:tcW w:w="2040" w:type="dxa"/>
            <w:vMerge/>
            <w:tcBorders>
              <w:top w:val="nil"/>
              <w:left w:val="single" w:sz="4" w:space="0" w:color="auto"/>
              <w:bottom w:val="nil"/>
              <w:right w:val="nil"/>
            </w:tcBorders>
            <w:vAlign w:val="center"/>
            <w:hideMark/>
          </w:tcPr>
          <w:p w14:paraId="15720F14"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p>
        </w:tc>
        <w:tc>
          <w:tcPr>
            <w:tcW w:w="1695" w:type="dxa"/>
            <w:tcBorders>
              <w:top w:val="nil"/>
              <w:left w:val="nil"/>
              <w:bottom w:val="nil"/>
              <w:right w:val="nil"/>
            </w:tcBorders>
            <w:shd w:val="clear" w:color="auto" w:fill="auto"/>
            <w:vAlign w:val="center"/>
            <w:hideMark/>
          </w:tcPr>
          <w:p w14:paraId="15720F15"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Pioneer</w:t>
            </w:r>
          </w:p>
        </w:tc>
        <w:tc>
          <w:tcPr>
            <w:tcW w:w="1984" w:type="dxa"/>
            <w:tcBorders>
              <w:top w:val="nil"/>
              <w:left w:val="nil"/>
              <w:right w:val="nil"/>
            </w:tcBorders>
            <w:shd w:val="clear" w:color="auto" w:fill="auto"/>
            <w:noWrap/>
            <w:vAlign w:val="center"/>
            <w:hideMark/>
          </w:tcPr>
          <w:p w14:paraId="15720F16"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597,117</w:t>
            </w:r>
          </w:p>
        </w:tc>
        <w:tc>
          <w:tcPr>
            <w:tcW w:w="2177" w:type="dxa"/>
            <w:tcBorders>
              <w:top w:val="nil"/>
              <w:left w:val="nil"/>
              <w:right w:val="nil"/>
            </w:tcBorders>
            <w:shd w:val="clear" w:color="auto" w:fill="auto"/>
            <w:noWrap/>
            <w:vAlign w:val="center"/>
            <w:hideMark/>
          </w:tcPr>
          <w:p w14:paraId="15720F17"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776,984</w:t>
            </w:r>
          </w:p>
        </w:tc>
        <w:tc>
          <w:tcPr>
            <w:tcW w:w="1238" w:type="dxa"/>
            <w:tcBorders>
              <w:top w:val="nil"/>
              <w:left w:val="nil"/>
              <w:right w:val="nil"/>
            </w:tcBorders>
            <w:shd w:val="clear" w:color="000000" w:fill="FF0000"/>
            <w:noWrap/>
            <w:vAlign w:val="bottom"/>
            <w:hideMark/>
          </w:tcPr>
          <w:p w14:paraId="15720F18"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4.7</w:t>
            </w:r>
          </w:p>
        </w:tc>
        <w:tc>
          <w:tcPr>
            <w:tcW w:w="1238" w:type="dxa"/>
            <w:tcBorders>
              <w:top w:val="nil"/>
              <w:left w:val="nil"/>
              <w:right w:val="nil"/>
            </w:tcBorders>
            <w:shd w:val="clear" w:color="auto" w:fill="F79646" w:themeFill="accent6"/>
            <w:noWrap/>
            <w:vAlign w:val="bottom"/>
            <w:hideMark/>
          </w:tcPr>
          <w:p w14:paraId="15720F19"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2.0</w:t>
            </w:r>
          </w:p>
        </w:tc>
        <w:tc>
          <w:tcPr>
            <w:tcW w:w="1238" w:type="dxa"/>
            <w:tcBorders>
              <w:top w:val="nil"/>
              <w:left w:val="nil"/>
              <w:right w:val="nil"/>
            </w:tcBorders>
            <w:shd w:val="clear" w:color="auto" w:fill="auto"/>
            <w:noWrap/>
            <w:vAlign w:val="bottom"/>
            <w:hideMark/>
          </w:tcPr>
          <w:p w14:paraId="15720F1A"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1.5</w:t>
            </w:r>
          </w:p>
        </w:tc>
        <w:tc>
          <w:tcPr>
            <w:tcW w:w="1238" w:type="dxa"/>
            <w:tcBorders>
              <w:top w:val="nil"/>
              <w:left w:val="nil"/>
              <w:right w:val="nil"/>
            </w:tcBorders>
            <w:shd w:val="clear" w:color="auto" w:fill="auto"/>
            <w:noWrap/>
            <w:vAlign w:val="bottom"/>
            <w:hideMark/>
          </w:tcPr>
          <w:p w14:paraId="15720F1B"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0.8</w:t>
            </w:r>
          </w:p>
        </w:tc>
        <w:tc>
          <w:tcPr>
            <w:tcW w:w="1238" w:type="dxa"/>
            <w:tcBorders>
              <w:top w:val="nil"/>
              <w:left w:val="nil"/>
              <w:right w:val="nil"/>
            </w:tcBorders>
            <w:shd w:val="clear" w:color="auto" w:fill="F79646" w:themeFill="accent6"/>
            <w:noWrap/>
            <w:vAlign w:val="bottom"/>
            <w:hideMark/>
          </w:tcPr>
          <w:p w14:paraId="15720F1C"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2.6</w:t>
            </w:r>
          </w:p>
        </w:tc>
        <w:tc>
          <w:tcPr>
            <w:tcW w:w="1238" w:type="dxa"/>
            <w:tcBorders>
              <w:top w:val="nil"/>
              <w:left w:val="nil"/>
              <w:right w:val="single" w:sz="4" w:space="0" w:color="auto"/>
            </w:tcBorders>
            <w:shd w:val="clear" w:color="auto" w:fill="auto"/>
            <w:noWrap/>
            <w:vAlign w:val="bottom"/>
            <w:hideMark/>
          </w:tcPr>
          <w:p w14:paraId="15720F1D"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0.8</w:t>
            </w:r>
          </w:p>
        </w:tc>
      </w:tr>
      <w:tr w:rsidR="00AC6342" w:rsidRPr="007758EB" w14:paraId="15720F29" w14:textId="77777777" w:rsidTr="00777B42">
        <w:trPr>
          <w:trHeight w:val="20"/>
        </w:trPr>
        <w:tc>
          <w:tcPr>
            <w:tcW w:w="2040" w:type="dxa"/>
            <w:vMerge/>
            <w:tcBorders>
              <w:top w:val="nil"/>
              <w:left w:val="single" w:sz="4" w:space="0" w:color="auto"/>
              <w:bottom w:val="single" w:sz="4" w:space="0" w:color="auto"/>
              <w:right w:val="nil"/>
            </w:tcBorders>
            <w:vAlign w:val="center"/>
            <w:hideMark/>
          </w:tcPr>
          <w:p w14:paraId="15720F1F"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p>
        </w:tc>
        <w:tc>
          <w:tcPr>
            <w:tcW w:w="1695" w:type="dxa"/>
            <w:tcBorders>
              <w:top w:val="nil"/>
              <w:left w:val="nil"/>
              <w:bottom w:val="single" w:sz="4" w:space="0" w:color="auto"/>
              <w:right w:val="nil"/>
            </w:tcBorders>
            <w:shd w:val="clear" w:color="auto" w:fill="auto"/>
            <w:vAlign w:val="center"/>
            <w:hideMark/>
          </w:tcPr>
          <w:p w14:paraId="15720F20"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Plane</w:t>
            </w:r>
          </w:p>
        </w:tc>
        <w:tc>
          <w:tcPr>
            <w:tcW w:w="1984" w:type="dxa"/>
            <w:tcBorders>
              <w:top w:val="nil"/>
              <w:left w:val="nil"/>
              <w:bottom w:val="single" w:sz="4" w:space="0" w:color="auto"/>
              <w:right w:val="nil"/>
            </w:tcBorders>
            <w:shd w:val="clear" w:color="auto" w:fill="auto"/>
            <w:noWrap/>
            <w:vAlign w:val="center"/>
            <w:hideMark/>
          </w:tcPr>
          <w:p w14:paraId="15720F21"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832,508</w:t>
            </w:r>
          </w:p>
        </w:tc>
        <w:tc>
          <w:tcPr>
            <w:tcW w:w="2177" w:type="dxa"/>
            <w:tcBorders>
              <w:top w:val="nil"/>
              <w:left w:val="nil"/>
              <w:bottom w:val="single" w:sz="4" w:space="0" w:color="auto"/>
              <w:right w:val="nil"/>
            </w:tcBorders>
            <w:shd w:val="clear" w:color="auto" w:fill="auto"/>
            <w:noWrap/>
            <w:vAlign w:val="center"/>
            <w:hideMark/>
          </w:tcPr>
          <w:p w14:paraId="15720F22"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1,052,831</w:t>
            </w:r>
          </w:p>
        </w:tc>
        <w:tc>
          <w:tcPr>
            <w:tcW w:w="1238" w:type="dxa"/>
            <w:tcBorders>
              <w:top w:val="nil"/>
              <w:left w:val="nil"/>
              <w:bottom w:val="single" w:sz="4" w:space="0" w:color="auto"/>
              <w:right w:val="nil"/>
            </w:tcBorders>
            <w:shd w:val="clear" w:color="000000" w:fill="FF0000"/>
            <w:noWrap/>
            <w:vAlign w:val="bottom"/>
            <w:hideMark/>
          </w:tcPr>
          <w:p w14:paraId="15720F23"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4.6</w:t>
            </w:r>
          </w:p>
        </w:tc>
        <w:tc>
          <w:tcPr>
            <w:tcW w:w="1238" w:type="dxa"/>
            <w:tcBorders>
              <w:top w:val="nil"/>
              <w:left w:val="nil"/>
              <w:bottom w:val="single" w:sz="4" w:space="0" w:color="auto"/>
              <w:right w:val="nil"/>
            </w:tcBorders>
            <w:shd w:val="clear" w:color="auto" w:fill="F79646" w:themeFill="accent6"/>
            <w:noWrap/>
            <w:vAlign w:val="bottom"/>
            <w:hideMark/>
          </w:tcPr>
          <w:p w14:paraId="15720F24"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2.7</w:t>
            </w:r>
          </w:p>
        </w:tc>
        <w:tc>
          <w:tcPr>
            <w:tcW w:w="1238" w:type="dxa"/>
            <w:tcBorders>
              <w:top w:val="nil"/>
              <w:left w:val="nil"/>
              <w:bottom w:val="single" w:sz="4" w:space="0" w:color="auto"/>
              <w:right w:val="nil"/>
            </w:tcBorders>
            <w:shd w:val="clear" w:color="000000" w:fill="FFFF00"/>
            <w:noWrap/>
            <w:vAlign w:val="bottom"/>
            <w:hideMark/>
          </w:tcPr>
          <w:p w14:paraId="15720F25"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1.9</w:t>
            </w:r>
          </w:p>
        </w:tc>
        <w:tc>
          <w:tcPr>
            <w:tcW w:w="1238" w:type="dxa"/>
            <w:tcBorders>
              <w:top w:val="nil"/>
              <w:left w:val="nil"/>
              <w:bottom w:val="single" w:sz="4" w:space="0" w:color="auto"/>
              <w:right w:val="nil"/>
            </w:tcBorders>
            <w:shd w:val="clear" w:color="auto" w:fill="auto"/>
            <w:noWrap/>
            <w:vAlign w:val="bottom"/>
            <w:hideMark/>
          </w:tcPr>
          <w:p w14:paraId="15720F26"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0.7</w:t>
            </w:r>
          </w:p>
        </w:tc>
        <w:tc>
          <w:tcPr>
            <w:tcW w:w="1238" w:type="dxa"/>
            <w:tcBorders>
              <w:top w:val="nil"/>
              <w:left w:val="nil"/>
              <w:bottom w:val="single" w:sz="4" w:space="0" w:color="auto"/>
              <w:right w:val="nil"/>
            </w:tcBorders>
            <w:shd w:val="clear" w:color="auto" w:fill="auto"/>
            <w:noWrap/>
            <w:vAlign w:val="bottom"/>
            <w:hideMark/>
          </w:tcPr>
          <w:p w14:paraId="15720F27"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0.2</w:t>
            </w:r>
          </w:p>
        </w:tc>
        <w:tc>
          <w:tcPr>
            <w:tcW w:w="1238" w:type="dxa"/>
            <w:tcBorders>
              <w:top w:val="nil"/>
              <w:left w:val="nil"/>
              <w:bottom w:val="single" w:sz="4" w:space="0" w:color="auto"/>
              <w:right w:val="single" w:sz="4" w:space="0" w:color="auto"/>
            </w:tcBorders>
            <w:shd w:val="clear" w:color="auto" w:fill="auto"/>
            <w:noWrap/>
            <w:vAlign w:val="bottom"/>
            <w:hideMark/>
          </w:tcPr>
          <w:p w14:paraId="15720F28"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0.8</w:t>
            </w:r>
          </w:p>
        </w:tc>
      </w:tr>
      <w:tr w:rsidR="00AC6342" w:rsidRPr="007758EB" w14:paraId="15720F34" w14:textId="77777777" w:rsidTr="00777B42">
        <w:trPr>
          <w:trHeight w:val="20"/>
        </w:trPr>
        <w:tc>
          <w:tcPr>
            <w:tcW w:w="2040" w:type="dxa"/>
            <w:tcBorders>
              <w:top w:val="single" w:sz="4" w:space="0" w:color="auto"/>
              <w:left w:val="single" w:sz="4" w:space="0" w:color="auto"/>
              <w:bottom w:val="single" w:sz="4" w:space="0" w:color="auto"/>
              <w:right w:val="nil"/>
            </w:tcBorders>
            <w:shd w:val="clear" w:color="auto" w:fill="auto"/>
            <w:vAlign w:val="center"/>
            <w:hideMark/>
          </w:tcPr>
          <w:p w14:paraId="15720F2A"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Fitzroy</w:t>
            </w:r>
          </w:p>
        </w:tc>
        <w:tc>
          <w:tcPr>
            <w:tcW w:w="1695" w:type="dxa"/>
            <w:tcBorders>
              <w:top w:val="single" w:sz="4" w:space="0" w:color="auto"/>
              <w:left w:val="nil"/>
              <w:bottom w:val="single" w:sz="4" w:space="0" w:color="auto"/>
              <w:right w:val="nil"/>
            </w:tcBorders>
            <w:shd w:val="clear" w:color="auto" w:fill="auto"/>
            <w:vAlign w:val="center"/>
            <w:hideMark/>
          </w:tcPr>
          <w:p w14:paraId="15720F2B" w14:textId="77777777" w:rsidR="00AC6342" w:rsidRPr="007758EB" w:rsidRDefault="00AC6342" w:rsidP="00676D26">
            <w:pPr>
              <w:jc w:val="left"/>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Fitzroy</w:t>
            </w:r>
          </w:p>
        </w:tc>
        <w:tc>
          <w:tcPr>
            <w:tcW w:w="1984" w:type="dxa"/>
            <w:tcBorders>
              <w:top w:val="single" w:sz="4" w:space="0" w:color="auto"/>
              <w:left w:val="nil"/>
              <w:bottom w:val="single" w:sz="4" w:space="0" w:color="auto"/>
              <w:right w:val="nil"/>
            </w:tcBorders>
            <w:shd w:val="clear" w:color="auto" w:fill="auto"/>
            <w:noWrap/>
            <w:vAlign w:val="center"/>
            <w:hideMark/>
          </w:tcPr>
          <w:p w14:paraId="15720F2C"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3,589,342</w:t>
            </w:r>
          </w:p>
        </w:tc>
        <w:tc>
          <w:tcPr>
            <w:tcW w:w="2177" w:type="dxa"/>
            <w:tcBorders>
              <w:top w:val="single" w:sz="4" w:space="0" w:color="auto"/>
              <w:left w:val="nil"/>
              <w:bottom w:val="single" w:sz="4" w:space="0" w:color="auto"/>
              <w:right w:val="nil"/>
            </w:tcBorders>
            <w:shd w:val="clear" w:color="auto" w:fill="auto"/>
            <w:noWrap/>
            <w:vAlign w:val="center"/>
            <w:hideMark/>
          </w:tcPr>
          <w:p w14:paraId="15720F2D" w14:textId="77777777" w:rsidR="00AC6342" w:rsidRPr="007758EB" w:rsidRDefault="00AC6342" w:rsidP="00BB6E33">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2,852,307</w:t>
            </w:r>
          </w:p>
        </w:tc>
        <w:tc>
          <w:tcPr>
            <w:tcW w:w="1238" w:type="dxa"/>
            <w:tcBorders>
              <w:top w:val="single" w:sz="4" w:space="0" w:color="auto"/>
              <w:left w:val="nil"/>
              <w:bottom w:val="single" w:sz="4" w:space="0" w:color="auto"/>
              <w:right w:val="nil"/>
            </w:tcBorders>
            <w:shd w:val="clear" w:color="000000" w:fill="FF0000"/>
            <w:noWrap/>
            <w:vAlign w:val="bottom"/>
            <w:hideMark/>
          </w:tcPr>
          <w:p w14:paraId="15720F2E"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13.3</w:t>
            </w:r>
          </w:p>
        </w:tc>
        <w:tc>
          <w:tcPr>
            <w:tcW w:w="1238" w:type="dxa"/>
            <w:tcBorders>
              <w:top w:val="single" w:sz="4" w:space="0" w:color="auto"/>
              <w:left w:val="nil"/>
              <w:bottom w:val="single" w:sz="4" w:space="0" w:color="auto"/>
              <w:right w:val="nil"/>
            </w:tcBorders>
            <w:shd w:val="clear" w:color="auto" w:fill="F79646" w:themeFill="accent6"/>
            <w:noWrap/>
            <w:vAlign w:val="bottom"/>
            <w:hideMark/>
          </w:tcPr>
          <w:p w14:paraId="15720F2F"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2.8</w:t>
            </w:r>
          </w:p>
        </w:tc>
        <w:tc>
          <w:tcPr>
            <w:tcW w:w="1238" w:type="dxa"/>
            <w:tcBorders>
              <w:top w:val="single" w:sz="4" w:space="0" w:color="auto"/>
              <w:left w:val="nil"/>
              <w:bottom w:val="single" w:sz="4" w:space="0" w:color="auto"/>
              <w:right w:val="nil"/>
            </w:tcBorders>
            <w:shd w:val="clear" w:color="auto" w:fill="F79646" w:themeFill="accent6"/>
            <w:noWrap/>
            <w:vAlign w:val="bottom"/>
            <w:hideMark/>
          </w:tcPr>
          <w:p w14:paraId="15720F30" w14:textId="77777777" w:rsidR="00AC6342" w:rsidRPr="007758EB" w:rsidRDefault="00AC6342" w:rsidP="00676D26">
            <w:pPr>
              <w:jc w:val="center"/>
              <w:rPr>
                <w:rFonts w:asciiTheme="minorHAnsi" w:eastAsia="Times New Roman" w:hAnsiTheme="minorHAnsi" w:cstheme="minorHAnsi"/>
                <w:sz w:val="20"/>
                <w:lang w:val="en-AU" w:eastAsia="en-AU" w:bidi="ar-SA"/>
              </w:rPr>
            </w:pPr>
            <w:r w:rsidRPr="007758EB">
              <w:rPr>
                <w:rFonts w:asciiTheme="minorHAnsi" w:eastAsia="Times New Roman" w:hAnsiTheme="minorHAnsi" w:cstheme="minorHAnsi"/>
                <w:sz w:val="20"/>
                <w:lang w:val="en-AU" w:eastAsia="en-AU" w:bidi="ar-SA"/>
              </w:rPr>
              <w:t>3.0</w:t>
            </w:r>
          </w:p>
        </w:tc>
        <w:tc>
          <w:tcPr>
            <w:tcW w:w="1238" w:type="dxa"/>
            <w:tcBorders>
              <w:top w:val="single" w:sz="4" w:space="0" w:color="auto"/>
              <w:left w:val="nil"/>
              <w:bottom w:val="single" w:sz="4" w:space="0" w:color="auto"/>
              <w:right w:val="nil"/>
            </w:tcBorders>
            <w:shd w:val="clear" w:color="auto" w:fill="auto"/>
            <w:noWrap/>
            <w:vAlign w:val="bottom"/>
            <w:hideMark/>
          </w:tcPr>
          <w:p w14:paraId="15720F31"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0.6</w:t>
            </w:r>
          </w:p>
        </w:tc>
        <w:tc>
          <w:tcPr>
            <w:tcW w:w="1238" w:type="dxa"/>
            <w:tcBorders>
              <w:top w:val="single" w:sz="4" w:space="0" w:color="auto"/>
              <w:left w:val="nil"/>
              <w:bottom w:val="single" w:sz="4" w:space="0" w:color="auto"/>
              <w:right w:val="nil"/>
            </w:tcBorders>
            <w:shd w:val="clear" w:color="auto" w:fill="auto"/>
            <w:noWrap/>
            <w:vAlign w:val="bottom"/>
            <w:hideMark/>
          </w:tcPr>
          <w:p w14:paraId="15720F32"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0.9</w:t>
            </w:r>
          </w:p>
        </w:tc>
        <w:tc>
          <w:tcPr>
            <w:tcW w:w="1238" w:type="dxa"/>
            <w:tcBorders>
              <w:top w:val="single" w:sz="4" w:space="0" w:color="auto"/>
              <w:left w:val="nil"/>
              <w:bottom w:val="single" w:sz="4" w:space="0" w:color="auto"/>
              <w:right w:val="single" w:sz="4" w:space="0" w:color="auto"/>
            </w:tcBorders>
            <w:shd w:val="clear" w:color="auto" w:fill="auto"/>
            <w:noWrap/>
            <w:vAlign w:val="bottom"/>
            <w:hideMark/>
          </w:tcPr>
          <w:p w14:paraId="15720F33" w14:textId="77777777" w:rsidR="00AC6342" w:rsidRPr="007758EB" w:rsidRDefault="00AC6342" w:rsidP="00676D26">
            <w:pPr>
              <w:jc w:val="center"/>
              <w:rPr>
                <w:rFonts w:asciiTheme="minorHAnsi" w:eastAsia="Times New Roman" w:hAnsiTheme="minorHAnsi" w:cstheme="minorHAnsi"/>
                <w:color w:val="000000"/>
                <w:sz w:val="20"/>
                <w:lang w:val="en-AU" w:eastAsia="en-AU" w:bidi="ar-SA"/>
              </w:rPr>
            </w:pPr>
            <w:r w:rsidRPr="007758EB">
              <w:rPr>
                <w:rFonts w:asciiTheme="minorHAnsi" w:eastAsia="Times New Roman" w:hAnsiTheme="minorHAnsi" w:cstheme="minorHAnsi"/>
                <w:color w:val="000000"/>
                <w:sz w:val="20"/>
                <w:lang w:val="en-AU" w:eastAsia="en-AU" w:bidi="ar-SA"/>
              </w:rPr>
              <w:t>1.3</w:t>
            </w:r>
          </w:p>
        </w:tc>
      </w:tr>
    </w:tbl>
    <w:p w14:paraId="66C298F9" w14:textId="77777777" w:rsidR="00D12276" w:rsidRPr="00D12276" w:rsidRDefault="007758EB" w:rsidP="00CE1BA0">
      <w:pPr>
        <w:rPr>
          <w:sz w:val="14"/>
          <w:szCs w:val="14"/>
        </w:rPr>
      </w:pPr>
      <w:r w:rsidRPr="007758EB">
        <w:rPr>
          <w:rStyle w:val="IntenseReference"/>
          <w:rFonts w:eastAsiaTheme="majorEastAsia"/>
          <w:b w:val="0"/>
          <w:color w:val="auto"/>
          <w:sz w:val="14"/>
          <w:u w:val="none"/>
        </w:rPr>
        <w:t xml:space="preserve">Colours highlight years for which river flow exceeded the median annual flow as estimated from available long-term time series for each river: yellow = 1.5 to 2-times LT median, orange = 2 to 3-times LT median, red= &gt;3-times LT median. Discharge data were supplied by DNRM and corrected by </w:t>
      </w:r>
      <w:r w:rsidRPr="007758EB">
        <w:rPr>
          <w:rStyle w:val="IntenseReference"/>
          <w:rFonts w:eastAsiaTheme="majorEastAsia"/>
          <w:b w:val="0"/>
          <w:color w:val="auto"/>
          <w:sz w:val="14"/>
          <w:u w:val="none"/>
        </w:rPr>
        <w:fldChar w:fldCharType="begin"/>
      </w:r>
      <w:r w:rsidR="00216883">
        <w:rPr>
          <w:rStyle w:val="IntenseReference"/>
          <w:rFonts w:eastAsiaTheme="majorEastAsia"/>
          <w:b w:val="0"/>
          <w:color w:val="auto"/>
          <w:sz w:val="14"/>
          <w:u w:val="none"/>
        </w:rPr>
        <w:instrText xml:space="preserve"> ADDIN EN.CITE &lt;EndNote&gt;&lt;Cite AuthorYear="1"&gt;&lt;Author&gt;Waterhouse&lt;/Author&gt;&lt;Year&gt;2017&lt;/Year&gt;&lt;RecNum&gt;39&lt;/RecNum&gt;&lt;DisplayText&gt;Waterhouse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Pr="007758EB">
        <w:rPr>
          <w:rStyle w:val="IntenseReference"/>
          <w:rFonts w:eastAsiaTheme="majorEastAsia"/>
          <w:b w:val="0"/>
          <w:color w:val="auto"/>
          <w:sz w:val="14"/>
          <w:u w:val="none"/>
        </w:rPr>
        <w:fldChar w:fldCharType="separate"/>
      </w:r>
      <w:r w:rsidR="00216883">
        <w:rPr>
          <w:rStyle w:val="IntenseReference"/>
          <w:rFonts w:eastAsiaTheme="majorEastAsia"/>
          <w:b w:val="0"/>
          <w:noProof/>
          <w:color w:val="auto"/>
          <w:sz w:val="14"/>
          <w:u w:val="none"/>
        </w:rPr>
        <w:t>Waterhouse et al. (2017b)</w:t>
      </w:r>
      <w:r w:rsidRPr="007758EB">
        <w:rPr>
          <w:rStyle w:val="IntenseReference"/>
          <w:rFonts w:eastAsiaTheme="majorEastAsia"/>
          <w:b w:val="0"/>
          <w:color w:val="auto"/>
          <w:sz w:val="14"/>
          <w:u w:val="none"/>
        </w:rPr>
        <w:fldChar w:fldCharType="end"/>
      </w:r>
      <w:r w:rsidRPr="007758EB">
        <w:rPr>
          <w:rStyle w:val="IntenseReference"/>
          <w:rFonts w:eastAsiaTheme="majorEastAsia"/>
          <w:b w:val="0"/>
          <w:color w:val="auto"/>
          <w:sz w:val="14"/>
          <w:u w:val="none"/>
        </w:rPr>
        <w:t xml:space="preserve"> for different placements of gauges within each catchment. The full dataset from which these data were derived is given </w:t>
      </w:r>
      <w:r w:rsidRPr="00CE1BA0">
        <w:rPr>
          <w:rStyle w:val="IntenseReference"/>
          <w:rFonts w:eastAsiaTheme="majorEastAsia"/>
          <w:b w:val="0"/>
          <w:color w:val="auto"/>
          <w:sz w:val="14"/>
          <w:szCs w:val="14"/>
          <w:u w:val="none"/>
        </w:rPr>
        <w:t xml:space="preserve">in </w:t>
      </w:r>
      <w:r w:rsidRPr="005512F8">
        <w:rPr>
          <w:sz w:val="14"/>
          <w:szCs w:val="14"/>
        </w:rPr>
        <w:fldChar w:fldCharType="begin"/>
      </w:r>
      <w:r w:rsidRPr="005512F8">
        <w:rPr>
          <w:sz w:val="14"/>
          <w:szCs w:val="14"/>
        </w:rPr>
        <w:instrText xml:space="preserve"> REF _Ref480727672 \n \h  \* MERGEFORMAT </w:instrText>
      </w:r>
      <w:r w:rsidRPr="005512F8">
        <w:rPr>
          <w:sz w:val="14"/>
          <w:szCs w:val="14"/>
        </w:rPr>
      </w:r>
      <w:r w:rsidRPr="005512F8">
        <w:rPr>
          <w:sz w:val="14"/>
          <w:szCs w:val="14"/>
        </w:rPr>
        <w:fldChar w:fldCharType="separate"/>
      </w:r>
      <w:r w:rsidR="00D12276" w:rsidRPr="00D12276">
        <w:rPr>
          <w:rStyle w:val="IntenseReference"/>
          <w:rFonts w:eastAsiaTheme="majorEastAsia"/>
          <w:color w:val="auto"/>
          <w:u w:val="none"/>
        </w:rPr>
        <w:t xml:space="preserve">Appendix E </w:t>
      </w:r>
      <w:r w:rsidRPr="005512F8">
        <w:rPr>
          <w:sz w:val="14"/>
          <w:szCs w:val="14"/>
        </w:rPr>
        <w:fldChar w:fldCharType="end"/>
      </w:r>
      <w:r w:rsidRPr="005512F8">
        <w:rPr>
          <w:sz w:val="14"/>
          <w:szCs w:val="14"/>
        </w:rPr>
        <w:fldChar w:fldCharType="begin"/>
      </w:r>
      <w:r w:rsidRPr="005512F8">
        <w:rPr>
          <w:sz w:val="14"/>
          <w:szCs w:val="14"/>
        </w:rPr>
        <w:instrText xml:space="preserve"> REF _Ref480727661 \h  \* MERGEFORMAT </w:instrText>
      </w:r>
      <w:r w:rsidRPr="005512F8">
        <w:rPr>
          <w:sz w:val="14"/>
          <w:szCs w:val="14"/>
        </w:rPr>
      </w:r>
      <w:r w:rsidRPr="005512F8">
        <w:rPr>
          <w:sz w:val="14"/>
          <w:szCs w:val="14"/>
        </w:rPr>
        <w:fldChar w:fldCharType="separate"/>
      </w:r>
    </w:p>
    <w:p w14:paraId="15720F35" w14:textId="5561E0DF" w:rsidR="00971D18" w:rsidRPr="005512F8" w:rsidRDefault="00D12276" w:rsidP="005512F8">
      <w:pPr>
        <w:rPr>
          <w:rStyle w:val="IntenseReference"/>
          <w:rFonts w:eastAsiaTheme="majorEastAsia"/>
          <w:b w:val="0"/>
          <w:color w:val="auto"/>
          <w:sz w:val="14"/>
          <w:szCs w:val="14"/>
          <w:u w:val="none"/>
        </w:rPr>
      </w:pPr>
      <w:r w:rsidRPr="00D12276">
        <w:rPr>
          <w:sz w:val="14"/>
          <w:szCs w:val="14"/>
        </w:rPr>
        <w:t>Table</w:t>
      </w:r>
      <w:r w:rsidRPr="00D12276">
        <w:rPr>
          <w:noProof/>
          <w:sz w:val="14"/>
          <w:szCs w:val="14"/>
        </w:rPr>
        <w:t xml:space="preserve"> E</w:t>
      </w:r>
      <w:r w:rsidRPr="00D12276">
        <w:rPr>
          <w:noProof/>
          <w:sz w:val="14"/>
          <w:szCs w:val="14"/>
        </w:rPr>
        <w:noBreakHyphen/>
        <w:t>1</w:t>
      </w:r>
      <w:r w:rsidR="007758EB" w:rsidRPr="005512F8">
        <w:rPr>
          <w:sz w:val="14"/>
          <w:szCs w:val="14"/>
        </w:rPr>
        <w:fldChar w:fldCharType="end"/>
      </w:r>
      <w:r w:rsidR="007758EB" w:rsidRPr="005512F8">
        <w:rPr>
          <w:rStyle w:val="IntenseReference"/>
          <w:rFonts w:eastAsiaTheme="majorEastAsia"/>
          <w:b w:val="0"/>
          <w:color w:val="auto"/>
          <w:sz w:val="14"/>
          <w:szCs w:val="14"/>
          <w:u w:val="none"/>
        </w:rPr>
        <w:t>.</w:t>
      </w:r>
    </w:p>
    <w:p w14:paraId="15720F36" w14:textId="51AD931F" w:rsidR="0059608E" w:rsidRDefault="0059608E" w:rsidP="00CE1BA0"/>
    <w:p w14:paraId="6BAAB90C" w14:textId="49E228A3" w:rsidR="007758EB" w:rsidRPr="001140E6" w:rsidRDefault="007758EB" w:rsidP="007758EB">
      <w:pPr>
        <w:pStyle w:val="Caption"/>
        <w:spacing w:after="120"/>
        <w:jc w:val="both"/>
        <w:rPr>
          <w:b w:val="0"/>
        </w:rPr>
      </w:pPr>
      <w:bookmarkStart w:id="413" w:name="_Ref480727733"/>
      <w:bookmarkStart w:id="414" w:name="_Toc502499864"/>
      <w:bookmarkStart w:id="415" w:name="_Toc461457766"/>
      <w:bookmarkStart w:id="416" w:name="_Ref477112392"/>
      <w:r w:rsidRPr="00210B7C">
        <w:rPr>
          <w:b w:val="0"/>
        </w:rPr>
        <w:t xml:space="preserve">Table </w:t>
      </w:r>
      <w:r w:rsidRPr="00210B7C">
        <w:rPr>
          <w:b w:val="0"/>
        </w:rPr>
        <w:fldChar w:fldCharType="begin"/>
      </w:r>
      <w:r w:rsidRPr="00210B7C">
        <w:rPr>
          <w:b w:val="0"/>
        </w:rPr>
        <w:instrText xml:space="preserve"> SEQ Table \* ARABIC </w:instrText>
      </w:r>
      <w:r w:rsidRPr="00210B7C">
        <w:rPr>
          <w:b w:val="0"/>
        </w:rPr>
        <w:fldChar w:fldCharType="separate"/>
      </w:r>
      <w:r w:rsidR="00D12276">
        <w:rPr>
          <w:b w:val="0"/>
          <w:noProof/>
        </w:rPr>
        <w:t>6</w:t>
      </w:r>
      <w:r w:rsidRPr="00210B7C">
        <w:rPr>
          <w:b w:val="0"/>
        </w:rPr>
        <w:fldChar w:fldCharType="end"/>
      </w:r>
      <w:bookmarkEnd w:id="413"/>
      <w:r w:rsidRPr="001140E6">
        <w:rPr>
          <w:b w:val="0"/>
        </w:rPr>
        <w:t xml:space="preserve">: Annual </w:t>
      </w:r>
      <w:r w:rsidR="00760DAE">
        <w:rPr>
          <w:b w:val="0"/>
        </w:rPr>
        <w:t xml:space="preserve">end-of-catchment </w:t>
      </w:r>
      <w:r w:rsidRPr="001140E6">
        <w:rPr>
          <w:b w:val="0"/>
        </w:rPr>
        <w:t>pesticide load</w:t>
      </w:r>
      <w:r>
        <w:rPr>
          <w:b w:val="0"/>
        </w:rPr>
        <w:t>s</w:t>
      </w:r>
      <w:r w:rsidRPr="001140E6">
        <w:rPr>
          <w:b w:val="0"/>
        </w:rPr>
        <w:t xml:space="preserve"> from monitored Reef catchments relevant to passive sampling sites (</w:t>
      </w:r>
      <w:r>
        <w:rPr>
          <w:b w:val="0"/>
        </w:rPr>
        <w:t xml:space="preserve">1 July </w:t>
      </w:r>
      <w:r w:rsidRPr="001140E6">
        <w:rPr>
          <w:b w:val="0"/>
        </w:rPr>
        <w:t>2015</w:t>
      </w:r>
      <w:r>
        <w:rPr>
          <w:b w:val="0"/>
        </w:rPr>
        <w:t xml:space="preserve"> – 30 June </w:t>
      </w:r>
      <w:r w:rsidRPr="001140E6">
        <w:rPr>
          <w:b w:val="0"/>
        </w:rPr>
        <w:t>2016). PSII-</w:t>
      </w:r>
      <w:r>
        <w:rPr>
          <w:b w:val="0"/>
        </w:rPr>
        <w:t>HEq</w:t>
      </w:r>
      <w:r w:rsidRPr="001140E6">
        <w:rPr>
          <w:b w:val="0"/>
        </w:rPr>
        <w:t xml:space="preserve"> loads are </w:t>
      </w:r>
      <w:r w:rsidR="00760DAE">
        <w:rPr>
          <w:b w:val="0"/>
        </w:rPr>
        <w:t>derived</w:t>
      </w:r>
      <w:r w:rsidRPr="001140E6">
        <w:rPr>
          <w:b w:val="0"/>
        </w:rPr>
        <w:t xml:space="preserve"> using PSII RP</w:t>
      </w:r>
      <w:r w:rsidR="008F25EE">
        <w:rPr>
          <w:b w:val="0"/>
        </w:rPr>
        <w:t>F</w:t>
      </w:r>
      <w:r w:rsidRPr="001140E6">
        <w:rPr>
          <w:b w:val="0"/>
        </w:rPr>
        <w:t xml:space="preserve">s for this </w:t>
      </w:r>
      <w:r w:rsidR="00760DAE">
        <w:rPr>
          <w:b w:val="0"/>
        </w:rPr>
        <w:t>report, consistent with</w:t>
      </w:r>
      <w:r w:rsidRPr="001140E6">
        <w:rPr>
          <w:b w:val="0"/>
        </w:rPr>
        <w:t xml:space="preserve"> previous MMP reports (see Section A-4, Appendix A). GBRCLMP </w:t>
      </w:r>
      <w:r w:rsidRPr="00EB15F0">
        <w:rPr>
          <w:b w:val="0"/>
        </w:rPr>
        <w:t>data from Huggins et al.</w:t>
      </w:r>
      <w:r>
        <w:rPr>
          <w:b w:val="0"/>
        </w:rPr>
        <w:t xml:space="preserve"> (</w:t>
      </w:r>
      <w:r w:rsidRPr="00EB15F0">
        <w:rPr>
          <w:b w:val="0"/>
          <w:i/>
        </w:rPr>
        <w:t>in prep</w:t>
      </w:r>
      <w:r w:rsidRPr="00EB15F0">
        <w:rPr>
          <w:b w:val="0"/>
        </w:rPr>
        <w:t>).</w:t>
      </w:r>
      <w:bookmarkEnd w:id="414"/>
    </w:p>
    <w:p w14:paraId="0F89E82A" w14:textId="60B16EA8" w:rsidR="007758EB" w:rsidRDefault="003E3EF9" w:rsidP="007758EB">
      <w:pPr>
        <w:jc w:val="left"/>
      </w:pPr>
      <w:r w:rsidRPr="003E3EF9">
        <w:rPr>
          <w:noProof/>
          <w:lang w:val="en-AU" w:eastAsia="en-AU" w:bidi="ar-SA"/>
        </w:rPr>
        <w:drawing>
          <wp:inline distT="0" distB="0" distL="0" distR="0" wp14:anchorId="47E55EB3" wp14:editId="35F35408">
            <wp:extent cx="9779000" cy="2959601"/>
            <wp:effectExtent l="0" t="0" r="0" b="0"/>
            <wp:docPr id="7220" name="Picture 7220" descr="able 6: Annual end-of-catchment pesticide loads from monitored Reef catchments relevant to passive sampling sites (1 July 2015 – 30 June 2016). The highest loads for each pesticide varied across catchments and was highest from the Pioneer River for atrazine and diuron, and from the Tully River for hexazinone, 2,4-D and imidaclopr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779000" cy="2959601"/>
                    </a:xfrm>
                    <a:prstGeom prst="rect">
                      <a:avLst/>
                    </a:prstGeom>
                    <a:noFill/>
                    <a:ln>
                      <a:noFill/>
                    </a:ln>
                  </pic:spPr>
                </pic:pic>
              </a:graphicData>
            </a:graphic>
          </wp:inline>
        </w:drawing>
      </w:r>
    </w:p>
    <w:p w14:paraId="389C4ED4" w14:textId="50916443" w:rsidR="007758EB" w:rsidRPr="007758EB" w:rsidRDefault="007758EB" w:rsidP="007758EB">
      <w:pPr>
        <w:rPr>
          <w:sz w:val="14"/>
        </w:rPr>
      </w:pPr>
      <w:r w:rsidRPr="007758EB">
        <w:rPr>
          <w:sz w:val="14"/>
        </w:rPr>
        <w:t>Colour coding reflects lowest (green) to highest (red) values for each pesticide across the catchments (yellow is the 50</w:t>
      </w:r>
      <w:r w:rsidRPr="007758EB">
        <w:rPr>
          <w:sz w:val="14"/>
          <w:vertAlign w:val="superscript"/>
        </w:rPr>
        <w:t>th</w:t>
      </w:r>
      <w:r w:rsidRPr="007758EB">
        <w:rPr>
          <w:sz w:val="14"/>
        </w:rPr>
        <w:t xml:space="preserve"> percentile). Grey shading indicates no data are available</w:t>
      </w:r>
      <w:r w:rsidR="00197074">
        <w:rPr>
          <w:sz w:val="14"/>
        </w:rPr>
        <w:t>.</w:t>
      </w:r>
    </w:p>
    <w:p w14:paraId="15720F37" w14:textId="77777777" w:rsidR="001342C3" w:rsidRPr="007758EB" w:rsidRDefault="001342C3" w:rsidP="00F510E5">
      <w:pPr>
        <w:pStyle w:val="Heading30"/>
        <w:rPr>
          <w:b w:val="0"/>
          <w:i w:val="0"/>
          <w:sz w:val="20"/>
          <w:szCs w:val="22"/>
        </w:rPr>
        <w:sectPr w:rsidR="001342C3" w:rsidRPr="007758EB" w:rsidSect="001342C3">
          <w:pgSz w:w="16840" w:h="11907" w:orient="landscape" w:code="9"/>
          <w:pgMar w:top="720" w:right="720" w:bottom="720" w:left="720" w:header="709" w:footer="709" w:gutter="0"/>
          <w:cols w:space="708"/>
          <w:docGrid w:linePitch="360"/>
        </w:sectPr>
      </w:pPr>
    </w:p>
    <w:p w14:paraId="15720F52" w14:textId="03092F8F" w:rsidR="0059608E" w:rsidRPr="004E0EF8" w:rsidRDefault="0059608E" w:rsidP="00220439">
      <w:pPr>
        <w:pStyle w:val="Heading2"/>
        <w:keepNext/>
        <w:keepLines/>
        <w:numPr>
          <w:ilvl w:val="1"/>
          <w:numId w:val="1"/>
        </w:numPr>
        <w:pBdr>
          <w:bottom w:val="none" w:sz="0" w:space="0" w:color="auto"/>
        </w:pBdr>
        <w:spacing w:before="240" w:after="120"/>
        <w:rPr>
          <w:bCs/>
          <w:sz w:val="26"/>
          <w:szCs w:val="26"/>
          <w:lang w:val="en-AU" w:eastAsia="en-US" w:bidi="ar-SA"/>
        </w:rPr>
      </w:pPr>
      <w:bookmarkStart w:id="417" w:name="_Toc455069463"/>
      <w:bookmarkStart w:id="418" w:name="_Toc455070113"/>
      <w:bookmarkStart w:id="419" w:name="_Toc455070385"/>
      <w:bookmarkStart w:id="420" w:name="_Toc455151772"/>
      <w:bookmarkStart w:id="421" w:name="_Toc455069464"/>
      <w:bookmarkStart w:id="422" w:name="_Toc455070114"/>
      <w:bookmarkStart w:id="423" w:name="_Toc455070386"/>
      <w:bookmarkStart w:id="424" w:name="_Toc455151773"/>
      <w:bookmarkStart w:id="425" w:name="_Toc461457769"/>
      <w:bookmarkStart w:id="426" w:name="_Ref480727193"/>
      <w:bookmarkStart w:id="427" w:name="_Toc502500011"/>
      <w:bookmarkEnd w:id="415"/>
      <w:bookmarkEnd w:id="416"/>
      <w:bookmarkEnd w:id="417"/>
      <w:bookmarkEnd w:id="418"/>
      <w:bookmarkEnd w:id="419"/>
      <w:bookmarkEnd w:id="420"/>
      <w:bookmarkEnd w:id="421"/>
      <w:bookmarkEnd w:id="422"/>
      <w:bookmarkEnd w:id="423"/>
      <w:bookmarkEnd w:id="424"/>
      <w:r w:rsidRPr="004E0EF8">
        <w:rPr>
          <w:bCs/>
          <w:sz w:val="26"/>
          <w:szCs w:val="26"/>
          <w:lang w:val="en-AU" w:eastAsia="en-US" w:bidi="ar-SA"/>
        </w:rPr>
        <w:lastRenderedPageBreak/>
        <w:t>Reef-wide results</w:t>
      </w:r>
      <w:bookmarkEnd w:id="425"/>
      <w:bookmarkEnd w:id="426"/>
      <w:bookmarkEnd w:id="427"/>
    </w:p>
    <w:p w14:paraId="15720F53" w14:textId="77777777" w:rsidR="0059608E" w:rsidRDefault="0059608E" w:rsidP="00220439">
      <w:pPr>
        <w:pStyle w:val="Heading30"/>
        <w:numPr>
          <w:ilvl w:val="2"/>
          <w:numId w:val="1"/>
        </w:numPr>
      </w:pPr>
      <w:bookmarkStart w:id="428" w:name="_Toc461457770"/>
      <w:bookmarkStart w:id="429" w:name="_Toc502500012"/>
      <w:r>
        <w:t xml:space="preserve">Fixed </w:t>
      </w:r>
      <w:r w:rsidR="003F7121">
        <w:t xml:space="preserve">monitoring </w:t>
      </w:r>
      <w:r>
        <w:t>site passive sampler return record</w:t>
      </w:r>
      <w:bookmarkEnd w:id="428"/>
      <w:bookmarkEnd w:id="429"/>
    </w:p>
    <w:p w14:paraId="15720F56" w14:textId="35F6F78F" w:rsidR="0059608E" w:rsidRDefault="0059608E" w:rsidP="00015606">
      <w:pPr>
        <w:spacing w:line="276" w:lineRule="auto"/>
        <w:rPr>
          <w:lang w:val="en-AU" w:eastAsia="en-AU"/>
        </w:rPr>
      </w:pPr>
      <w:r>
        <w:rPr>
          <w:lang w:val="en-GB" w:eastAsia="en-AU"/>
        </w:rPr>
        <w:t xml:space="preserve">This monitoring year, </w:t>
      </w:r>
      <w:r w:rsidR="003177C7">
        <w:rPr>
          <w:lang w:val="en-GB" w:eastAsia="en-AU"/>
        </w:rPr>
        <w:t>7</w:t>
      </w:r>
      <w:r w:rsidR="003870FE">
        <w:rPr>
          <w:lang w:val="en-GB" w:eastAsia="en-AU"/>
        </w:rPr>
        <w:t>3</w:t>
      </w:r>
      <w:r w:rsidR="001445C6">
        <w:rPr>
          <w:lang w:val="en-GB" w:eastAsia="en-AU"/>
        </w:rPr>
        <w:t xml:space="preserve"> </w:t>
      </w:r>
      <w:r w:rsidR="00662276">
        <w:rPr>
          <w:lang w:val="en-GB" w:eastAsia="en-AU"/>
        </w:rPr>
        <w:t xml:space="preserve">per cent </w:t>
      </w:r>
      <w:r>
        <w:rPr>
          <w:lang w:val="en-GB" w:eastAsia="en-AU"/>
        </w:rPr>
        <w:t xml:space="preserve">of fixed site passive </w:t>
      </w:r>
      <w:r w:rsidRPr="00D9460D">
        <w:rPr>
          <w:lang w:val="en-GB" w:eastAsia="en-AU"/>
        </w:rPr>
        <w:t>sampler sets sent to volunteers were successfully deployed</w:t>
      </w:r>
      <w:r w:rsidR="003177C7" w:rsidRPr="00D9460D">
        <w:rPr>
          <w:lang w:val="en-GB" w:eastAsia="en-AU"/>
        </w:rPr>
        <w:t>,</w:t>
      </w:r>
      <w:r w:rsidRPr="00D9460D">
        <w:rPr>
          <w:lang w:val="en-GB" w:eastAsia="en-AU"/>
        </w:rPr>
        <w:t xml:space="preserve"> returned </w:t>
      </w:r>
      <w:r w:rsidR="001E5909" w:rsidRPr="00D9460D">
        <w:rPr>
          <w:lang w:val="en-GB" w:eastAsia="en-AU"/>
        </w:rPr>
        <w:t xml:space="preserve">(undamaged) </w:t>
      </w:r>
      <w:r w:rsidR="003177C7" w:rsidRPr="00D9460D">
        <w:rPr>
          <w:lang w:val="en-GB" w:eastAsia="en-AU"/>
        </w:rPr>
        <w:t xml:space="preserve">and analysed </w:t>
      </w:r>
      <w:r w:rsidRPr="00D9460D">
        <w:rPr>
          <w:lang w:val="en-GB" w:eastAsia="en-AU"/>
        </w:rPr>
        <w:t>(</w:t>
      </w:r>
      <w:r w:rsidR="00275FDB">
        <w:t xml:space="preserve">Appendix F </w:t>
      </w:r>
      <w:r w:rsidR="00A521C0">
        <w:t>Table F-1,</w:t>
      </w:r>
      <w:r w:rsidRPr="00D9460D">
        <w:rPr>
          <w:lang w:val="en-GB" w:eastAsia="en-AU"/>
        </w:rPr>
        <w:t>).</w:t>
      </w:r>
      <w:r>
        <w:rPr>
          <w:lang w:val="en-GB" w:eastAsia="en-AU"/>
        </w:rPr>
        <w:t xml:space="preserve"> In comparison, successful sampler returns for the two </w:t>
      </w:r>
      <w:r w:rsidR="00662276">
        <w:rPr>
          <w:lang w:val="en-GB" w:eastAsia="en-AU"/>
        </w:rPr>
        <w:t xml:space="preserve">previous </w:t>
      </w:r>
      <w:r>
        <w:rPr>
          <w:lang w:val="en-GB" w:eastAsia="en-AU"/>
        </w:rPr>
        <w:t xml:space="preserve">years were </w:t>
      </w:r>
      <w:r w:rsidR="003177C7">
        <w:rPr>
          <w:lang w:val="en-GB" w:eastAsia="en-AU"/>
        </w:rPr>
        <w:t xml:space="preserve">83 and </w:t>
      </w:r>
      <w:r>
        <w:rPr>
          <w:lang w:val="en-GB" w:eastAsia="en-AU"/>
        </w:rPr>
        <w:t>84</w:t>
      </w:r>
      <w:r w:rsidR="001445C6">
        <w:rPr>
          <w:lang w:val="en-GB" w:eastAsia="en-AU"/>
        </w:rPr>
        <w:t xml:space="preserve"> </w:t>
      </w:r>
      <w:r w:rsidR="00662276">
        <w:rPr>
          <w:lang w:val="en-GB" w:eastAsia="en-AU"/>
        </w:rPr>
        <w:t>per cent</w:t>
      </w:r>
      <w:r>
        <w:rPr>
          <w:lang w:val="en-GB" w:eastAsia="en-AU"/>
        </w:rPr>
        <w:t xml:space="preserve">. The remainder of samplers were unsuccessful for </w:t>
      </w:r>
      <w:r w:rsidR="00016315">
        <w:rPr>
          <w:lang w:val="en-GB" w:eastAsia="en-AU"/>
        </w:rPr>
        <w:t>several</w:t>
      </w:r>
      <w:r>
        <w:rPr>
          <w:lang w:val="en-GB" w:eastAsia="en-AU"/>
        </w:rPr>
        <w:t xml:space="preserve"> reasons, but were typically </w:t>
      </w:r>
      <w:r w:rsidR="006232C0">
        <w:rPr>
          <w:lang w:val="en-GB" w:eastAsia="en-AU"/>
        </w:rPr>
        <w:t>because of</w:t>
      </w:r>
      <w:r>
        <w:rPr>
          <w:lang w:val="en-GB" w:eastAsia="en-AU"/>
        </w:rPr>
        <w:t xml:space="preserve"> a lost mooring following bad weather</w:t>
      </w:r>
      <w:r w:rsidR="00016315">
        <w:rPr>
          <w:lang w:val="en-GB" w:eastAsia="en-AU"/>
        </w:rPr>
        <w:t xml:space="preserve"> or </w:t>
      </w:r>
      <w:r w:rsidR="00016315" w:rsidRPr="00016315">
        <w:rPr>
          <w:i/>
          <w:lang w:val="en-GB" w:eastAsia="en-AU"/>
        </w:rPr>
        <w:t>in situ</w:t>
      </w:r>
      <w:r w:rsidR="00016315">
        <w:rPr>
          <w:lang w:val="en-GB" w:eastAsia="en-AU"/>
        </w:rPr>
        <w:t xml:space="preserve"> damage (e.g. membrane lost or fouled)</w:t>
      </w:r>
      <w:r>
        <w:rPr>
          <w:lang w:val="en-GB" w:eastAsia="en-AU"/>
        </w:rPr>
        <w:t>. Four sites (</w:t>
      </w:r>
      <w:r w:rsidR="00016315">
        <w:rPr>
          <w:lang w:val="en-GB" w:eastAsia="en-AU"/>
        </w:rPr>
        <w:t>Dunk Island, High Island</w:t>
      </w:r>
      <w:r>
        <w:rPr>
          <w:lang w:val="en-GB" w:eastAsia="en-AU"/>
        </w:rPr>
        <w:t xml:space="preserve">, Lucinda, </w:t>
      </w:r>
      <w:r w:rsidR="00016315">
        <w:rPr>
          <w:lang w:val="en-GB" w:eastAsia="en-AU"/>
        </w:rPr>
        <w:t>and North Keppel Island</w:t>
      </w:r>
      <w:r>
        <w:rPr>
          <w:lang w:val="en-GB" w:eastAsia="en-AU"/>
        </w:rPr>
        <w:t xml:space="preserve">) had </w:t>
      </w:r>
      <w:r w:rsidR="00016315">
        <w:rPr>
          <w:lang w:val="en-GB" w:eastAsia="en-AU"/>
        </w:rPr>
        <w:t>complete</w:t>
      </w:r>
      <w:r>
        <w:rPr>
          <w:lang w:val="en-GB" w:eastAsia="en-AU"/>
        </w:rPr>
        <w:t xml:space="preserve"> sampling records in 201</w:t>
      </w:r>
      <w:r w:rsidR="00016315">
        <w:rPr>
          <w:lang w:val="en-GB" w:eastAsia="en-AU"/>
        </w:rPr>
        <w:t>5</w:t>
      </w:r>
      <w:r>
        <w:rPr>
          <w:lang w:val="en-GB" w:eastAsia="en-AU"/>
        </w:rPr>
        <w:t>-</w:t>
      </w:r>
      <w:r w:rsidR="00016315">
        <w:rPr>
          <w:lang w:val="en-GB" w:eastAsia="en-AU"/>
        </w:rPr>
        <w:t>16</w:t>
      </w:r>
      <w:r>
        <w:rPr>
          <w:lang w:val="en-GB" w:eastAsia="en-AU"/>
        </w:rPr>
        <w:t xml:space="preserve">, with no missed deployments. </w:t>
      </w:r>
      <w:r>
        <w:rPr>
          <w:lang w:val="en-AU" w:eastAsia="en-AU"/>
        </w:rPr>
        <w:t xml:space="preserve">Due to </w:t>
      </w:r>
      <w:r w:rsidR="003E3898">
        <w:rPr>
          <w:lang w:val="en-AU" w:eastAsia="en-AU"/>
        </w:rPr>
        <w:t>a changeover in the local volunteer organisation</w:t>
      </w:r>
      <w:r>
        <w:rPr>
          <w:lang w:val="en-AU" w:eastAsia="en-AU"/>
        </w:rPr>
        <w:t xml:space="preserve">, Normanby Island had only </w:t>
      </w:r>
      <w:r w:rsidR="00016315">
        <w:rPr>
          <w:lang w:val="en-AU" w:eastAsia="en-AU"/>
        </w:rPr>
        <w:t>one successful deployment</w:t>
      </w:r>
      <w:r>
        <w:rPr>
          <w:lang w:val="en-AU" w:eastAsia="en-AU"/>
        </w:rPr>
        <w:t xml:space="preserve"> in the </w:t>
      </w:r>
      <w:r w:rsidR="00016315">
        <w:rPr>
          <w:lang w:val="en-AU" w:eastAsia="en-AU"/>
        </w:rPr>
        <w:t>dry</w:t>
      </w:r>
      <w:r>
        <w:rPr>
          <w:lang w:val="en-AU" w:eastAsia="en-AU"/>
        </w:rPr>
        <w:t xml:space="preserve"> season and none in the </w:t>
      </w:r>
      <w:r w:rsidR="00016315">
        <w:rPr>
          <w:lang w:val="en-AU" w:eastAsia="en-AU"/>
        </w:rPr>
        <w:t>wet</w:t>
      </w:r>
      <w:r>
        <w:rPr>
          <w:lang w:val="en-AU" w:eastAsia="en-AU"/>
        </w:rPr>
        <w:t xml:space="preserve"> season. </w:t>
      </w:r>
      <w:r w:rsidR="00016315">
        <w:rPr>
          <w:lang w:val="en-AU" w:eastAsia="en-AU"/>
        </w:rPr>
        <w:t xml:space="preserve">As in the previous year, </w:t>
      </w:r>
      <w:r w:rsidR="003E3898">
        <w:rPr>
          <w:lang w:val="en-AU" w:eastAsia="en-AU"/>
        </w:rPr>
        <w:t xml:space="preserve">only two successful deployments of samplers occurred at </w:t>
      </w:r>
      <w:r>
        <w:rPr>
          <w:lang w:val="en-AU" w:eastAsia="en-AU"/>
        </w:rPr>
        <w:t xml:space="preserve">Sarina Inlet </w:t>
      </w:r>
      <w:r w:rsidR="003E3898">
        <w:rPr>
          <w:lang w:val="en-AU" w:eastAsia="en-AU"/>
        </w:rPr>
        <w:t>(both</w:t>
      </w:r>
      <w:r>
        <w:rPr>
          <w:lang w:val="en-AU" w:eastAsia="en-AU"/>
        </w:rPr>
        <w:t xml:space="preserve"> </w:t>
      </w:r>
      <w:r w:rsidR="00B259D1">
        <w:rPr>
          <w:lang w:val="en-AU" w:eastAsia="en-AU"/>
        </w:rPr>
        <w:t>exceeding the recommended deployment period</w:t>
      </w:r>
      <w:r w:rsidR="003E3898">
        <w:rPr>
          <w:lang w:val="en-AU" w:eastAsia="en-AU"/>
        </w:rPr>
        <w:t>)</w:t>
      </w:r>
      <w:r>
        <w:rPr>
          <w:lang w:val="en-AU" w:eastAsia="en-AU"/>
        </w:rPr>
        <w:t xml:space="preserve"> </w:t>
      </w:r>
      <w:r w:rsidR="00016315">
        <w:rPr>
          <w:lang w:val="en-AU" w:eastAsia="en-AU"/>
        </w:rPr>
        <w:t>and none in the wet season</w:t>
      </w:r>
      <w:r>
        <w:rPr>
          <w:lang w:val="en-AU" w:eastAsia="en-AU"/>
        </w:rPr>
        <w:t>.</w:t>
      </w:r>
      <w:r w:rsidR="00016315">
        <w:rPr>
          <w:lang w:val="en-AU" w:eastAsia="en-AU"/>
        </w:rPr>
        <w:t xml:space="preserve"> For sites with lower deployment rates, trend comparisons with previous years are generally </w:t>
      </w:r>
      <w:r w:rsidR="006232C0">
        <w:rPr>
          <w:lang w:val="en-AU" w:eastAsia="en-AU"/>
        </w:rPr>
        <w:t xml:space="preserve">not </w:t>
      </w:r>
      <w:r w:rsidR="00016315">
        <w:rPr>
          <w:lang w:val="en-AU" w:eastAsia="en-AU"/>
        </w:rPr>
        <w:t>possible</w:t>
      </w:r>
      <w:r w:rsidR="00465414">
        <w:rPr>
          <w:lang w:val="en-AU" w:eastAsia="en-AU"/>
        </w:rPr>
        <w:t>, and care needs to be taken when comparing between the monitoring sites</w:t>
      </w:r>
      <w:r w:rsidR="00016315">
        <w:rPr>
          <w:lang w:val="en-AU" w:eastAsia="en-AU"/>
        </w:rPr>
        <w:t>.</w:t>
      </w:r>
    </w:p>
    <w:p w14:paraId="15720F57" w14:textId="77777777" w:rsidR="0023161A" w:rsidRDefault="0023161A" w:rsidP="00015606">
      <w:pPr>
        <w:spacing w:line="276" w:lineRule="auto"/>
        <w:rPr>
          <w:lang w:val="en-AU" w:eastAsia="en-AU"/>
        </w:rPr>
      </w:pPr>
    </w:p>
    <w:p w14:paraId="15720F58" w14:textId="77777777" w:rsidR="0023161A" w:rsidRDefault="0023161A" w:rsidP="0023161A">
      <w:pPr>
        <w:pStyle w:val="Heading30"/>
        <w:numPr>
          <w:ilvl w:val="2"/>
          <w:numId w:val="1"/>
        </w:numPr>
      </w:pPr>
      <w:bookmarkStart w:id="430" w:name="_Toc461457771"/>
      <w:bookmarkStart w:id="431" w:name="_Toc502500013"/>
      <w:r>
        <w:t>Reef-wide summary pesticide results</w:t>
      </w:r>
      <w:bookmarkEnd w:id="430"/>
      <w:bookmarkEnd w:id="431"/>
    </w:p>
    <w:p w14:paraId="15720F59" w14:textId="7FC357DA" w:rsidR="0023161A" w:rsidRDefault="0023161A" w:rsidP="0023161A">
      <w:pPr>
        <w:pStyle w:val="Heading30"/>
        <w:numPr>
          <w:ilvl w:val="3"/>
          <w:numId w:val="1"/>
        </w:numPr>
      </w:pPr>
      <w:bookmarkStart w:id="432" w:name="_Toc502500014"/>
      <w:r>
        <w:t>Frequency of pesticide detections</w:t>
      </w:r>
      <w:bookmarkEnd w:id="432"/>
    </w:p>
    <w:p w14:paraId="15720F5A" w14:textId="64D1CF11" w:rsidR="0023161A" w:rsidRDefault="00884204" w:rsidP="0023161A">
      <w:pPr>
        <w:spacing w:line="276" w:lineRule="auto"/>
        <w:rPr>
          <w:lang w:val="en-AU"/>
        </w:rPr>
      </w:pPr>
      <w:r>
        <w:rPr>
          <w:lang w:val="en-AU"/>
        </w:rPr>
        <w:t xml:space="preserve">Twelve </w:t>
      </w:r>
      <w:r w:rsidR="0023161A">
        <w:rPr>
          <w:lang w:val="en-AU"/>
        </w:rPr>
        <w:t xml:space="preserve">PSII herbicides </w:t>
      </w:r>
      <w:r>
        <w:rPr>
          <w:lang w:val="en-AU"/>
        </w:rPr>
        <w:t xml:space="preserve">and two metabolites of atrazine (DE atrazine and DI atrazine) </w:t>
      </w:r>
      <w:r w:rsidR="0023161A">
        <w:rPr>
          <w:lang w:val="en-AU"/>
        </w:rPr>
        <w:t>were included in the sample analys</w:t>
      </w:r>
      <w:r>
        <w:rPr>
          <w:lang w:val="en-AU"/>
        </w:rPr>
        <w:t>i</w:t>
      </w:r>
      <w:r w:rsidR="0023161A">
        <w:rPr>
          <w:lang w:val="en-AU"/>
        </w:rPr>
        <w:t xml:space="preserve">s </w:t>
      </w:r>
      <w:r>
        <w:rPr>
          <w:lang w:val="en-AU"/>
        </w:rPr>
        <w:t>suite of the passive sampler extracts</w:t>
      </w:r>
      <w:r w:rsidR="0023161A">
        <w:rPr>
          <w:lang w:val="en-AU"/>
        </w:rPr>
        <w:t xml:space="preserve">. Of these, eleven were detected </w:t>
      </w:r>
      <w:r w:rsidR="00DB25BD">
        <w:rPr>
          <w:lang w:val="en-AU"/>
        </w:rPr>
        <w:t xml:space="preserve">at one or more of the marine monitoring sites </w:t>
      </w:r>
      <w:r w:rsidR="0023161A">
        <w:rPr>
          <w:lang w:val="en-AU"/>
        </w:rPr>
        <w:t>(</w:t>
      </w:r>
      <w:r w:rsidR="002A77E1">
        <w:fldChar w:fldCharType="begin"/>
      </w:r>
      <w:r w:rsidR="002A77E1">
        <w:instrText xml:space="preserve"> REF _Ref480561224 \h  \* MERGEFORMAT </w:instrText>
      </w:r>
      <w:r w:rsidR="002A77E1">
        <w:fldChar w:fldCharType="separate"/>
      </w:r>
      <w:r w:rsidR="00D12276" w:rsidRPr="00D12276">
        <w:rPr>
          <w:lang w:val="en-AU"/>
        </w:rPr>
        <w:t>Figure 8</w:t>
      </w:r>
      <w:r w:rsidR="002A77E1">
        <w:fldChar w:fldCharType="end"/>
      </w:r>
      <w:r w:rsidR="0023161A">
        <w:rPr>
          <w:lang w:val="en-AU"/>
        </w:rPr>
        <w:t xml:space="preserve">). The most commonly detected PSII herbicides were atrazine, diuron and hexazinone. Fluometuron, prometryn and terbutryn were not detected at any site. Of </w:t>
      </w:r>
      <w:r>
        <w:rPr>
          <w:lang w:val="en-AU"/>
        </w:rPr>
        <w:t>the</w:t>
      </w:r>
      <w:r w:rsidR="0023161A">
        <w:rPr>
          <w:lang w:val="en-AU"/>
        </w:rPr>
        <w:t xml:space="preserve"> </w:t>
      </w:r>
      <w:r w:rsidR="00AF6B94">
        <w:rPr>
          <w:lang w:val="en-AU"/>
        </w:rPr>
        <w:t>fifteen</w:t>
      </w:r>
      <w:r w:rsidR="0023161A">
        <w:rPr>
          <w:lang w:val="en-AU"/>
        </w:rPr>
        <w:t xml:space="preserve"> </w:t>
      </w:r>
      <w:r w:rsidR="00A521C0">
        <w:rPr>
          <w:lang w:val="en-AU"/>
        </w:rPr>
        <w:t>other pesticides</w:t>
      </w:r>
      <w:r w:rsidR="0023161A">
        <w:rPr>
          <w:lang w:val="en-AU"/>
        </w:rPr>
        <w:t xml:space="preserve"> </w:t>
      </w:r>
      <w:r w:rsidR="00794873">
        <w:rPr>
          <w:lang w:val="en-AU"/>
        </w:rPr>
        <w:t xml:space="preserve">in the analysis suite </w:t>
      </w:r>
      <w:r w:rsidR="0023161A">
        <w:rPr>
          <w:lang w:val="en-AU"/>
        </w:rPr>
        <w:t>(</w:t>
      </w:r>
      <w:r w:rsidR="00AF6B94">
        <w:rPr>
          <w:lang w:val="en-AU"/>
        </w:rPr>
        <w:t>eleven</w:t>
      </w:r>
      <w:r w:rsidR="0023161A">
        <w:rPr>
          <w:lang w:val="en-AU"/>
        </w:rPr>
        <w:t xml:space="preserve"> polar and </w:t>
      </w:r>
      <w:r w:rsidR="00AF6B94">
        <w:rPr>
          <w:lang w:val="en-AU"/>
        </w:rPr>
        <w:t>four</w:t>
      </w:r>
      <w:r w:rsidR="0023161A">
        <w:rPr>
          <w:lang w:val="en-AU"/>
        </w:rPr>
        <w:t xml:space="preserve"> non-polar), nine were detected at measurable levels in ED samplers and all three non-polar pesticides were detected in the PDMS samplers</w:t>
      </w:r>
      <w:r>
        <w:rPr>
          <w:lang w:val="en-AU"/>
        </w:rPr>
        <w:t xml:space="preserve"> (</w:t>
      </w:r>
      <w:r w:rsidR="00A521C0">
        <w:rPr>
          <w:lang w:val="en-AU"/>
        </w:rPr>
        <w:fldChar w:fldCharType="begin"/>
      </w:r>
      <w:r w:rsidR="00A521C0">
        <w:rPr>
          <w:lang w:val="en-AU"/>
        </w:rPr>
        <w:instrText xml:space="preserve"> REF _Ref480561224 \h  \* MERGEFORMAT </w:instrText>
      </w:r>
      <w:r w:rsidR="00A521C0">
        <w:rPr>
          <w:lang w:val="en-AU"/>
        </w:rPr>
      </w:r>
      <w:r w:rsidR="00A521C0">
        <w:rPr>
          <w:lang w:val="en-AU"/>
        </w:rPr>
        <w:fldChar w:fldCharType="separate"/>
      </w:r>
      <w:r w:rsidR="00D12276" w:rsidRPr="00637770">
        <w:t xml:space="preserve">Figure </w:t>
      </w:r>
      <w:r w:rsidR="00D12276" w:rsidRPr="00D12276">
        <w:rPr>
          <w:noProof/>
        </w:rPr>
        <w:t>8</w:t>
      </w:r>
      <w:r w:rsidR="00A521C0">
        <w:rPr>
          <w:lang w:val="en-AU"/>
        </w:rPr>
        <w:fldChar w:fldCharType="end"/>
      </w:r>
      <w:r>
        <w:rPr>
          <w:lang w:val="en-AU"/>
        </w:rPr>
        <w:t>)</w:t>
      </w:r>
      <w:r w:rsidR="0023161A">
        <w:rPr>
          <w:lang w:val="en-AU"/>
        </w:rPr>
        <w:t xml:space="preserve">. 2,4-DB </w:t>
      </w:r>
      <w:r w:rsidR="00AF6B94">
        <w:rPr>
          <w:lang w:val="en-AU"/>
        </w:rPr>
        <w:t>and fluazifop were</w:t>
      </w:r>
      <w:r w:rsidR="0023161A">
        <w:rPr>
          <w:lang w:val="en-AU"/>
        </w:rPr>
        <w:t xml:space="preserve"> not detected at any site. Of the non-polar</w:t>
      </w:r>
      <w:r w:rsidR="00794873">
        <w:rPr>
          <w:lang w:val="en-AU"/>
        </w:rPr>
        <w:t xml:space="preserve"> pesticides</w:t>
      </w:r>
      <w:r w:rsidR="0023161A">
        <w:rPr>
          <w:lang w:val="en-AU"/>
        </w:rPr>
        <w:t xml:space="preserve">, chlorpyrifos and pendimethalin were frequently detected at all sites where samplers were deployed. </w:t>
      </w:r>
      <w:r w:rsidR="00AF6B94">
        <w:rPr>
          <w:lang w:val="en-AU"/>
        </w:rPr>
        <w:t>Propiconazole and t</w:t>
      </w:r>
      <w:r w:rsidR="0023161A">
        <w:rPr>
          <w:lang w:val="en-AU"/>
        </w:rPr>
        <w:t xml:space="preserve">rifluralin </w:t>
      </w:r>
      <w:r w:rsidR="00AF6B94">
        <w:rPr>
          <w:lang w:val="en-AU"/>
        </w:rPr>
        <w:t>were both</w:t>
      </w:r>
      <w:r w:rsidR="0023161A">
        <w:rPr>
          <w:lang w:val="en-AU"/>
        </w:rPr>
        <w:t xml:space="preserve"> detected only twice at a single site. </w:t>
      </w:r>
    </w:p>
    <w:p w14:paraId="15720F5B" w14:textId="77777777" w:rsidR="0023161A" w:rsidRDefault="0023161A" w:rsidP="0023161A">
      <w:pPr>
        <w:spacing w:line="276" w:lineRule="auto"/>
        <w:rPr>
          <w:lang w:val="en-AU"/>
        </w:rPr>
      </w:pPr>
    </w:p>
    <w:p w14:paraId="15720F5C" w14:textId="4E44F4EF" w:rsidR="0023161A" w:rsidRDefault="00E437CF" w:rsidP="0023161A">
      <w:pPr>
        <w:spacing w:line="276" w:lineRule="auto"/>
        <w:rPr>
          <w:lang w:val="en-AU"/>
        </w:rPr>
      </w:pPr>
      <w:r w:rsidRPr="00E437CF">
        <w:rPr>
          <w:noProof/>
          <w:lang w:val="en-AU" w:eastAsia="en-AU" w:bidi="ar-SA"/>
        </w:rPr>
        <w:drawing>
          <wp:inline distT="0" distB="0" distL="0" distR="0" wp14:anchorId="2047AE04" wp14:editId="60AA8D23">
            <wp:extent cx="6660000" cy="3062267"/>
            <wp:effectExtent l="0" t="0" r="7620" b="0"/>
            <wp:docPr id="7221" name="Picture 7221" descr="Figure 8: Number of ED and PDMS samplers that had measurable pesticide levels (i.e. above the limit of detection, LOD) for each pesticide. The five priority PSII herbicides were detected at between 10 (ametryn) and 68 (atrazine)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34">
                      <a:extLst>
                        <a:ext uri="{28A0092B-C50C-407E-A947-70E740481C1C}">
                          <a14:useLocalDpi xmlns:a14="http://schemas.microsoft.com/office/drawing/2010/main" val="0"/>
                        </a:ext>
                      </a:extLst>
                    </a:blip>
                    <a:srcRect r="1451"/>
                    <a:stretch/>
                  </pic:blipFill>
                  <pic:spPr bwMode="auto">
                    <a:xfrm>
                      <a:off x="0" y="0"/>
                      <a:ext cx="6660000" cy="3062267"/>
                    </a:xfrm>
                    <a:prstGeom prst="rect">
                      <a:avLst/>
                    </a:prstGeom>
                    <a:noFill/>
                    <a:ln>
                      <a:noFill/>
                    </a:ln>
                    <a:extLst>
                      <a:ext uri="{53640926-AAD7-44D8-BBD7-CCE9431645EC}">
                        <a14:shadowObscured xmlns:a14="http://schemas.microsoft.com/office/drawing/2010/main"/>
                      </a:ext>
                    </a:extLst>
                  </pic:spPr>
                </pic:pic>
              </a:graphicData>
            </a:graphic>
          </wp:inline>
        </w:drawing>
      </w:r>
    </w:p>
    <w:p w14:paraId="15720F5D" w14:textId="624CE4ED" w:rsidR="0023161A" w:rsidRPr="00637770" w:rsidRDefault="0023161A" w:rsidP="0023161A">
      <w:pPr>
        <w:pStyle w:val="Caption"/>
        <w:keepNext/>
        <w:spacing w:after="120" w:line="276" w:lineRule="auto"/>
        <w:rPr>
          <w:b w:val="0"/>
        </w:rPr>
      </w:pPr>
      <w:bookmarkStart w:id="433" w:name="_Ref480561224"/>
      <w:bookmarkStart w:id="434" w:name="_Toc502499938"/>
      <w:r w:rsidRPr="00637770">
        <w:rPr>
          <w:b w:val="0"/>
        </w:rPr>
        <w:t xml:space="preserve">Figure </w:t>
      </w:r>
      <w:r w:rsidR="00C91BF5" w:rsidRPr="00637770">
        <w:rPr>
          <w:b w:val="0"/>
        </w:rPr>
        <w:fldChar w:fldCharType="begin"/>
      </w:r>
      <w:r w:rsidRPr="00637770">
        <w:rPr>
          <w:b w:val="0"/>
        </w:rPr>
        <w:instrText xml:space="preserve"> SEQ Figure \* ARABIC </w:instrText>
      </w:r>
      <w:r w:rsidR="00C91BF5" w:rsidRPr="00637770">
        <w:rPr>
          <w:b w:val="0"/>
        </w:rPr>
        <w:fldChar w:fldCharType="separate"/>
      </w:r>
      <w:r w:rsidR="00D12276">
        <w:rPr>
          <w:b w:val="0"/>
          <w:noProof/>
        </w:rPr>
        <w:t>8</w:t>
      </w:r>
      <w:r w:rsidR="00C91BF5" w:rsidRPr="00637770">
        <w:rPr>
          <w:b w:val="0"/>
        </w:rPr>
        <w:fldChar w:fldCharType="end"/>
      </w:r>
      <w:bookmarkEnd w:id="433"/>
      <w:r>
        <w:rPr>
          <w:b w:val="0"/>
        </w:rPr>
        <w:t xml:space="preserve">: Number of ED and PDMS samplers that had measurable pesticide levels (i.e. above the limit of detection, LOD) for each pesticide included in this study, out of a total of 68 ED samplers and 13 PDMS samplers returned in 2015-16 </w:t>
      </w:r>
      <w:r w:rsidR="00A521C0">
        <w:rPr>
          <w:b w:val="0"/>
        </w:rPr>
        <w:t>(Table F-1, Appendix F</w:t>
      </w:r>
      <w:r>
        <w:rPr>
          <w:b w:val="0"/>
        </w:rPr>
        <w:t>).</w:t>
      </w:r>
      <w:bookmarkEnd w:id="434"/>
    </w:p>
    <w:p w14:paraId="15720F5E" w14:textId="77777777" w:rsidR="0023161A" w:rsidRDefault="0023161A" w:rsidP="00015606">
      <w:pPr>
        <w:spacing w:line="276" w:lineRule="auto"/>
        <w:rPr>
          <w:lang w:val="en-AU" w:eastAsia="en-AU"/>
        </w:rPr>
      </w:pPr>
    </w:p>
    <w:p w14:paraId="15720F5F" w14:textId="77777777" w:rsidR="0059608E" w:rsidRDefault="0059608E" w:rsidP="00015606">
      <w:pPr>
        <w:pStyle w:val="Caption"/>
        <w:spacing w:line="276" w:lineRule="auto"/>
        <w:jc w:val="center"/>
      </w:pPr>
    </w:p>
    <w:p w14:paraId="415ECE7F" w14:textId="507F8780" w:rsidR="00B259D1" w:rsidRDefault="00460442" w:rsidP="00B259D1">
      <w:pPr>
        <w:pStyle w:val="Heading30"/>
        <w:numPr>
          <w:ilvl w:val="3"/>
          <w:numId w:val="1"/>
        </w:numPr>
      </w:pPr>
      <w:bookmarkStart w:id="435" w:name="_Toc502500015"/>
      <w:r>
        <w:t>Summary of pesticide</w:t>
      </w:r>
      <w:r w:rsidR="00B259D1">
        <w:t xml:space="preserve"> concentrations in 2015-16</w:t>
      </w:r>
      <w:bookmarkEnd w:id="435"/>
    </w:p>
    <w:p w14:paraId="15720FB8" w14:textId="6B523F39" w:rsidR="00F872CD" w:rsidRDefault="0059608E" w:rsidP="00015606">
      <w:pPr>
        <w:spacing w:line="276" w:lineRule="auto"/>
        <w:rPr>
          <w:lang w:val="en-AU"/>
        </w:rPr>
      </w:pPr>
      <w:r>
        <w:rPr>
          <w:lang w:val="en-AU" w:eastAsia="en-AU"/>
        </w:rPr>
        <w:t>T</w:t>
      </w:r>
      <w:r>
        <w:rPr>
          <w:lang w:val="en-AU"/>
        </w:rPr>
        <w:t xml:space="preserve">he </w:t>
      </w:r>
      <w:r w:rsidR="008B74AD">
        <w:rPr>
          <w:lang w:val="en-AU"/>
        </w:rPr>
        <w:t xml:space="preserve">PSII </w:t>
      </w:r>
      <w:r>
        <w:rPr>
          <w:lang w:val="en-AU"/>
        </w:rPr>
        <w:t xml:space="preserve">herbicides </w:t>
      </w:r>
      <w:r w:rsidR="001E5909">
        <w:rPr>
          <w:lang w:val="en-AU"/>
        </w:rPr>
        <w:t xml:space="preserve">detected at the highest concentrations </w:t>
      </w:r>
      <w:r>
        <w:rPr>
          <w:lang w:val="en-AU"/>
        </w:rPr>
        <w:t xml:space="preserve">in </w:t>
      </w:r>
      <w:r w:rsidR="00F87C1F">
        <w:rPr>
          <w:lang w:val="en-AU"/>
        </w:rPr>
        <w:t>2015-16</w:t>
      </w:r>
      <w:r w:rsidR="00CE7770">
        <w:rPr>
          <w:lang w:val="en-AU"/>
        </w:rPr>
        <w:t>, which were also the</w:t>
      </w:r>
      <w:r>
        <w:rPr>
          <w:lang w:val="en-AU"/>
        </w:rPr>
        <w:t xml:space="preserve"> </w:t>
      </w:r>
      <w:r w:rsidR="00CE7770">
        <w:rPr>
          <w:lang w:val="en-AU"/>
        </w:rPr>
        <w:t xml:space="preserve">most frequently detected, </w:t>
      </w:r>
      <w:r>
        <w:rPr>
          <w:lang w:val="en-AU"/>
        </w:rPr>
        <w:t>were diuron (maximum concentration</w:t>
      </w:r>
      <w:r w:rsidR="00C512F8">
        <w:rPr>
          <w:lang w:val="en-AU"/>
        </w:rPr>
        <w:t xml:space="preserve"> (C</w:t>
      </w:r>
      <w:r w:rsidR="00C512F8" w:rsidRPr="00C512F8">
        <w:rPr>
          <w:vertAlign w:val="subscript"/>
          <w:lang w:val="en-AU"/>
        </w:rPr>
        <w:t>max</w:t>
      </w:r>
      <w:r w:rsidR="00C512F8">
        <w:rPr>
          <w:lang w:val="en-AU"/>
        </w:rPr>
        <w:t>)</w:t>
      </w:r>
      <w:r>
        <w:rPr>
          <w:lang w:val="en-AU"/>
        </w:rPr>
        <w:t xml:space="preserve"> </w:t>
      </w:r>
      <w:r w:rsidR="00F87C1F">
        <w:rPr>
          <w:lang w:val="en-AU"/>
        </w:rPr>
        <w:t>46</w:t>
      </w:r>
      <w:r w:rsidR="00240E91">
        <w:rPr>
          <w:lang w:val="en-AU"/>
        </w:rPr>
        <w:t>0</w:t>
      </w:r>
      <w:r>
        <w:rPr>
          <w:lang w:val="en-AU"/>
        </w:rPr>
        <w:t xml:space="preserve"> ng L</w:t>
      </w:r>
      <w:r w:rsidRPr="00F62CD7">
        <w:rPr>
          <w:vertAlign w:val="superscript"/>
          <w:lang w:val="en-AU"/>
        </w:rPr>
        <w:t>-1</w:t>
      </w:r>
      <w:r>
        <w:rPr>
          <w:lang w:val="en-AU"/>
        </w:rPr>
        <w:t>), atr</w:t>
      </w:r>
      <w:r w:rsidR="00C7494D">
        <w:rPr>
          <w:lang w:val="en-AU"/>
        </w:rPr>
        <w:t>azine (</w:t>
      </w:r>
      <w:r w:rsidR="00C512F8">
        <w:rPr>
          <w:lang w:val="en-AU"/>
        </w:rPr>
        <w:t>C</w:t>
      </w:r>
      <w:r w:rsidR="00C512F8" w:rsidRPr="00C512F8">
        <w:rPr>
          <w:vertAlign w:val="subscript"/>
          <w:lang w:val="en-AU"/>
        </w:rPr>
        <w:t>max</w:t>
      </w:r>
      <w:r w:rsidR="00C512F8">
        <w:rPr>
          <w:lang w:val="en-AU"/>
        </w:rPr>
        <w:t xml:space="preserve"> </w:t>
      </w:r>
      <w:r>
        <w:rPr>
          <w:lang w:val="en-AU"/>
        </w:rPr>
        <w:t>2</w:t>
      </w:r>
      <w:r w:rsidR="00240E91">
        <w:rPr>
          <w:lang w:val="en-AU"/>
        </w:rPr>
        <w:t>50</w:t>
      </w:r>
      <w:r>
        <w:rPr>
          <w:lang w:val="en-AU"/>
        </w:rPr>
        <w:t xml:space="preserve"> ng L</w:t>
      </w:r>
      <w:r w:rsidRPr="00F62CD7">
        <w:rPr>
          <w:vertAlign w:val="superscript"/>
          <w:lang w:val="en-AU"/>
        </w:rPr>
        <w:t>-1</w:t>
      </w:r>
      <w:r>
        <w:rPr>
          <w:lang w:val="en-AU"/>
        </w:rPr>
        <w:t>) and hexazinone (</w:t>
      </w:r>
      <w:r w:rsidR="00C512F8">
        <w:rPr>
          <w:lang w:val="en-AU"/>
        </w:rPr>
        <w:t>C</w:t>
      </w:r>
      <w:r w:rsidR="00C512F8" w:rsidRPr="00C512F8">
        <w:rPr>
          <w:vertAlign w:val="subscript"/>
          <w:lang w:val="en-AU"/>
        </w:rPr>
        <w:t>max</w:t>
      </w:r>
      <w:r w:rsidR="00C512F8">
        <w:rPr>
          <w:lang w:val="en-AU"/>
        </w:rPr>
        <w:t xml:space="preserve"> </w:t>
      </w:r>
      <w:r w:rsidR="00F87C1F">
        <w:rPr>
          <w:lang w:val="en-AU"/>
        </w:rPr>
        <w:t>72</w:t>
      </w:r>
      <w:r>
        <w:rPr>
          <w:lang w:val="en-AU"/>
        </w:rPr>
        <w:t xml:space="preserve"> ng L</w:t>
      </w:r>
      <w:r w:rsidRPr="00F62CD7">
        <w:rPr>
          <w:vertAlign w:val="superscript"/>
          <w:lang w:val="en-AU"/>
        </w:rPr>
        <w:t>-1</w:t>
      </w:r>
      <w:r>
        <w:rPr>
          <w:lang w:val="en-AU"/>
        </w:rPr>
        <w:t xml:space="preserve">), all detected at </w:t>
      </w:r>
      <w:r w:rsidR="005A19C8">
        <w:rPr>
          <w:lang w:val="en-AU"/>
        </w:rPr>
        <w:t>Round Top Island</w:t>
      </w:r>
      <w:r w:rsidR="00F87C1F">
        <w:rPr>
          <w:lang w:val="en-AU"/>
        </w:rPr>
        <w:t xml:space="preserve"> </w:t>
      </w:r>
      <w:r w:rsidR="009356A6">
        <w:rPr>
          <w:lang w:val="en-AU"/>
        </w:rPr>
        <w:t xml:space="preserve">in the Mackay Whitsunday region </w:t>
      </w:r>
      <w:r w:rsidR="00F87C1F">
        <w:rPr>
          <w:lang w:val="en-AU"/>
        </w:rPr>
        <w:t>(</w:t>
      </w:r>
      <w:r w:rsidR="002A77E1">
        <w:fldChar w:fldCharType="begin"/>
      </w:r>
      <w:r w:rsidR="002A77E1">
        <w:instrText xml:space="preserve"> REF _Ref480727969 \h  \* MERGEFORMAT </w:instrText>
      </w:r>
      <w:r w:rsidR="002A77E1">
        <w:fldChar w:fldCharType="separate"/>
      </w:r>
      <w:r w:rsidR="00D12276" w:rsidRPr="00210B7C">
        <w:t xml:space="preserve">Table </w:t>
      </w:r>
      <w:r w:rsidR="00D12276" w:rsidRPr="00D12276">
        <w:t>7</w:t>
      </w:r>
      <w:r w:rsidR="002A77E1">
        <w:fldChar w:fldCharType="end"/>
      </w:r>
      <w:r w:rsidR="00F87C1F">
        <w:rPr>
          <w:lang w:val="en-AU"/>
        </w:rPr>
        <w:t>).</w:t>
      </w:r>
      <w:r>
        <w:rPr>
          <w:lang w:val="en-AU"/>
        </w:rPr>
        <w:t xml:space="preserve"> </w:t>
      </w:r>
      <w:r w:rsidR="00794873">
        <w:rPr>
          <w:lang w:val="en-AU"/>
        </w:rPr>
        <w:t>Other</w:t>
      </w:r>
      <w:r w:rsidR="001445C6">
        <w:rPr>
          <w:lang w:val="en-AU"/>
        </w:rPr>
        <w:t xml:space="preserve"> </w:t>
      </w:r>
      <w:r w:rsidR="004B3180">
        <w:rPr>
          <w:lang w:val="en-AU"/>
        </w:rPr>
        <w:t>pesticides</w:t>
      </w:r>
      <w:r w:rsidR="001445C6">
        <w:rPr>
          <w:lang w:val="en-AU"/>
        </w:rPr>
        <w:t xml:space="preserve"> </w:t>
      </w:r>
      <w:r>
        <w:rPr>
          <w:lang w:val="en-AU"/>
        </w:rPr>
        <w:t xml:space="preserve">2,4-D, imidacloprid, MCPA and metolachlor were also </w:t>
      </w:r>
      <w:r w:rsidR="00F87C1F">
        <w:rPr>
          <w:lang w:val="en-AU"/>
        </w:rPr>
        <w:t xml:space="preserve">frequently </w:t>
      </w:r>
      <w:r>
        <w:rPr>
          <w:lang w:val="en-AU"/>
        </w:rPr>
        <w:t>detected although at relatively low</w:t>
      </w:r>
      <w:r w:rsidR="00B259D1">
        <w:rPr>
          <w:lang w:val="en-AU"/>
        </w:rPr>
        <w:t>er</w:t>
      </w:r>
      <w:r>
        <w:rPr>
          <w:lang w:val="en-AU"/>
        </w:rPr>
        <w:t xml:space="preserve"> concentrations </w:t>
      </w:r>
      <w:r w:rsidR="00F87C1F">
        <w:rPr>
          <w:lang w:val="en-AU"/>
        </w:rPr>
        <w:t>at most sites (typically &lt;</w:t>
      </w:r>
      <w:r>
        <w:rPr>
          <w:lang w:val="en-AU"/>
        </w:rPr>
        <w:t>1 ng L</w:t>
      </w:r>
      <w:r>
        <w:rPr>
          <w:vertAlign w:val="superscript"/>
          <w:lang w:val="en-AU"/>
        </w:rPr>
        <w:t>-1</w:t>
      </w:r>
      <w:r>
        <w:rPr>
          <w:lang w:val="en-AU"/>
        </w:rPr>
        <w:t>)</w:t>
      </w:r>
      <w:r w:rsidR="00CF7004">
        <w:rPr>
          <w:lang w:val="en-AU"/>
        </w:rPr>
        <w:t xml:space="preserve"> </w:t>
      </w:r>
      <w:r w:rsidR="00CF7004" w:rsidRPr="00D9460D">
        <w:rPr>
          <w:lang w:val="en-AU"/>
        </w:rPr>
        <w:t>(</w:t>
      </w:r>
      <w:r w:rsidR="002A77E1">
        <w:fldChar w:fldCharType="begin"/>
      </w:r>
      <w:r w:rsidR="002A77E1">
        <w:instrText xml:space="preserve"> REF _Ref480727969 \h  \* MERGEFORMAT </w:instrText>
      </w:r>
      <w:r w:rsidR="002A77E1">
        <w:fldChar w:fldCharType="separate"/>
      </w:r>
      <w:r w:rsidR="00D12276" w:rsidRPr="00210B7C">
        <w:t xml:space="preserve">Table </w:t>
      </w:r>
      <w:r w:rsidR="00D12276" w:rsidRPr="00D12276">
        <w:t>7</w:t>
      </w:r>
      <w:r w:rsidR="002A77E1">
        <w:fldChar w:fldCharType="end"/>
      </w:r>
      <w:r w:rsidR="00CF7004">
        <w:rPr>
          <w:lang w:val="en-AU"/>
        </w:rPr>
        <w:t>)</w:t>
      </w:r>
      <w:r>
        <w:rPr>
          <w:lang w:val="en-AU"/>
        </w:rPr>
        <w:t>.</w:t>
      </w:r>
      <w:r w:rsidR="00F87C1F">
        <w:rPr>
          <w:lang w:val="en-AU"/>
        </w:rPr>
        <w:t xml:space="preserve"> </w:t>
      </w:r>
      <w:r w:rsidR="00B259D1">
        <w:rPr>
          <w:lang w:val="en-AU"/>
        </w:rPr>
        <w:t>The exception was</w:t>
      </w:r>
      <w:r w:rsidR="00F87C1F">
        <w:rPr>
          <w:lang w:val="en-AU"/>
        </w:rPr>
        <w:t xml:space="preserve"> </w:t>
      </w:r>
      <w:r w:rsidR="005A19C8">
        <w:rPr>
          <w:lang w:val="en-AU"/>
        </w:rPr>
        <w:t>Round Top Island</w:t>
      </w:r>
      <w:r w:rsidR="009356A6">
        <w:rPr>
          <w:lang w:val="en-AU"/>
        </w:rPr>
        <w:t>,</w:t>
      </w:r>
      <w:r w:rsidR="00072B9B">
        <w:rPr>
          <w:lang w:val="en-AU"/>
        </w:rPr>
        <w:t xml:space="preserve"> </w:t>
      </w:r>
      <w:r w:rsidR="00B259D1">
        <w:rPr>
          <w:lang w:val="en-AU"/>
        </w:rPr>
        <w:t xml:space="preserve">where </w:t>
      </w:r>
      <w:r w:rsidR="00C7494D">
        <w:rPr>
          <w:lang w:val="en-AU"/>
        </w:rPr>
        <w:t xml:space="preserve">comparatively </w:t>
      </w:r>
      <w:r w:rsidR="00F87C1F">
        <w:rPr>
          <w:lang w:val="en-AU"/>
        </w:rPr>
        <w:t>high</w:t>
      </w:r>
      <w:r w:rsidR="008B74AD">
        <w:rPr>
          <w:lang w:val="en-AU"/>
        </w:rPr>
        <w:t>er</w:t>
      </w:r>
      <w:r w:rsidR="00F87C1F">
        <w:rPr>
          <w:lang w:val="en-AU"/>
        </w:rPr>
        <w:t xml:space="preserve"> concentrations of these four </w:t>
      </w:r>
      <w:r w:rsidR="00794873">
        <w:rPr>
          <w:lang w:val="en-AU"/>
        </w:rPr>
        <w:t xml:space="preserve">other </w:t>
      </w:r>
      <w:r w:rsidR="004B3180">
        <w:rPr>
          <w:lang w:val="en-AU"/>
        </w:rPr>
        <w:t>pesticides</w:t>
      </w:r>
      <w:r w:rsidR="007A75AC">
        <w:rPr>
          <w:lang w:val="en-AU"/>
        </w:rPr>
        <w:t xml:space="preserve"> </w:t>
      </w:r>
      <w:r w:rsidR="00F87C1F">
        <w:rPr>
          <w:lang w:val="en-AU"/>
        </w:rPr>
        <w:t>were observed</w:t>
      </w:r>
      <w:r w:rsidR="00B259D1">
        <w:rPr>
          <w:lang w:val="en-AU"/>
        </w:rPr>
        <w:t xml:space="preserve"> (see regional report below).</w:t>
      </w:r>
    </w:p>
    <w:p w14:paraId="15720FB9" w14:textId="49F593E1" w:rsidR="007874F1" w:rsidRDefault="007874F1" w:rsidP="00015606">
      <w:pPr>
        <w:spacing w:line="276" w:lineRule="auto"/>
        <w:rPr>
          <w:lang w:val="en-AU"/>
        </w:rPr>
      </w:pPr>
    </w:p>
    <w:p w14:paraId="01BB58B9" w14:textId="779BA23F" w:rsidR="00460442" w:rsidRDefault="00BA5C64" w:rsidP="007874F1">
      <w:pPr>
        <w:spacing w:line="276" w:lineRule="auto"/>
        <w:rPr>
          <w:lang w:val="en-AU" w:eastAsia="en-AU"/>
        </w:rPr>
      </w:pPr>
      <w:r w:rsidRPr="00BA5C64">
        <w:rPr>
          <w:lang w:val="en-AU" w:eastAsia="en-AU"/>
        </w:rPr>
        <w:lastRenderedPageBreak/>
        <w:t xml:space="preserve">In </w:t>
      </w:r>
      <w:r w:rsidR="004B3180">
        <w:rPr>
          <w:lang w:val="en-AU" w:eastAsia="en-AU"/>
        </w:rPr>
        <w:t>the current monitoring year</w:t>
      </w:r>
      <w:r w:rsidRPr="00BA5C64">
        <w:rPr>
          <w:lang w:val="en-AU" w:eastAsia="en-AU"/>
        </w:rPr>
        <w:t>, the PSII-</w:t>
      </w:r>
      <w:r w:rsidR="009D307F">
        <w:rPr>
          <w:lang w:val="en-AU" w:eastAsia="en-AU"/>
        </w:rPr>
        <w:t>HEq</w:t>
      </w:r>
      <w:r w:rsidRPr="00BA5C64">
        <w:rPr>
          <w:lang w:val="en-AU" w:eastAsia="en-AU"/>
        </w:rPr>
        <w:t xml:space="preserve"> Max </w:t>
      </w:r>
      <w:r>
        <w:rPr>
          <w:lang w:val="en-AU" w:eastAsia="en-AU"/>
        </w:rPr>
        <w:t>across all sites</w:t>
      </w:r>
      <w:r w:rsidRPr="00BA5C64">
        <w:rPr>
          <w:lang w:val="en-AU" w:eastAsia="en-AU"/>
        </w:rPr>
        <w:t xml:space="preserve"> ranged from 0.</w:t>
      </w:r>
      <w:r>
        <w:rPr>
          <w:lang w:val="en-AU" w:eastAsia="en-AU"/>
        </w:rPr>
        <w:t>12</w:t>
      </w:r>
      <w:r w:rsidRPr="00BA5C64">
        <w:rPr>
          <w:lang w:val="en-AU" w:eastAsia="en-AU"/>
        </w:rPr>
        <w:t xml:space="preserve"> – </w:t>
      </w:r>
      <w:r>
        <w:rPr>
          <w:lang w:val="en-AU" w:eastAsia="en-AU"/>
        </w:rPr>
        <w:t>53</w:t>
      </w:r>
      <w:r w:rsidR="00240E91">
        <w:rPr>
          <w:lang w:val="en-AU" w:eastAsia="en-AU"/>
        </w:rPr>
        <w:t>0</w:t>
      </w:r>
      <w:r w:rsidRPr="00BA5C64">
        <w:rPr>
          <w:lang w:val="en-AU" w:eastAsia="en-AU"/>
        </w:rPr>
        <w:t xml:space="preserve"> ng L</w:t>
      </w:r>
      <w:r w:rsidRPr="00BA5C64">
        <w:rPr>
          <w:vertAlign w:val="superscript"/>
          <w:lang w:val="en-AU" w:eastAsia="en-AU"/>
        </w:rPr>
        <w:t>-1</w:t>
      </w:r>
      <w:r>
        <w:rPr>
          <w:lang w:val="en-AU" w:eastAsia="en-AU"/>
        </w:rPr>
        <w:t>. Most of the sites (eight</w:t>
      </w:r>
      <w:r w:rsidR="009A402D">
        <w:rPr>
          <w:lang w:val="en-AU" w:eastAsia="en-AU"/>
        </w:rPr>
        <w:t xml:space="preserve"> out of eleven</w:t>
      </w:r>
      <w:r>
        <w:rPr>
          <w:lang w:val="en-AU" w:eastAsia="en-AU"/>
        </w:rPr>
        <w:t xml:space="preserve">) </w:t>
      </w:r>
      <w:r w:rsidR="0032625E">
        <w:rPr>
          <w:lang w:val="en-AU" w:eastAsia="en-AU"/>
        </w:rPr>
        <w:t xml:space="preserve">had </w:t>
      </w:r>
      <w:r w:rsidR="004B3180">
        <w:rPr>
          <w:lang w:val="en-AU" w:eastAsia="en-AU"/>
        </w:rPr>
        <w:t xml:space="preserve">maximum PSII-HEq concentrations </w:t>
      </w:r>
      <w:r>
        <w:rPr>
          <w:lang w:val="en-AU" w:eastAsia="en-AU"/>
        </w:rPr>
        <w:t xml:space="preserve">in the Category 5 </w:t>
      </w:r>
      <w:r w:rsidR="00884BF2">
        <w:rPr>
          <w:lang w:val="en-AU" w:eastAsia="en-AU"/>
        </w:rPr>
        <w:t xml:space="preserve">risk category </w:t>
      </w:r>
      <w:r>
        <w:rPr>
          <w:lang w:val="en-AU" w:eastAsia="en-AU"/>
        </w:rPr>
        <w:t>(</w:t>
      </w:r>
      <w:r w:rsidR="00884BF2">
        <w:rPr>
          <w:lang w:val="en-AU" w:eastAsia="en-AU"/>
        </w:rPr>
        <w:t xml:space="preserve">no reported </w:t>
      </w:r>
      <w:r w:rsidR="007A75AC">
        <w:rPr>
          <w:lang w:val="en-AU" w:eastAsia="en-AU"/>
        </w:rPr>
        <w:t xml:space="preserve">ecosystem </w:t>
      </w:r>
      <w:r w:rsidR="00884BF2">
        <w:rPr>
          <w:lang w:val="en-AU" w:eastAsia="en-AU"/>
        </w:rPr>
        <w:t>effects</w:t>
      </w:r>
      <w:r>
        <w:rPr>
          <w:lang w:val="en-AU" w:eastAsia="en-AU"/>
        </w:rPr>
        <w:t>). Barratta Creek reached a Category 4, Sandy Creek a Category 3 a</w:t>
      </w:r>
      <w:r w:rsidR="00A85C0C">
        <w:rPr>
          <w:lang w:val="en-AU" w:eastAsia="en-AU"/>
        </w:rPr>
        <w:t xml:space="preserve">nd </w:t>
      </w:r>
      <w:r w:rsidR="005A19C8">
        <w:rPr>
          <w:lang w:val="en-AU" w:eastAsia="en-AU"/>
        </w:rPr>
        <w:t>Round</w:t>
      </w:r>
      <w:r w:rsidR="00A85C0C">
        <w:rPr>
          <w:lang w:val="en-AU" w:eastAsia="en-AU"/>
        </w:rPr>
        <w:t xml:space="preserve"> Top </w:t>
      </w:r>
      <w:r w:rsidR="00B259D1">
        <w:rPr>
          <w:lang w:val="en-AU" w:eastAsia="en-AU"/>
        </w:rPr>
        <w:t xml:space="preserve">Island </w:t>
      </w:r>
      <w:r w:rsidR="00A85C0C">
        <w:rPr>
          <w:lang w:val="en-AU" w:eastAsia="en-AU"/>
        </w:rPr>
        <w:t xml:space="preserve">a Category 2. </w:t>
      </w:r>
      <w:r>
        <w:rPr>
          <w:lang w:val="en-AU" w:eastAsia="en-AU"/>
        </w:rPr>
        <w:t xml:space="preserve">At a Category 2 concentration </w:t>
      </w:r>
      <w:r w:rsidR="00B259D1">
        <w:rPr>
          <w:lang w:val="en-AU" w:eastAsia="en-AU"/>
        </w:rPr>
        <w:t>on the PSII-HEq Index</w:t>
      </w:r>
      <w:r>
        <w:rPr>
          <w:lang w:val="en-AU" w:eastAsia="en-AU"/>
        </w:rPr>
        <w:t>, there may be a risk of reduced photosynthesis capacity for diatom, seagrass and coral species.</w:t>
      </w:r>
    </w:p>
    <w:p w14:paraId="15720FBB" w14:textId="7142BCDF" w:rsidR="00CE700A" w:rsidRDefault="00CE700A" w:rsidP="007874F1">
      <w:pPr>
        <w:spacing w:line="276" w:lineRule="auto"/>
        <w:rPr>
          <w:lang w:val="en-AU" w:eastAsia="en-AU"/>
        </w:rPr>
      </w:pPr>
    </w:p>
    <w:p w14:paraId="15720FBC" w14:textId="20C4FE85" w:rsidR="007874F1" w:rsidRDefault="007874F1" w:rsidP="007874F1">
      <w:pPr>
        <w:spacing w:line="276" w:lineRule="auto"/>
        <w:rPr>
          <w:lang w:val="en-AU" w:eastAsia="en-AU"/>
        </w:rPr>
      </w:pPr>
      <w:r>
        <w:rPr>
          <w:lang w:val="en-AU" w:eastAsia="en-AU"/>
        </w:rPr>
        <w:t xml:space="preserve">Diuron was </w:t>
      </w:r>
      <w:r w:rsidR="00132810">
        <w:rPr>
          <w:lang w:val="en-AU" w:eastAsia="en-AU"/>
        </w:rPr>
        <w:t xml:space="preserve">generally the </w:t>
      </w:r>
      <w:r>
        <w:rPr>
          <w:lang w:val="en-AU" w:eastAsia="en-AU"/>
        </w:rPr>
        <w:t>dominant contributor to the PSII-</w:t>
      </w:r>
      <w:r w:rsidR="009D307F">
        <w:rPr>
          <w:lang w:val="en-AU" w:eastAsia="en-AU"/>
        </w:rPr>
        <w:t>HEq</w:t>
      </w:r>
      <w:r w:rsidR="008B74AD">
        <w:rPr>
          <w:lang w:val="en-AU" w:eastAsia="en-AU"/>
        </w:rPr>
        <w:t xml:space="preserve"> Max</w:t>
      </w:r>
      <w:r>
        <w:rPr>
          <w:lang w:val="en-AU" w:eastAsia="en-AU"/>
        </w:rPr>
        <w:t xml:space="preserve"> at </w:t>
      </w:r>
      <w:r w:rsidR="00132810">
        <w:rPr>
          <w:lang w:val="en-AU" w:eastAsia="en-AU"/>
        </w:rPr>
        <w:t>the</w:t>
      </w:r>
      <w:r>
        <w:rPr>
          <w:lang w:val="en-AU" w:eastAsia="en-AU"/>
        </w:rPr>
        <w:t xml:space="preserve"> fixed monitoring site</w:t>
      </w:r>
      <w:r w:rsidR="00132810">
        <w:rPr>
          <w:lang w:val="en-AU" w:eastAsia="en-AU"/>
        </w:rPr>
        <w:t>s</w:t>
      </w:r>
      <w:r>
        <w:rPr>
          <w:lang w:val="en-AU" w:eastAsia="en-AU"/>
        </w:rPr>
        <w:t xml:space="preserve"> due to its potency as a PSII inhibitor and its relatively higher concentrations (</w:t>
      </w:r>
      <w:r w:rsidR="00DA1A02" w:rsidRPr="005370A9">
        <w:fldChar w:fldCharType="begin"/>
      </w:r>
      <w:r w:rsidR="00DA1A02" w:rsidRPr="005370A9">
        <w:rPr>
          <w:lang w:val="en-AU" w:eastAsia="en-AU"/>
        </w:rPr>
        <w:instrText xml:space="preserve"> REF _Ref501863757 \h </w:instrText>
      </w:r>
      <w:r w:rsidR="005370A9" w:rsidRPr="005370A9">
        <w:instrText xml:space="preserve"> \* MERGEFORMAT </w:instrText>
      </w:r>
      <w:r w:rsidR="00DA1A02" w:rsidRPr="005370A9">
        <w:fldChar w:fldCharType="separate"/>
      </w:r>
      <w:r w:rsidR="00D12276" w:rsidRPr="00747824">
        <w:t xml:space="preserve">Figure </w:t>
      </w:r>
      <w:r w:rsidR="00D12276" w:rsidRPr="00D12276">
        <w:rPr>
          <w:noProof/>
        </w:rPr>
        <w:t>9</w:t>
      </w:r>
      <w:r w:rsidR="00DA1A02" w:rsidRPr="005370A9">
        <w:fldChar w:fldCharType="end"/>
      </w:r>
      <w:r w:rsidRPr="007874F1">
        <w:rPr>
          <w:lang w:val="en-AU" w:eastAsia="en-AU"/>
        </w:rPr>
        <w:t>).</w:t>
      </w:r>
      <w:r>
        <w:rPr>
          <w:lang w:val="en-AU" w:eastAsia="en-AU"/>
        </w:rPr>
        <w:t xml:space="preserve"> </w:t>
      </w:r>
      <w:r w:rsidR="008B74AD">
        <w:rPr>
          <w:lang w:val="en-AU" w:eastAsia="en-AU"/>
        </w:rPr>
        <w:t>The diuron per cent contribution</w:t>
      </w:r>
      <w:r w:rsidR="00132810">
        <w:rPr>
          <w:lang w:val="en-AU" w:eastAsia="en-AU"/>
        </w:rPr>
        <w:t xml:space="preserve"> to total </w:t>
      </w:r>
      <w:r w:rsidR="008B74AD">
        <w:rPr>
          <w:lang w:val="en-AU" w:eastAsia="en-AU"/>
        </w:rPr>
        <w:t>PSII-</w:t>
      </w:r>
      <w:r w:rsidR="009D307F">
        <w:rPr>
          <w:lang w:val="en-AU" w:eastAsia="en-AU"/>
        </w:rPr>
        <w:t>HEq</w:t>
      </w:r>
      <w:r>
        <w:rPr>
          <w:lang w:val="en-AU" w:eastAsia="en-AU"/>
        </w:rPr>
        <w:t xml:space="preserve"> </w:t>
      </w:r>
      <w:r w:rsidR="008B74AD">
        <w:rPr>
          <w:lang w:val="en-AU" w:eastAsia="en-AU"/>
        </w:rPr>
        <w:t>Max varied between sites, ranging from 36 per cent (Repulse Bay) to 8</w:t>
      </w:r>
      <w:r w:rsidR="000350EE">
        <w:rPr>
          <w:lang w:val="en-AU" w:eastAsia="en-AU"/>
        </w:rPr>
        <w:t>7</w:t>
      </w:r>
      <w:r w:rsidR="008B74AD">
        <w:rPr>
          <w:lang w:val="en-AU" w:eastAsia="en-AU"/>
        </w:rPr>
        <w:t xml:space="preserve"> per cent (</w:t>
      </w:r>
      <w:r w:rsidR="005A19C8">
        <w:rPr>
          <w:lang w:val="en-AU" w:eastAsia="en-AU"/>
        </w:rPr>
        <w:t>Round Top Island</w:t>
      </w:r>
      <w:r w:rsidR="008B74AD">
        <w:rPr>
          <w:lang w:val="en-AU" w:eastAsia="en-AU"/>
        </w:rPr>
        <w:t>)</w:t>
      </w:r>
      <w:r w:rsidR="000350EE">
        <w:rPr>
          <w:lang w:val="en-AU" w:eastAsia="en-AU"/>
        </w:rPr>
        <w:t>, and was consistently high in the Wet Tropics (77 to 86 per cent across the five sites). In contrast to the previous monitoring year when diuron dominated PSII-</w:t>
      </w:r>
      <w:r w:rsidR="009D307F">
        <w:rPr>
          <w:lang w:val="en-AU" w:eastAsia="en-AU"/>
        </w:rPr>
        <w:t>HEq</w:t>
      </w:r>
      <w:r w:rsidR="000350EE">
        <w:rPr>
          <w:lang w:val="en-AU" w:eastAsia="en-AU"/>
        </w:rPr>
        <w:t xml:space="preserve"> Max at all sites, </w:t>
      </w:r>
      <w:r w:rsidR="005370A9">
        <w:rPr>
          <w:lang w:val="en-AU" w:eastAsia="en-AU"/>
        </w:rPr>
        <w:t xml:space="preserve">in 2015-16 </w:t>
      </w:r>
      <w:r w:rsidR="000350EE">
        <w:rPr>
          <w:lang w:val="en-AU" w:eastAsia="en-AU"/>
        </w:rPr>
        <w:t>at Barratta Creek and Repulse Bay, atrazine’s contribution was similar to or greater than diuron (35 and 53 per cent, respectively).</w:t>
      </w:r>
    </w:p>
    <w:p w14:paraId="6649113F" w14:textId="77777777" w:rsidR="00197074" w:rsidRDefault="00197074" w:rsidP="007874F1">
      <w:pPr>
        <w:spacing w:line="276" w:lineRule="auto"/>
        <w:rPr>
          <w:lang w:val="en-AU" w:eastAsia="en-AU"/>
        </w:rPr>
      </w:pPr>
    </w:p>
    <w:p w14:paraId="15720FBE" w14:textId="621C53BF" w:rsidR="00F872CD" w:rsidRDefault="00F872CD" w:rsidP="00220439">
      <w:pPr>
        <w:pStyle w:val="Heading30"/>
        <w:numPr>
          <w:ilvl w:val="3"/>
          <w:numId w:val="1"/>
        </w:numPr>
      </w:pPr>
      <w:bookmarkStart w:id="436" w:name="_Ref481309395"/>
      <w:bookmarkStart w:id="437" w:name="_Toc502500016"/>
      <w:r>
        <w:t>Comparison to guideline values</w:t>
      </w:r>
      <w:bookmarkEnd w:id="436"/>
      <w:bookmarkEnd w:id="437"/>
    </w:p>
    <w:p w14:paraId="2251A5B3" w14:textId="10FDBF85" w:rsidR="00B259D1" w:rsidRDefault="0059608E" w:rsidP="00015606">
      <w:pPr>
        <w:spacing w:line="276" w:lineRule="auto"/>
        <w:rPr>
          <w:lang w:val="en-AU"/>
        </w:rPr>
      </w:pPr>
      <w:r>
        <w:rPr>
          <w:lang w:val="en-AU"/>
        </w:rPr>
        <w:t xml:space="preserve">At </w:t>
      </w:r>
      <w:r w:rsidR="00240E91">
        <w:rPr>
          <w:lang w:val="en-AU"/>
        </w:rPr>
        <w:t xml:space="preserve">the </w:t>
      </w:r>
      <w:r>
        <w:rPr>
          <w:lang w:val="en-AU"/>
        </w:rPr>
        <w:t xml:space="preserve">fixed monitoring sites, </w:t>
      </w:r>
      <w:r w:rsidR="00CF7004">
        <w:rPr>
          <w:lang w:val="en-AU"/>
        </w:rPr>
        <w:t xml:space="preserve">three exceedances of guideline values </w:t>
      </w:r>
      <w:r w:rsidR="00F872CD">
        <w:rPr>
          <w:lang w:val="en-AU"/>
        </w:rPr>
        <w:t xml:space="preserve">(GVs) </w:t>
      </w:r>
      <w:r w:rsidR="00CF7004">
        <w:rPr>
          <w:lang w:val="en-AU"/>
        </w:rPr>
        <w:t>occurred in 2015-16</w:t>
      </w:r>
      <w:r w:rsidR="00B259D1">
        <w:rPr>
          <w:lang w:val="en-AU"/>
        </w:rPr>
        <w:t>. All occurrences were</w:t>
      </w:r>
      <w:r w:rsidR="00CF7004">
        <w:rPr>
          <w:lang w:val="en-AU"/>
        </w:rPr>
        <w:t xml:space="preserve"> at the </w:t>
      </w:r>
      <w:r w:rsidR="005A19C8">
        <w:rPr>
          <w:lang w:val="en-AU"/>
        </w:rPr>
        <w:t>Round Top Island</w:t>
      </w:r>
      <w:r w:rsidR="00CF7004">
        <w:rPr>
          <w:lang w:val="en-AU"/>
        </w:rPr>
        <w:t xml:space="preserve"> site</w:t>
      </w:r>
      <w:r w:rsidR="00B259D1">
        <w:rPr>
          <w:lang w:val="en-AU"/>
        </w:rPr>
        <w:t xml:space="preserve"> and</w:t>
      </w:r>
      <w:r w:rsidR="00CF7004">
        <w:rPr>
          <w:lang w:val="en-AU"/>
        </w:rPr>
        <w:t xml:space="preserve"> were </w:t>
      </w:r>
      <w:r w:rsidR="002C1006">
        <w:rPr>
          <w:lang w:val="en-AU"/>
        </w:rPr>
        <w:t>within 9 per cent of the</w:t>
      </w:r>
      <w:r w:rsidR="00F872CD">
        <w:rPr>
          <w:lang w:val="en-AU"/>
        </w:rPr>
        <w:t xml:space="preserve"> </w:t>
      </w:r>
      <w:r w:rsidR="002C1006">
        <w:rPr>
          <w:lang w:val="en-AU"/>
        </w:rPr>
        <w:t xml:space="preserve">relevant </w:t>
      </w:r>
      <w:r w:rsidR="00F872CD">
        <w:rPr>
          <w:lang w:val="en-AU"/>
        </w:rPr>
        <w:t>GV</w:t>
      </w:r>
      <w:r w:rsidR="00B259D1">
        <w:rPr>
          <w:lang w:val="en-AU"/>
        </w:rPr>
        <w:t>.</w:t>
      </w:r>
      <w:r w:rsidR="002C1006">
        <w:rPr>
          <w:lang w:val="en-AU"/>
        </w:rPr>
        <w:t xml:space="preserve"> </w:t>
      </w:r>
      <w:r w:rsidR="00B259D1">
        <w:rPr>
          <w:lang w:val="en-AU"/>
        </w:rPr>
        <w:t>The three exceedances were:</w:t>
      </w:r>
      <w:r w:rsidR="00CF7004">
        <w:rPr>
          <w:lang w:val="en-AU"/>
        </w:rPr>
        <w:t xml:space="preserve"> </w:t>
      </w:r>
    </w:p>
    <w:p w14:paraId="7C60410D" w14:textId="65FDB545" w:rsidR="00B259D1" w:rsidRDefault="00CF7004" w:rsidP="00B259D1">
      <w:pPr>
        <w:pStyle w:val="ListParagraph"/>
        <w:numPr>
          <w:ilvl w:val="0"/>
          <w:numId w:val="21"/>
        </w:numPr>
        <w:spacing w:line="276" w:lineRule="auto"/>
        <w:rPr>
          <w:lang w:val="en-AU"/>
        </w:rPr>
      </w:pPr>
      <w:r w:rsidRPr="00B259D1">
        <w:rPr>
          <w:lang w:val="en-AU"/>
        </w:rPr>
        <w:t>diuron</w:t>
      </w:r>
      <w:r w:rsidR="008645D8" w:rsidRPr="00B259D1">
        <w:rPr>
          <w:lang w:val="en-AU"/>
        </w:rPr>
        <w:t xml:space="preserve"> (</w:t>
      </w:r>
      <w:r w:rsidR="00C512F8">
        <w:rPr>
          <w:lang w:val="en-AU"/>
        </w:rPr>
        <w:t>C</w:t>
      </w:r>
      <w:r w:rsidR="00C512F8" w:rsidRPr="00C512F8">
        <w:rPr>
          <w:vertAlign w:val="subscript"/>
          <w:lang w:val="en-AU"/>
        </w:rPr>
        <w:t>max</w:t>
      </w:r>
      <w:r w:rsidR="00C512F8" w:rsidRPr="00B259D1">
        <w:rPr>
          <w:lang w:val="en-AU"/>
        </w:rPr>
        <w:t xml:space="preserve"> </w:t>
      </w:r>
      <w:r w:rsidR="008645D8" w:rsidRPr="00B259D1">
        <w:rPr>
          <w:lang w:val="en-AU"/>
        </w:rPr>
        <w:t>462 ng L</w:t>
      </w:r>
      <w:r w:rsidR="008645D8" w:rsidRPr="00B259D1">
        <w:rPr>
          <w:vertAlign w:val="superscript"/>
          <w:lang w:val="en-AU"/>
        </w:rPr>
        <w:t>-1</w:t>
      </w:r>
      <w:r w:rsidR="008645D8" w:rsidRPr="00B259D1">
        <w:rPr>
          <w:lang w:val="en-AU"/>
        </w:rPr>
        <w:t xml:space="preserve">, compared to the proposed </w:t>
      </w:r>
      <w:r w:rsidR="00693CD0" w:rsidRPr="00B259D1">
        <w:rPr>
          <w:lang w:val="en-AU"/>
        </w:rPr>
        <w:t xml:space="preserve">marine PC99 </w:t>
      </w:r>
      <w:r w:rsidR="008645D8" w:rsidRPr="00B259D1">
        <w:rPr>
          <w:lang w:val="en-AU"/>
        </w:rPr>
        <w:t>GV of 4</w:t>
      </w:r>
      <w:r w:rsidR="00C30B35" w:rsidRPr="00B259D1">
        <w:rPr>
          <w:lang w:val="en-AU"/>
        </w:rPr>
        <w:t>3</w:t>
      </w:r>
      <w:r w:rsidR="008645D8" w:rsidRPr="00B259D1">
        <w:rPr>
          <w:lang w:val="en-AU"/>
        </w:rPr>
        <w:t>0 ng L</w:t>
      </w:r>
      <w:r w:rsidR="008645D8" w:rsidRPr="00B259D1">
        <w:rPr>
          <w:vertAlign w:val="superscript"/>
          <w:lang w:val="en-AU"/>
        </w:rPr>
        <w:t>-1</w:t>
      </w:r>
      <w:r w:rsidR="008645D8" w:rsidRPr="00B259D1">
        <w:rPr>
          <w:lang w:val="en-AU"/>
        </w:rPr>
        <w:t xml:space="preserve"> (</w:t>
      </w:r>
      <w:r w:rsidR="00C91BF5" w:rsidRPr="00B259D1">
        <w:rPr>
          <w:lang w:val="en-AU"/>
        </w:rPr>
        <w:fldChar w:fldCharType="begin"/>
      </w:r>
      <w:r w:rsidR="00D9460D" w:rsidRPr="00B259D1">
        <w:rPr>
          <w:lang w:val="en-AU"/>
        </w:rPr>
        <w:instrText xml:space="preserve"> REF _Ref480726648 \h </w:instrText>
      </w:r>
      <w:r w:rsidR="00C91BF5" w:rsidRPr="00B259D1">
        <w:rPr>
          <w:lang w:val="en-AU"/>
        </w:rPr>
      </w:r>
      <w:r w:rsidR="00C91BF5" w:rsidRPr="00B259D1">
        <w:rPr>
          <w:lang w:val="en-AU"/>
        </w:rPr>
        <w:fldChar w:fldCharType="separate"/>
      </w:r>
      <w:r w:rsidR="00D12276">
        <w:t xml:space="preserve">Table </w:t>
      </w:r>
      <w:r w:rsidR="00D12276">
        <w:rPr>
          <w:noProof/>
        </w:rPr>
        <w:t>B</w:t>
      </w:r>
      <w:r w:rsidR="00D12276">
        <w:noBreakHyphen/>
      </w:r>
      <w:r w:rsidR="00D12276">
        <w:rPr>
          <w:noProof/>
        </w:rPr>
        <w:t>1</w:t>
      </w:r>
      <w:r w:rsidR="00C91BF5" w:rsidRPr="00B259D1">
        <w:rPr>
          <w:lang w:val="en-AU"/>
        </w:rPr>
        <w:fldChar w:fldCharType="end"/>
      </w:r>
      <w:r w:rsidR="008645D8" w:rsidRPr="00B259D1">
        <w:rPr>
          <w:lang w:val="en-AU"/>
        </w:rPr>
        <w:t>)</w:t>
      </w:r>
      <w:r w:rsidR="00F872CD" w:rsidRPr="00B259D1">
        <w:rPr>
          <w:lang w:val="en-AU"/>
        </w:rPr>
        <w:t>)</w:t>
      </w:r>
    </w:p>
    <w:p w14:paraId="18F2DE44" w14:textId="76BABDF9" w:rsidR="00C512F8" w:rsidRPr="00C512F8" w:rsidRDefault="00F872CD" w:rsidP="00C512F8">
      <w:pPr>
        <w:pStyle w:val="ListParagraph"/>
        <w:numPr>
          <w:ilvl w:val="0"/>
          <w:numId w:val="21"/>
        </w:numPr>
        <w:spacing w:line="276" w:lineRule="auto"/>
        <w:rPr>
          <w:lang w:val="en-AU"/>
        </w:rPr>
      </w:pPr>
      <w:r w:rsidRPr="00B259D1">
        <w:rPr>
          <w:lang w:val="en-AU"/>
        </w:rPr>
        <w:t>imidacloprid (</w:t>
      </w:r>
      <w:r w:rsidR="00C512F8">
        <w:rPr>
          <w:lang w:val="en-AU"/>
        </w:rPr>
        <w:t>C</w:t>
      </w:r>
      <w:r w:rsidR="00C512F8" w:rsidRPr="00C512F8">
        <w:rPr>
          <w:vertAlign w:val="subscript"/>
          <w:lang w:val="en-AU"/>
        </w:rPr>
        <w:t>max</w:t>
      </w:r>
      <w:r w:rsidR="00C512F8" w:rsidRPr="00B259D1">
        <w:rPr>
          <w:lang w:val="en-AU"/>
        </w:rPr>
        <w:t xml:space="preserve"> </w:t>
      </w:r>
      <w:r w:rsidRPr="00B259D1">
        <w:rPr>
          <w:lang w:val="en-AU"/>
        </w:rPr>
        <w:t>36 ng L</w:t>
      </w:r>
      <w:r w:rsidRPr="00B259D1">
        <w:rPr>
          <w:vertAlign w:val="superscript"/>
          <w:lang w:val="en-AU"/>
        </w:rPr>
        <w:t>-1</w:t>
      </w:r>
      <w:r w:rsidRPr="00B259D1">
        <w:rPr>
          <w:lang w:val="en-AU"/>
        </w:rPr>
        <w:t xml:space="preserve">, compared to the proposed </w:t>
      </w:r>
      <w:r w:rsidR="00693CD0" w:rsidRPr="00B259D1">
        <w:rPr>
          <w:lang w:val="en-AU"/>
        </w:rPr>
        <w:t xml:space="preserve">marine PC99 </w:t>
      </w:r>
      <w:r w:rsidRPr="00B259D1">
        <w:rPr>
          <w:lang w:val="en-AU"/>
        </w:rPr>
        <w:t>GV of 33 ng L</w:t>
      </w:r>
      <w:r w:rsidRPr="00B259D1">
        <w:rPr>
          <w:vertAlign w:val="superscript"/>
          <w:lang w:val="en-AU"/>
        </w:rPr>
        <w:t>-1</w:t>
      </w:r>
      <w:r w:rsidRPr="00B259D1">
        <w:rPr>
          <w:lang w:val="en-AU"/>
        </w:rPr>
        <w:t xml:space="preserve"> (</w:t>
      </w:r>
      <w:r w:rsidR="00C91BF5" w:rsidRPr="00B259D1">
        <w:rPr>
          <w:lang w:val="en-AU"/>
        </w:rPr>
        <w:fldChar w:fldCharType="begin"/>
      </w:r>
      <w:r w:rsidR="00D9460D" w:rsidRPr="00B259D1">
        <w:rPr>
          <w:lang w:val="en-AU"/>
        </w:rPr>
        <w:instrText xml:space="preserve"> REF _Ref480726648 \h </w:instrText>
      </w:r>
      <w:r w:rsidR="00C91BF5" w:rsidRPr="00B259D1">
        <w:rPr>
          <w:lang w:val="en-AU"/>
        </w:rPr>
      </w:r>
      <w:r w:rsidR="00C91BF5" w:rsidRPr="00B259D1">
        <w:rPr>
          <w:lang w:val="en-AU"/>
        </w:rPr>
        <w:fldChar w:fldCharType="separate"/>
      </w:r>
      <w:r w:rsidR="00D12276">
        <w:t xml:space="preserve">Table </w:t>
      </w:r>
      <w:r w:rsidR="00D12276">
        <w:rPr>
          <w:noProof/>
        </w:rPr>
        <w:t>B</w:t>
      </w:r>
      <w:r w:rsidR="00D12276">
        <w:noBreakHyphen/>
      </w:r>
      <w:r w:rsidR="00D12276">
        <w:rPr>
          <w:noProof/>
        </w:rPr>
        <w:t>1</w:t>
      </w:r>
      <w:r w:rsidR="00C91BF5" w:rsidRPr="00B259D1">
        <w:rPr>
          <w:lang w:val="en-AU"/>
        </w:rPr>
        <w:fldChar w:fldCharType="end"/>
      </w:r>
      <w:r w:rsidRPr="00B259D1">
        <w:rPr>
          <w:lang w:val="en-AU"/>
        </w:rPr>
        <w:t>))</w:t>
      </w:r>
    </w:p>
    <w:p w14:paraId="31876999" w14:textId="56ECD1C5" w:rsidR="00C512F8" w:rsidRDefault="00F872CD" w:rsidP="00C512F8">
      <w:pPr>
        <w:pStyle w:val="ListParagraph"/>
        <w:numPr>
          <w:ilvl w:val="0"/>
          <w:numId w:val="21"/>
        </w:numPr>
        <w:spacing w:line="276" w:lineRule="auto"/>
        <w:rPr>
          <w:lang w:val="en-AU"/>
        </w:rPr>
      </w:pPr>
      <w:r w:rsidRPr="00C512F8">
        <w:rPr>
          <w:lang w:val="en-AU"/>
        </w:rPr>
        <w:t>chlorpyrifos (</w:t>
      </w:r>
      <w:r w:rsidR="00C512F8">
        <w:rPr>
          <w:lang w:val="en-AU"/>
        </w:rPr>
        <w:t>C</w:t>
      </w:r>
      <w:r w:rsidR="00C512F8" w:rsidRPr="00C512F8">
        <w:rPr>
          <w:vertAlign w:val="subscript"/>
          <w:lang w:val="en-AU"/>
        </w:rPr>
        <w:t>max</w:t>
      </w:r>
      <w:r w:rsidR="00C512F8" w:rsidRPr="00C512F8">
        <w:rPr>
          <w:lang w:val="en-AU"/>
        </w:rPr>
        <w:t xml:space="preserve"> </w:t>
      </w:r>
      <w:r w:rsidRPr="00C512F8">
        <w:rPr>
          <w:lang w:val="en-AU"/>
        </w:rPr>
        <w:t>0.52 ng L</w:t>
      </w:r>
      <w:r w:rsidRPr="00C512F8">
        <w:rPr>
          <w:vertAlign w:val="superscript"/>
          <w:lang w:val="en-AU"/>
        </w:rPr>
        <w:t>-1</w:t>
      </w:r>
      <w:r w:rsidRPr="00C512F8">
        <w:rPr>
          <w:lang w:val="en-AU"/>
        </w:rPr>
        <w:t>, compared to the ANZECC and ARMCANZ</w:t>
      </w:r>
      <w:r w:rsidR="00693CD0" w:rsidRPr="00C512F8">
        <w:rPr>
          <w:lang w:val="en-AU"/>
        </w:rPr>
        <w:t xml:space="preserve"> (2000)</w:t>
      </w:r>
      <w:r w:rsidRPr="00C512F8">
        <w:rPr>
          <w:lang w:val="en-AU"/>
        </w:rPr>
        <w:t xml:space="preserve"> </w:t>
      </w:r>
      <w:r w:rsidR="00693CD0" w:rsidRPr="00C512F8">
        <w:rPr>
          <w:lang w:val="en-AU"/>
        </w:rPr>
        <w:t xml:space="preserve">marine </w:t>
      </w:r>
      <w:r w:rsidR="000D1979" w:rsidRPr="00C512F8">
        <w:rPr>
          <w:lang w:val="en-AU"/>
        </w:rPr>
        <w:t>PC99 value</w:t>
      </w:r>
      <w:r w:rsidRPr="00C512F8">
        <w:rPr>
          <w:lang w:val="en-AU"/>
        </w:rPr>
        <w:t xml:space="preserve"> of 0.50 ng L</w:t>
      </w:r>
      <w:r w:rsidRPr="00C512F8">
        <w:rPr>
          <w:vertAlign w:val="superscript"/>
          <w:lang w:val="en-AU"/>
        </w:rPr>
        <w:t>-1</w:t>
      </w:r>
      <w:r w:rsidRPr="00C512F8">
        <w:rPr>
          <w:lang w:val="en-AU"/>
        </w:rPr>
        <w:t xml:space="preserve"> (</w:t>
      </w:r>
      <w:r w:rsidR="00C91BF5" w:rsidRPr="00C512F8">
        <w:rPr>
          <w:lang w:val="en-AU"/>
        </w:rPr>
        <w:fldChar w:fldCharType="begin"/>
      </w:r>
      <w:r w:rsidR="00D9460D" w:rsidRPr="00C512F8">
        <w:rPr>
          <w:lang w:val="en-AU"/>
        </w:rPr>
        <w:instrText xml:space="preserve"> REF _Ref480726648 \h </w:instrText>
      </w:r>
      <w:r w:rsidR="00C91BF5" w:rsidRPr="00C512F8">
        <w:rPr>
          <w:lang w:val="en-AU"/>
        </w:rPr>
      </w:r>
      <w:r w:rsidR="00C91BF5" w:rsidRPr="00C512F8">
        <w:rPr>
          <w:lang w:val="en-AU"/>
        </w:rPr>
        <w:fldChar w:fldCharType="separate"/>
      </w:r>
      <w:r w:rsidR="00D12276">
        <w:t xml:space="preserve">Table </w:t>
      </w:r>
      <w:r w:rsidR="00D12276">
        <w:rPr>
          <w:noProof/>
        </w:rPr>
        <w:t>B</w:t>
      </w:r>
      <w:r w:rsidR="00D12276">
        <w:noBreakHyphen/>
      </w:r>
      <w:r w:rsidR="00D12276">
        <w:rPr>
          <w:noProof/>
        </w:rPr>
        <w:t>1</w:t>
      </w:r>
      <w:r w:rsidR="00C91BF5" w:rsidRPr="00C512F8">
        <w:rPr>
          <w:lang w:val="en-AU"/>
        </w:rPr>
        <w:fldChar w:fldCharType="end"/>
      </w:r>
      <w:r w:rsidRPr="00C512F8">
        <w:rPr>
          <w:lang w:val="en-AU"/>
        </w:rPr>
        <w:t>)).</w:t>
      </w:r>
      <w:r w:rsidR="00116C26" w:rsidRPr="00C512F8">
        <w:rPr>
          <w:lang w:val="en-AU"/>
        </w:rPr>
        <w:t xml:space="preserve"> </w:t>
      </w:r>
    </w:p>
    <w:p w14:paraId="15720FBF" w14:textId="48877D3B" w:rsidR="0023161A" w:rsidRPr="00C512F8" w:rsidRDefault="00827406" w:rsidP="00C512F8">
      <w:pPr>
        <w:pStyle w:val="ListParagraph"/>
        <w:spacing w:line="276" w:lineRule="auto"/>
        <w:ind w:left="0"/>
        <w:rPr>
          <w:lang w:val="en-AU"/>
        </w:rPr>
      </w:pPr>
      <w:r w:rsidRPr="00C512F8">
        <w:rPr>
          <w:lang w:val="en-AU"/>
        </w:rPr>
        <w:t xml:space="preserve">It should be noted that the existing </w:t>
      </w:r>
      <w:r w:rsidR="00147096" w:rsidRPr="00C512F8">
        <w:rPr>
          <w:lang w:val="en-AU"/>
        </w:rPr>
        <w:t xml:space="preserve">ANZECC and ARMCANZ </w:t>
      </w:r>
      <w:r w:rsidRPr="00C512F8">
        <w:rPr>
          <w:lang w:val="en-AU"/>
        </w:rPr>
        <w:t>trigger value for diuron is 1,800 ng L</w:t>
      </w:r>
      <w:r w:rsidRPr="00C512F8">
        <w:rPr>
          <w:vertAlign w:val="superscript"/>
          <w:lang w:val="en-AU"/>
        </w:rPr>
        <w:t>-1</w:t>
      </w:r>
      <w:r w:rsidRPr="00C512F8">
        <w:rPr>
          <w:lang w:val="en-AU"/>
        </w:rPr>
        <w:t xml:space="preserve"> (which is a low reliability interim working value)</w:t>
      </w:r>
      <w:r w:rsidR="00AF4242" w:rsidRPr="00C512F8">
        <w:rPr>
          <w:lang w:val="en-AU"/>
        </w:rPr>
        <w:t xml:space="preserve"> and the GMRMPA PC99 is currently 900 ng L</w:t>
      </w:r>
      <w:r w:rsidR="00AF4242" w:rsidRPr="00C512F8">
        <w:rPr>
          <w:vertAlign w:val="superscript"/>
          <w:lang w:val="en-AU"/>
        </w:rPr>
        <w:t xml:space="preserve">-1 </w:t>
      </w:r>
      <w:r w:rsidR="00AF4242" w:rsidRPr="00C512F8">
        <w:rPr>
          <w:lang w:val="en-AU"/>
        </w:rPr>
        <w:t>(</w:t>
      </w:r>
      <w:r w:rsidR="00C91BF5" w:rsidRPr="00C512F8">
        <w:rPr>
          <w:lang w:val="en-AU"/>
        </w:rPr>
        <w:fldChar w:fldCharType="begin"/>
      </w:r>
      <w:r w:rsidR="00AF4242" w:rsidRPr="00C512F8">
        <w:rPr>
          <w:lang w:val="en-AU"/>
        </w:rPr>
        <w:instrText xml:space="preserve"> REF _Ref480726648 \h </w:instrText>
      </w:r>
      <w:r w:rsidR="00C91BF5" w:rsidRPr="00C512F8">
        <w:rPr>
          <w:lang w:val="en-AU"/>
        </w:rPr>
      </w:r>
      <w:r w:rsidR="00C91BF5" w:rsidRPr="00C512F8">
        <w:rPr>
          <w:lang w:val="en-AU"/>
        </w:rPr>
        <w:fldChar w:fldCharType="separate"/>
      </w:r>
      <w:r w:rsidR="00D12276">
        <w:t xml:space="preserve">Table </w:t>
      </w:r>
      <w:r w:rsidR="00D12276">
        <w:rPr>
          <w:noProof/>
        </w:rPr>
        <w:t>B</w:t>
      </w:r>
      <w:r w:rsidR="00D12276">
        <w:noBreakHyphen/>
      </w:r>
      <w:r w:rsidR="00D12276">
        <w:rPr>
          <w:noProof/>
        </w:rPr>
        <w:t>1</w:t>
      </w:r>
      <w:r w:rsidR="00C91BF5" w:rsidRPr="00C512F8">
        <w:rPr>
          <w:lang w:val="en-AU"/>
        </w:rPr>
        <w:fldChar w:fldCharType="end"/>
      </w:r>
      <w:r w:rsidR="00AF4242" w:rsidRPr="00C512F8">
        <w:rPr>
          <w:lang w:val="en-AU"/>
        </w:rPr>
        <w:t xml:space="preserve">); under </w:t>
      </w:r>
      <w:r w:rsidR="00147096" w:rsidRPr="00C512F8">
        <w:rPr>
          <w:lang w:val="en-AU"/>
        </w:rPr>
        <w:t xml:space="preserve">both </w:t>
      </w:r>
      <w:r w:rsidR="00AF4242" w:rsidRPr="00C512F8">
        <w:rPr>
          <w:lang w:val="en-AU"/>
        </w:rPr>
        <w:t xml:space="preserve">these guidelines, the </w:t>
      </w:r>
      <w:r w:rsidR="005A19C8" w:rsidRPr="00C512F8">
        <w:rPr>
          <w:lang w:val="en-AU"/>
        </w:rPr>
        <w:t>Round</w:t>
      </w:r>
      <w:r w:rsidR="00147096" w:rsidRPr="00C512F8">
        <w:rPr>
          <w:lang w:val="en-AU"/>
        </w:rPr>
        <w:t xml:space="preserve"> Top </w:t>
      </w:r>
      <w:r w:rsidR="00C512F8">
        <w:rPr>
          <w:lang w:val="en-AU"/>
        </w:rPr>
        <w:t xml:space="preserve">Island </w:t>
      </w:r>
      <w:r w:rsidR="00147096" w:rsidRPr="00C512F8">
        <w:rPr>
          <w:lang w:val="en-AU"/>
        </w:rPr>
        <w:t>maximum</w:t>
      </w:r>
      <w:r w:rsidR="00AF4242" w:rsidRPr="00C512F8">
        <w:rPr>
          <w:lang w:val="en-AU"/>
        </w:rPr>
        <w:t xml:space="preserve"> diuron value would not be an exceedance</w:t>
      </w:r>
      <w:r w:rsidR="00147096" w:rsidRPr="00C512F8">
        <w:rPr>
          <w:lang w:val="en-AU"/>
        </w:rPr>
        <w:t xml:space="preserve">. The proposed GV is, however, high reliability </w:t>
      </w:r>
      <w:r w:rsidR="00C91BF5" w:rsidRPr="00C512F8">
        <w:rPr>
          <w:lang w:val="en-AU"/>
        </w:rPr>
        <w:fldChar w:fldCharType="begin"/>
      </w:r>
      <w:r w:rsidR="009D4492">
        <w:rPr>
          <w:lang w:val="en-AU"/>
        </w:rPr>
        <w:instrText xml:space="preserve"> ADDIN EN.CITE &lt;EndNote&gt;&lt;Cite&gt;&lt;Author&gt;King&lt;/Author&gt;&lt;Year&gt;2017&lt;/Year&gt;&lt;RecNum&gt;33&lt;/RecNum&gt;&lt;DisplayText&gt;(King et al., 2017a)&lt;/DisplayText&gt;&lt;record&gt;&lt;rec-number&gt;33&lt;/rec-number&gt;&lt;foreign-keys&gt;&lt;key app="EN" db-id="vvtrt2pt4xpx5teta99vvtwg50vzve2aexae" timestamp="1493157363"&gt;33&lt;/key&gt;&lt;/foreign-keys&gt;&lt;ref-type name="Report"&gt;27&lt;/ref-type&gt;&lt;contributors&gt;&lt;authors&gt;&lt;author&gt;King, O.C.&lt;/author&gt;&lt;author&gt;Smith, R.A.&lt;/author&gt;&lt;author&gt;Warne M. St J.&lt;/author&gt;&lt;/authors&gt;&lt;/contributors&gt;&lt;titles&gt;&lt;title&gt;Proposed Default Guideline Values for Toxicants: Diuron – Marine&lt;/title&gt;&lt;/titles&gt;&lt;pages&gt;pp 37 &lt;/pages&gt;&lt;dates&gt;&lt;year&gt;2017&lt;/year&gt;&lt;/dates&gt;&lt;pub-location&gt;Brisbane, Australia&lt;/pub-location&gt;&lt;publisher&gt;Department of Science, Information Technology and Innovation&lt;/publisher&gt;&lt;urls&gt;&lt;/urls&gt;&lt;/record&gt;&lt;/Cite&gt;&lt;/EndNote&gt;</w:instrText>
      </w:r>
      <w:r w:rsidR="00C91BF5" w:rsidRPr="00C512F8">
        <w:rPr>
          <w:lang w:val="en-AU"/>
        </w:rPr>
        <w:fldChar w:fldCharType="separate"/>
      </w:r>
      <w:r w:rsidR="009D4492">
        <w:rPr>
          <w:noProof/>
          <w:lang w:val="en-AU"/>
        </w:rPr>
        <w:t>(King et al., 2017a)</w:t>
      </w:r>
      <w:r w:rsidR="00C91BF5" w:rsidRPr="00C512F8">
        <w:rPr>
          <w:lang w:val="en-AU"/>
        </w:rPr>
        <w:fldChar w:fldCharType="end"/>
      </w:r>
      <w:r w:rsidR="00147096" w:rsidRPr="00C512F8">
        <w:rPr>
          <w:lang w:val="en-AU"/>
        </w:rPr>
        <w:t xml:space="preserve"> and therefore comparisons with this proposed value are more meaningful and recommended</w:t>
      </w:r>
      <w:r w:rsidR="00AF4242" w:rsidRPr="00C512F8">
        <w:rPr>
          <w:lang w:val="en-AU"/>
        </w:rPr>
        <w:t xml:space="preserve">. </w:t>
      </w:r>
      <w:r w:rsidR="00147096" w:rsidRPr="00C512F8">
        <w:rPr>
          <w:lang w:val="en-AU"/>
        </w:rPr>
        <w:t>There are no existing PC99 or trigger values for imidacloprid</w:t>
      </w:r>
      <w:r w:rsidR="0072046B" w:rsidRPr="00C512F8">
        <w:rPr>
          <w:lang w:val="en-AU"/>
        </w:rPr>
        <w:t>, nor a proposed GV for chlorpyrifos</w:t>
      </w:r>
      <w:r w:rsidR="00147096" w:rsidRPr="00C512F8">
        <w:rPr>
          <w:lang w:val="en-AU"/>
        </w:rPr>
        <w:t>.</w:t>
      </w:r>
    </w:p>
    <w:p w14:paraId="15720FC0" w14:textId="77777777" w:rsidR="0023161A" w:rsidRDefault="0023161A" w:rsidP="00015606">
      <w:pPr>
        <w:spacing w:line="276" w:lineRule="auto"/>
        <w:rPr>
          <w:lang w:val="en-AU"/>
        </w:rPr>
      </w:pPr>
    </w:p>
    <w:p w14:paraId="71C5B2A5" w14:textId="77777777" w:rsidR="00BD1693" w:rsidRDefault="00BD1693" w:rsidP="00BD1693">
      <w:pPr>
        <w:pStyle w:val="Heading30"/>
        <w:numPr>
          <w:ilvl w:val="3"/>
          <w:numId w:val="1"/>
        </w:numPr>
      </w:pPr>
      <w:bookmarkStart w:id="438" w:name="_Toc502500017"/>
      <w:r>
        <w:t>Comparison to previous years: trends in pesticide concentrations</w:t>
      </w:r>
      <w:bookmarkEnd w:id="438"/>
    </w:p>
    <w:p w14:paraId="486357A1" w14:textId="4A02FB77" w:rsidR="00BD1693" w:rsidRPr="00203958" w:rsidRDefault="00BD1693" w:rsidP="00BD1693">
      <w:pPr>
        <w:spacing w:line="276" w:lineRule="auto"/>
      </w:pPr>
      <w:r>
        <w:t>For many sites, the 2015-16 maximum pesticide</w:t>
      </w:r>
      <w:r w:rsidRPr="007A75AC">
        <w:t xml:space="preserve"> </w:t>
      </w:r>
      <w:r>
        <w:t xml:space="preserve">concentrations did not show any notable change from 2014-15 and, where historical records are available to compare, overall levels remained lower than the extremely wet years of the last </w:t>
      </w:r>
      <w:r w:rsidRPr="00E701F5">
        <w:t xml:space="preserve">La Niña </w:t>
      </w:r>
      <w:r>
        <w:t xml:space="preserve">cycle </w:t>
      </w:r>
      <w:r w:rsidRPr="00546D6F">
        <w:t>(</w:t>
      </w:r>
      <w:r w:rsidR="00203958" w:rsidRPr="00203958">
        <w:fldChar w:fldCharType="begin"/>
      </w:r>
      <w:r w:rsidR="00203958" w:rsidRPr="00203958">
        <w:instrText xml:space="preserve"> REF _Ref501863757 \h  \* MERGEFORMAT </w:instrText>
      </w:r>
      <w:r w:rsidR="00203958" w:rsidRPr="00203958">
        <w:fldChar w:fldCharType="separate"/>
      </w:r>
      <w:r w:rsidR="00D12276" w:rsidRPr="00747824">
        <w:t xml:space="preserve">Figure </w:t>
      </w:r>
      <w:r w:rsidR="00D12276" w:rsidRPr="00D12276">
        <w:rPr>
          <w:noProof/>
        </w:rPr>
        <w:t>9</w:t>
      </w:r>
      <w:r w:rsidR="00203958" w:rsidRPr="00203958">
        <w:fldChar w:fldCharType="end"/>
      </w:r>
      <w:r w:rsidRPr="00203958">
        <w:t>). The PSII-HEq Max values follow similar trend patterns (</w:t>
      </w:r>
      <w:r w:rsidR="00203958" w:rsidRPr="00203958">
        <w:fldChar w:fldCharType="begin"/>
      </w:r>
      <w:r w:rsidR="00203958" w:rsidRPr="00203958">
        <w:instrText xml:space="preserve"> REF _Ref480572093 \h  \* MERGEFORMAT </w:instrText>
      </w:r>
      <w:r w:rsidR="00203958" w:rsidRPr="00203958">
        <w:fldChar w:fldCharType="separate"/>
      </w:r>
      <w:r w:rsidR="00D12276" w:rsidRPr="00747824">
        <w:t xml:space="preserve">Figure </w:t>
      </w:r>
      <w:r w:rsidR="00D12276" w:rsidRPr="00D12276">
        <w:rPr>
          <w:noProof/>
        </w:rPr>
        <w:t>10</w:t>
      </w:r>
      <w:r w:rsidR="00203958" w:rsidRPr="00203958">
        <w:fldChar w:fldCharType="end"/>
      </w:r>
      <w:r w:rsidRPr="00203958">
        <w:t xml:space="preserve">). </w:t>
      </w:r>
    </w:p>
    <w:p w14:paraId="0611C677" w14:textId="77777777" w:rsidR="00BD1693" w:rsidRPr="009F6034" w:rsidRDefault="00BD1693" w:rsidP="00BD1693">
      <w:pPr>
        <w:spacing w:line="276" w:lineRule="auto"/>
        <w:rPr>
          <w:lang w:val="en-AU"/>
        </w:rPr>
      </w:pPr>
    </w:p>
    <w:p w14:paraId="15720FCD" w14:textId="09AE3E1D" w:rsidR="00A85C0C" w:rsidRDefault="00BD1693" w:rsidP="009F6034">
      <w:pPr>
        <w:spacing w:line="276" w:lineRule="auto"/>
        <w:rPr>
          <w:lang w:val="en-AU"/>
        </w:rPr>
      </w:pPr>
      <w:r w:rsidRPr="009F6034">
        <w:rPr>
          <w:lang w:val="en-AU"/>
        </w:rPr>
        <w:t xml:space="preserve">Trend comparisons will become more meaningful in </w:t>
      </w:r>
      <w:r w:rsidR="00C649C8">
        <w:rPr>
          <w:lang w:val="en-AU"/>
        </w:rPr>
        <w:t>future</w:t>
      </w:r>
      <w:r w:rsidRPr="009F6034">
        <w:rPr>
          <w:lang w:val="en-AU"/>
        </w:rPr>
        <w:t xml:space="preserve"> years as more historical data become available for the five sites in the program for which monitoring began in 2014-15 (Lucina, Barratta Creek, and three of the four sites in the Mackay Whitsunday regions, Repulse Bay, Round Top </w:t>
      </w:r>
      <w:r w:rsidR="00C649C8">
        <w:rPr>
          <w:lang w:val="en-AU"/>
        </w:rPr>
        <w:t xml:space="preserve">Island </w:t>
      </w:r>
      <w:r w:rsidRPr="009F6034">
        <w:rPr>
          <w:lang w:val="en-AU"/>
        </w:rPr>
        <w:t>and Sandy Creek). Likewise, for trends at High Island which was re-introduced to the monitoring program in the current year. A focus on finding ways to increase sampler returns wherever possible, particularly in the wet season, will also be important.</w:t>
      </w:r>
      <w:r w:rsidR="00A85C0C">
        <w:rPr>
          <w:lang w:val="en-AU"/>
        </w:rPr>
        <w:br w:type="page"/>
      </w:r>
    </w:p>
    <w:p w14:paraId="15720FCE" w14:textId="77777777" w:rsidR="00010636" w:rsidRDefault="00010636" w:rsidP="00192C7C">
      <w:pPr>
        <w:pStyle w:val="Caption"/>
        <w:keepNext/>
        <w:spacing w:after="120" w:line="276" w:lineRule="auto"/>
        <w:rPr>
          <w:b w:val="0"/>
        </w:rPr>
        <w:sectPr w:rsidR="00010636" w:rsidSect="00816FFD">
          <w:pgSz w:w="11907" w:h="16840" w:code="9"/>
          <w:pgMar w:top="720" w:right="720" w:bottom="851" w:left="720" w:header="709" w:footer="428" w:gutter="0"/>
          <w:cols w:space="708"/>
          <w:docGrid w:linePitch="360"/>
        </w:sectPr>
      </w:pPr>
      <w:bookmarkStart w:id="439" w:name="_Ref480565223"/>
      <w:bookmarkStart w:id="440" w:name="OLE_LINK14"/>
    </w:p>
    <w:p w14:paraId="15720FCF" w14:textId="79694098" w:rsidR="00FF3656" w:rsidRPr="00FF3656" w:rsidRDefault="00210B7C" w:rsidP="00192C7C">
      <w:pPr>
        <w:pStyle w:val="Caption"/>
        <w:keepNext/>
        <w:spacing w:after="120" w:line="276" w:lineRule="auto"/>
        <w:rPr>
          <w:b w:val="0"/>
        </w:rPr>
      </w:pPr>
      <w:bookmarkStart w:id="441" w:name="_Ref480727969"/>
      <w:bookmarkStart w:id="442" w:name="_Toc502499865"/>
      <w:bookmarkEnd w:id="439"/>
      <w:r w:rsidRPr="00210B7C">
        <w:rPr>
          <w:b w:val="0"/>
        </w:rPr>
        <w:lastRenderedPageBreak/>
        <w:t xml:space="preserve">Table </w:t>
      </w:r>
      <w:r w:rsidR="00C91BF5" w:rsidRPr="00210B7C">
        <w:rPr>
          <w:b w:val="0"/>
        </w:rPr>
        <w:fldChar w:fldCharType="begin"/>
      </w:r>
      <w:r w:rsidRPr="00210B7C">
        <w:rPr>
          <w:b w:val="0"/>
        </w:rPr>
        <w:instrText xml:space="preserve"> SEQ Table \* ARABIC </w:instrText>
      </w:r>
      <w:r w:rsidR="00C91BF5" w:rsidRPr="00210B7C">
        <w:rPr>
          <w:b w:val="0"/>
        </w:rPr>
        <w:fldChar w:fldCharType="separate"/>
      </w:r>
      <w:r w:rsidR="00D12276">
        <w:rPr>
          <w:b w:val="0"/>
          <w:noProof/>
        </w:rPr>
        <w:t>7</w:t>
      </w:r>
      <w:r w:rsidR="00C91BF5" w:rsidRPr="00210B7C">
        <w:rPr>
          <w:b w:val="0"/>
        </w:rPr>
        <w:fldChar w:fldCharType="end"/>
      </w:r>
      <w:bookmarkEnd w:id="441"/>
      <w:r w:rsidR="00FF3656" w:rsidRPr="00FF3656">
        <w:rPr>
          <w:b w:val="0"/>
        </w:rPr>
        <w:t xml:space="preserve">: </w:t>
      </w:r>
      <w:r w:rsidR="00041532">
        <w:rPr>
          <w:b w:val="0"/>
        </w:rPr>
        <w:t>M</w:t>
      </w:r>
      <w:r w:rsidR="00FF3656">
        <w:rPr>
          <w:b w:val="0"/>
        </w:rPr>
        <w:t>aximum detected pesticide concentrations at each</w:t>
      </w:r>
      <w:r w:rsidR="00B31A9E">
        <w:rPr>
          <w:b w:val="0"/>
        </w:rPr>
        <w:t xml:space="preserve"> fixed</w:t>
      </w:r>
      <w:r w:rsidR="00FF3656">
        <w:rPr>
          <w:b w:val="0"/>
        </w:rPr>
        <w:t xml:space="preserve"> passive sampling site</w:t>
      </w:r>
      <w:r w:rsidR="0020226C">
        <w:rPr>
          <w:b w:val="0"/>
        </w:rPr>
        <w:t>. C</w:t>
      </w:r>
      <w:r w:rsidR="00FF3656" w:rsidRPr="001140E6">
        <w:rPr>
          <w:b w:val="0"/>
        </w:rPr>
        <w:t>olour coding reflects lowest (green) to highest (red) values for each pesticide across the catchments (yellow is the 50</w:t>
      </w:r>
      <w:r w:rsidR="00FF3656" w:rsidRPr="00192C7C">
        <w:rPr>
          <w:b w:val="0"/>
        </w:rPr>
        <w:t>th</w:t>
      </w:r>
      <w:r w:rsidR="00FF3656" w:rsidRPr="001140E6">
        <w:rPr>
          <w:b w:val="0"/>
        </w:rPr>
        <w:t xml:space="preserve"> percentile).</w:t>
      </w:r>
      <w:bookmarkEnd w:id="442"/>
    </w:p>
    <w:p w14:paraId="45C44A39" w14:textId="45FE48BA" w:rsidR="00AF6B94" w:rsidRDefault="00AF6B94" w:rsidP="009A402D">
      <w:pPr>
        <w:pStyle w:val="Caption"/>
        <w:keepNext/>
        <w:spacing w:after="120" w:line="276" w:lineRule="auto"/>
        <w:rPr>
          <w:rFonts w:asciiTheme="minorHAnsi" w:eastAsiaTheme="minorHAnsi" w:hAnsiTheme="minorHAnsi"/>
          <w:b w:val="0"/>
          <w:bCs w:val="0"/>
          <w:sz w:val="22"/>
          <w:szCs w:val="22"/>
          <w:lang w:val="en-AU" w:bidi="ar-SA"/>
        </w:rPr>
      </w:pPr>
      <w:r w:rsidRPr="00AF6B94">
        <w:rPr>
          <w:noProof/>
          <w:lang w:val="en-AU" w:eastAsia="en-AU" w:bidi="ar-SA"/>
        </w:rPr>
        <w:drawing>
          <wp:inline distT="0" distB="0" distL="0" distR="0" wp14:anchorId="6FFBC28D" wp14:editId="5F39120D">
            <wp:extent cx="9779000" cy="3462209"/>
            <wp:effectExtent l="0" t="0" r="0" b="5080"/>
            <wp:docPr id="7228" name="Picture 7228" descr="Table 7: Maximum detected pesticide concentrations at each fixed passive sampling site. Higested concentrations for 15 pesticides (of 24) occurred at Round Top Island. Five pesticides were not detected at any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779000" cy="3462209"/>
                    </a:xfrm>
                    <a:prstGeom prst="rect">
                      <a:avLst/>
                    </a:prstGeom>
                    <a:noFill/>
                    <a:ln>
                      <a:noFill/>
                    </a:ln>
                  </pic:spPr>
                </pic:pic>
              </a:graphicData>
            </a:graphic>
          </wp:inline>
        </w:drawing>
      </w:r>
      <w:r>
        <w:rPr>
          <w:noProof/>
        </w:rPr>
        <w:fldChar w:fldCharType="begin"/>
      </w:r>
      <w:r>
        <w:rPr>
          <w:noProof/>
        </w:rPr>
        <w:instrText xml:space="preserve"> LINK Excel.Sheet.12 "\\\\nas02.storage.uq.edu.au\\HBS-MBS-Shared\\ENTOX-Research\\Water Air Biomonitoring\\Sampling - Consultancy  Projects\\AQUATIC PROJECTS\\REEF RESCUE MMP\\2016\\!Tables for report\\Table 7 - maximum pesticide concentrations (by site).xlsx" "Sheet1!R1C1:R18C32" \a \f 4 \h </w:instrText>
      </w:r>
      <w:r>
        <w:rPr>
          <w:noProof/>
        </w:rPr>
        <w:fldChar w:fldCharType="separate"/>
      </w:r>
    </w:p>
    <w:p w14:paraId="15720FD0" w14:textId="28AE0B63" w:rsidR="0059608E" w:rsidRPr="00747824" w:rsidRDefault="00AF6B94" w:rsidP="009A402D">
      <w:pPr>
        <w:pStyle w:val="Caption"/>
        <w:keepNext/>
        <w:spacing w:after="120" w:line="276" w:lineRule="auto"/>
        <w:rPr>
          <w:b w:val="0"/>
        </w:rPr>
      </w:pPr>
      <w:r>
        <w:rPr>
          <w:noProof/>
        </w:rPr>
        <w:fldChar w:fldCharType="end"/>
      </w:r>
    </w:p>
    <w:bookmarkEnd w:id="440"/>
    <w:p w14:paraId="15720FD1" w14:textId="600E829A" w:rsidR="0059608E" w:rsidRDefault="0059608E" w:rsidP="00747824">
      <w:pPr>
        <w:pStyle w:val="Caption"/>
        <w:keepNext/>
        <w:spacing w:line="276" w:lineRule="auto"/>
        <w:rPr>
          <w:b w:val="0"/>
        </w:rPr>
      </w:pPr>
    </w:p>
    <w:p w14:paraId="04004686" w14:textId="7476C4D9" w:rsidR="00203958" w:rsidRDefault="00F01BA2" w:rsidP="00C659B5">
      <w:pPr>
        <w:jc w:val="center"/>
      </w:pPr>
      <w:r w:rsidRPr="00F01BA2">
        <w:rPr>
          <w:noProof/>
          <w:lang w:val="en-AU" w:eastAsia="en-AU" w:bidi="ar-SA"/>
        </w:rPr>
        <w:drawing>
          <wp:inline distT="0" distB="0" distL="0" distR="0" wp14:anchorId="053AD380" wp14:editId="6D26F4F1">
            <wp:extent cx="9778043" cy="5300535"/>
            <wp:effectExtent l="0" t="0" r="0" b="0"/>
            <wp:docPr id="290" name="Picture 290" descr="Figure 9: Maximum concentrations of individual pesticides at all sites monitored in 2015–16 compared to previous years (2008-09 onwards). Bars show the relative contribution of each pesticide to the sum total concen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rotWithShape="1">
                    <a:blip r:embed="rId36">
                      <a:extLst>
                        <a:ext uri="{28A0092B-C50C-407E-A947-70E740481C1C}">
                          <a14:useLocalDpi xmlns:a14="http://schemas.microsoft.com/office/drawing/2010/main" val="0"/>
                        </a:ext>
                      </a:extLst>
                    </a:blip>
                    <a:srcRect t="3668"/>
                    <a:stretch/>
                  </pic:blipFill>
                  <pic:spPr bwMode="auto">
                    <a:xfrm>
                      <a:off x="0" y="0"/>
                      <a:ext cx="9779000" cy="5301054"/>
                    </a:xfrm>
                    <a:prstGeom prst="rect">
                      <a:avLst/>
                    </a:prstGeom>
                    <a:noFill/>
                    <a:ln>
                      <a:noFill/>
                    </a:ln>
                    <a:extLst>
                      <a:ext uri="{53640926-AAD7-44D8-BBD7-CCE9431645EC}">
                        <a14:shadowObscured xmlns:a14="http://schemas.microsoft.com/office/drawing/2010/main"/>
                      </a:ext>
                    </a:extLst>
                  </pic:spPr>
                </pic:pic>
              </a:graphicData>
            </a:graphic>
          </wp:inline>
        </w:drawing>
      </w:r>
    </w:p>
    <w:p w14:paraId="300E3539" w14:textId="77D0C51A" w:rsidR="00203958" w:rsidRDefault="00203958" w:rsidP="00C659B5">
      <w:pPr>
        <w:pStyle w:val="Caption"/>
        <w:keepNext/>
        <w:spacing w:line="276" w:lineRule="auto"/>
        <w:rPr>
          <w:b w:val="0"/>
        </w:rPr>
      </w:pPr>
      <w:bookmarkStart w:id="443" w:name="_Ref501863757"/>
      <w:bookmarkStart w:id="444" w:name="_Toc502499939"/>
      <w:r w:rsidRPr="00747824">
        <w:rPr>
          <w:b w:val="0"/>
        </w:rPr>
        <w:t xml:space="preserve">Figure </w:t>
      </w:r>
      <w:r w:rsidRPr="00747824">
        <w:rPr>
          <w:b w:val="0"/>
        </w:rPr>
        <w:fldChar w:fldCharType="begin"/>
      </w:r>
      <w:r w:rsidRPr="00747824">
        <w:rPr>
          <w:b w:val="0"/>
        </w:rPr>
        <w:instrText xml:space="preserve"> SEQ Figure \* ARABIC </w:instrText>
      </w:r>
      <w:r w:rsidRPr="00747824">
        <w:rPr>
          <w:b w:val="0"/>
        </w:rPr>
        <w:fldChar w:fldCharType="separate"/>
      </w:r>
      <w:r w:rsidR="00D12276">
        <w:rPr>
          <w:b w:val="0"/>
          <w:noProof/>
        </w:rPr>
        <w:t>9</w:t>
      </w:r>
      <w:r w:rsidRPr="00747824">
        <w:rPr>
          <w:b w:val="0"/>
        </w:rPr>
        <w:fldChar w:fldCharType="end"/>
      </w:r>
      <w:bookmarkEnd w:id="443"/>
      <w:r>
        <w:rPr>
          <w:b w:val="0"/>
        </w:rPr>
        <w:t xml:space="preserve">: </w:t>
      </w:r>
      <w:r w:rsidR="00030FD5" w:rsidRPr="00030FD5">
        <w:rPr>
          <w:b w:val="0"/>
        </w:rPr>
        <w:t xml:space="preserve">Maximum concentrations of individual </w:t>
      </w:r>
      <w:r w:rsidR="00030FD5">
        <w:rPr>
          <w:b w:val="0"/>
        </w:rPr>
        <w:t>pesticides</w:t>
      </w:r>
      <w:r w:rsidR="00030FD5" w:rsidRPr="00030FD5">
        <w:rPr>
          <w:b w:val="0"/>
        </w:rPr>
        <w:t xml:space="preserve"> </w:t>
      </w:r>
      <w:r w:rsidRPr="008A6FCC">
        <w:rPr>
          <w:b w:val="0"/>
        </w:rPr>
        <w:t>at all sites monitored in 2015–16 compared to previous years</w:t>
      </w:r>
      <w:r>
        <w:rPr>
          <w:b w:val="0"/>
        </w:rPr>
        <w:t xml:space="preserve"> (2008-09 onwards)</w:t>
      </w:r>
      <w:r w:rsidRPr="008A6FCC">
        <w:rPr>
          <w:b w:val="0"/>
        </w:rPr>
        <w:t>.</w:t>
      </w:r>
      <w:r>
        <w:rPr>
          <w:b w:val="0"/>
        </w:rPr>
        <w:t xml:space="preserve"> Diuron dominated the profile at most sites, the exceptions being Barratta Creek mouth (atrazine </w:t>
      </w:r>
      <w:r w:rsidR="00D87EDD">
        <w:rPr>
          <w:b w:val="0"/>
        </w:rPr>
        <w:t xml:space="preserve">was </w:t>
      </w:r>
      <w:r>
        <w:rPr>
          <w:b w:val="0"/>
        </w:rPr>
        <w:t xml:space="preserve">the highest contributor) and North Keppel Island (tebuthiuron </w:t>
      </w:r>
      <w:r w:rsidR="00D87EDD">
        <w:rPr>
          <w:b w:val="0"/>
        </w:rPr>
        <w:t xml:space="preserve">was </w:t>
      </w:r>
      <w:r>
        <w:rPr>
          <w:b w:val="0"/>
        </w:rPr>
        <w:t>the highest contributor).</w:t>
      </w:r>
      <w:bookmarkEnd w:id="444"/>
      <w:r w:rsidR="00E40560">
        <w:rPr>
          <w:b w:val="0"/>
        </w:rPr>
        <w:t xml:space="preserve"> </w:t>
      </w:r>
      <w:r w:rsidR="00C659B5">
        <w:rPr>
          <w:b w:val="0"/>
        </w:rPr>
        <w:t xml:space="preserve">Several pesticides </w:t>
      </w:r>
      <w:r w:rsidR="00D87EDD">
        <w:rPr>
          <w:b w:val="0"/>
        </w:rPr>
        <w:t>were</w:t>
      </w:r>
      <w:r w:rsidR="00C659B5">
        <w:rPr>
          <w:b w:val="0"/>
        </w:rPr>
        <w:t xml:space="preserve"> recently added to the analysis suite and are only included in </w:t>
      </w:r>
      <w:r w:rsidR="00D87EDD">
        <w:rPr>
          <w:b w:val="0"/>
        </w:rPr>
        <w:t>the relevant years (</w:t>
      </w:r>
      <w:r w:rsidR="00C659B5">
        <w:rPr>
          <w:b w:val="0"/>
        </w:rPr>
        <w:t>2014-15 and 2015-16</w:t>
      </w:r>
      <w:r w:rsidR="00D87EDD">
        <w:rPr>
          <w:b w:val="0"/>
        </w:rPr>
        <w:t>)</w:t>
      </w:r>
      <w:r w:rsidR="00C659B5">
        <w:rPr>
          <w:b w:val="0"/>
        </w:rPr>
        <w:t>.</w:t>
      </w:r>
      <w:r w:rsidR="00D87EDD">
        <w:rPr>
          <w:b w:val="0"/>
        </w:rPr>
        <w:t xml:space="preserve"> 2,4-DB and fluometuron are not shown as values were &lt;LOD for all sites.</w:t>
      </w:r>
      <w:r w:rsidR="00C659B5">
        <w:rPr>
          <w:b w:val="0"/>
        </w:rPr>
        <w:t xml:space="preserve"> </w:t>
      </w:r>
      <w:r w:rsidR="00C649C8">
        <w:rPr>
          <w:b w:val="0"/>
        </w:rPr>
        <w:t xml:space="preserve">* </w:t>
      </w:r>
      <w:r w:rsidR="00E40560">
        <w:rPr>
          <w:b w:val="0"/>
        </w:rPr>
        <w:t xml:space="preserve">Values with an asterisk are not representative values due to </w:t>
      </w:r>
      <w:r w:rsidR="009F6034">
        <w:rPr>
          <w:b w:val="0"/>
        </w:rPr>
        <w:t xml:space="preserve">wet season sampling being incomplete and should be interpreted with caution. At Normanby Island and </w:t>
      </w:r>
      <w:r w:rsidR="009F6034" w:rsidRPr="009F6034">
        <w:rPr>
          <w:b w:val="0"/>
        </w:rPr>
        <w:t>Sarina Inlet</w:t>
      </w:r>
      <w:r w:rsidR="009F6034">
        <w:rPr>
          <w:b w:val="0"/>
        </w:rPr>
        <w:t>,</w:t>
      </w:r>
      <w:r w:rsidR="009F6034" w:rsidRPr="009F6034">
        <w:rPr>
          <w:b w:val="0"/>
        </w:rPr>
        <w:t xml:space="preserve"> the 2015-16 maximum is a dry season value as no wet season samplers were successfully deployed. At Barratta Creek no samplers were deployed during the period of highest rainfall in </w:t>
      </w:r>
      <w:r w:rsidR="009F6034">
        <w:rPr>
          <w:b w:val="0"/>
        </w:rPr>
        <w:t>2014-15</w:t>
      </w:r>
      <w:r w:rsidR="009F6034" w:rsidRPr="009F6034">
        <w:rPr>
          <w:b w:val="0"/>
        </w:rPr>
        <w:t>. At Repulse Bay, the 2015-16 maximum may be understated as no samplers were deployed from Jan</w:t>
      </w:r>
      <w:r w:rsidR="00C649C8">
        <w:rPr>
          <w:b w:val="0"/>
        </w:rPr>
        <w:t>uary</w:t>
      </w:r>
      <w:r w:rsidR="009F6034" w:rsidRPr="009F6034">
        <w:rPr>
          <w:b w:val="0"/>
        </w:rPr>
        <w:t xml:space="preserve">-April 2016 when the highest rainfall occurred. </w:t>
      </w:r>
      <w:r w:rsidR="009F6034">
        <w:rPr>
          <w:b w:val="0"/>
        </w:rPr>
        <w:t>At</w:t>
      </w:r>
      <w:r w:rsidR="009F6034" w:rsidRPr="009F6034">
        <w:rPr>
          <w:b w:val="0"/>
        </w:rPr>
        <w:t xml:space="preserve"> Round Top Island</w:t>
      </w:r>
      <w:r w:rsidR="009F6034">
        <w:rPr>
          <w:b w:val="0"/>
        </w:rPr>
        <w:t>, the</w:t>
      </w:r>
      <w:r w:rsidR="009F6034" w:rsidRPr="009F6034">
        <w:rPr>
          <w:b w:val="0"/>
        </w:rPr>
        <w:t xml:space="preserve"> </w:t>
      </w:r>
      <w:r w:rsidR="00F743B8">
        <w:rPr>
          <w:b w:val="0"/>
        </w:rPr>
        <w:t xml:space="preserve">prior year, </w:t>
      </w:r>
      <w:r w:rsidR="009F6034">
        <w:rPr>
          <w:b w:val="0"/>
        </w:rPr>
        <w:t>2014-15</w:t>
      </w:r>
      <w:r w:rsidR="00F743B8">
        <w:rPr>
          <w:b w:val="0"/>
        </w:rPr>
        <w:t>,</w:t>
      </w:r>
      <w:r w:rsidR="009F6034" w:rsidRPr="009F6034">
        <w:rPr>
          <w:b w:val="0"/>
        </w:rPr>
        <w:t xml:space="preserve"> maximum concentration is likely understated due to gaps in wet season deployments in that year</w:t>
      </w:r>
      <w:r w:rsidR="00C659B5">
        <w:rPr>
          <w:b w:val="0"/>
        </w:rPr>
        <w:t>.</w:t>
      </w:r>
    </w:p>
    <w:p w14:paraId="766327D3" w14:textId="77777777" w:rsidR="00C659B5" w:rsidRPr="00C659B5" w:rsidRDefault="00C659B5" w:rsidP="00C659B5">
      <w:pPr>
        <w:rPr>
          <w:sz w:val="2"/>
          <w:szCs w:val="2"/>
        </w:rPr>
      </w:pPr>
    </w:p>
    <w:p w14:paraId="27B541B6" w14:textId="1165587F" w:rsidR="00B45907" w:rsidRDefault="00BF525D" w:rsidP="00B45907">
      <w:r>
        <w:object w:dxaOrig="16783" w:dyaOrig="8791" w14:anchorId="2FFB77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igure 10: Maximum PSII herbicide equivalent concentrations at all sites monitored in 2015–16 compared to previous years (2008-09 onwards). Each bar is colour coded to show the Category on the PSII HEq Index that the maximum PSII-HEq concentration relates to. Category 2 and 3 have only been reached in the Mackay Whitsundays region." style="width:769.5pt;height:402.75pt" o:ole="">
            <v:imagedata r:id="rId37" o:title=""/>
          </v:shape>
          <o:OLEObject Type="Embed" ProgID="Prism7.Document" ShapeID="_x0000_i1025" DrawAspect="Content" ObjectID="_1577084918" r:id="rId38"/>
        </w:object>
      </w:r>
    </w:p>
    <w:p w14:paraId="6400D391" w14:textId="77777777" w:rsidR="00B45907" w:rsidRPr="00B45907" w:rsidRDefault="00B45907" w:rsidP="00B45907"/>
    <w:p w14:paraId="16538291" w14:textId="0C249DB7" w:rsidR="00B45907" w:rsidRPr="00E40560" w:rsidRDefault="008C3AEC" w:rsidP="00E40560">
      <w:pPr>
        <w:pStyle w:val="Caption"/>
        <w:keepNext/>
        <w:spacing w:line="276" w:lineRule="auto"/>
        <w:rPr>
          <w:b w:val="0"/>
        </w:rPr>
      </w:pPr>
      <w:bookmarkStart w:id="445" w:name="_Ref480572093"/>
      <w:bookmarkStart w:id="446" w:name="_Toc502499940"/>
      <w:r w:rsidRPr="00747824">
        <w:rPr>
          <w:b w:val="0"/>
        </w:rPr>
        <w:t xml:space="preserve">Figure </w:t>
      </w:r>
      <w:r w:rsidRPr="00747824">
        <w:rPr>
          <w:b w:val="0"/>
        </w:rPr>
        <w:fldChar w:fldCharType="begin"/>
      </w:r>
      <w:r w:rsidRPr="00747824">
        <w:rPr>
          <w:b w:val="0"/>
        </w:rPr>
        <w:instrText xml:space="preserve"> SEQ Figure \* ARABIC </w:instrText>
      </w:r>
      <w:r w:rsidRPr="00747824">
        <w:rPr>
          <w:b w:val="0"/>
        </w:rPr>
        <w:fldChar w:fldCharType="separate"/>
      </w:r>
      <w:r w:rsidR="00D12276">
        <w:rPr>
          <w:b w:val="0"/>
          <w:noProof/>
        </w:rPr>
        <w:t>10</w:t>
      </w:r>
      <w:r w:rsidRPr="00747824">
        <w:rPr>
          <w:b w:val="0"/>
        </w:rPr>
        <w:fldChar w:fldCharType="end"/>
      </w:r>
      <w:bookmarkEnd w:id="445"/>
      <w:r>
        <w:rPr>
          <w:b w:val="0"/>
        </w:rPr>
        <w:t xml:space="preserve">: </w:t>
      </w:r>
      <w:r w:rsidR="008A6FCC" w:rsidRPr="008A6FCC">
        <w:rPr>
          <w:b w:val="0"/>
        </w:rPr>
        <w:t>Maximum PSII herbicide equivalent concentrations at all sites monitored in 2015–16 compared to previous years</w:t>
      </w:r>
      <w:r w:rsidR="008A6FCC">
        <w:rPr>
          <w:b w:val="0"/>
        </w:rPr>
        <w:t xml:space="preserve"> (2008-09 onwards)</w:t>
      </w:r>
      <w:r w:rsidR="008A6FCC" w:rsidRPr="008A6FCC">
        <w:rPr>
          <w:b w:val="0"/>
        </w:rPr>
        <w:t xml:space="preserve">. The five categories of the </w:t>
      </w:r>
      <w:r w:rsidR="00DA1A02">
        <w:rPr>
          <w:b w:val="0"/>
        </w:rPr>
        <w:t xml:space="preserve">PSII </w:t>
      </w:r>
      <w:r w:rsidR="008A6FCC" w:rsidRPr="008A6FCC">
        <w:rPr>
          <w:b w:val="0"/>
        </w:rPr>
        <w:t>index reflect published effects on photosynthesis, where Category 5 is no impact and Category 1 is the equivalent to the 99 per cent species protection</w:t>
      </w:r>
      <w:r w:rsidR="008A6FCC">
        <w:rPr>
          <w:b w:val="0"/>
        </w:rPr>
        <w:t xml:space="preserve"> GBRMPA</w:t>
      </w:r>
      <w:r w:rsidR="008A6FCC" w:rsidRPr="008A6FCC">
        <w:rPr>
          <w:b w:val="0"/>
        </w:rPr>
        <w:t xml:space="preserve"> guideline value for diuron.</w:t>
      </w:r>
      <w:r w:rsidR="00E40560">
        <w:rPr>
          <w:b w:val="0"/>
        </w:rPr>
        <w:t xml:space="preserve"> </w:t>
      </w:r>
      <w:r w:rsidR="009F6034">
        <w:rPr>
          <w:b w:val="0"/>
        </w:rPr>
        <w:t>V</w:t>
      </w:r>
      <w:r w:rsidR="00E40560">
        <w:rPr>
          <w:b w:val="0"/>
        </w:rPr>
        <w:t xml:space="preserve">alues with an asterisk </w:t>
      </w:r>
      <w:r w:rsidR="009F6034">
        <w:rPr>
          <w:b w:val="0"/>
        </w:rPr>
        <w:t>are not representative values</w:t>
      </w:r>
      <w:r w:rsidR="00333388" w:rsidRPr="00333388">
        <w:rPr>
          <w:b w:val="0"/>
        </w:rPr>
        <w:t xml:space="preserve"> </w:t>
      </w:r>
      <w:r w:rsidR="00333388">
        <w:rPr>
          <w:b w:val="0"/>
        </w:rPr>
        <w:t xml:space="preserve">(refer to caption for </w:t>
      </w:r>
      <w:r w:rsidR="00333388">
        <w:rPr>
          <w:b w:val="0"/>
        </w:rPr>
        <w:fldChar w:fldCharType="begin"/>
      </w:r>
      <w:r w:rsidR="00333388">
        <w:rPr>
          <w:b w:val="0"/>
        </w:rPr>
        <w:instrText xml:space="preserve"> REF _Ref501863757 \h </w:instrText>
      </w:r>
      <w:r w:rsidR="00333388">
        <w:rPr>
          <w:b w:val="0"/>
        </w:rPr>
      </w:r>
      <w:r w:rsidR="00333388">
        <w:rPr>
          <w:b w:val="0"/>
        </w:rPr>
        <w:fldChar w:fldCharType="separate"/>
      </w:r>
      <w:r w:rsidR="00D12276" w:rsidRPr="00747824">
        <w:rPr>
          <w:b w:val="0"/>
        </w:rPr>
        <w:t xml:space="preserve">Figure </w:t>
      </w:r>
      <w:r w:rsidR="00D12276">
        <w:rPr>
          <w:b w:val="0"/>
          <w:noProof/>
        </w:rPr>
        <w:t>9</w:t>
      </w:r>
      <w:r w:rsidR="00333388">
        <w:rPr>
          <w:b w:val="0"/>
        </w:rPr>
        <w:fldChar w:fldCharType="end"/>
      </w:r>
      <w:r w:rsidR="00333388">
        <w:rPr>
          <w:b w:val="0"/>
        </w:rPr>
        <w:t>)</w:t>
      </w:r>
      <w:r w:rsidR="009F6034">
        <w:rPr>
          <w:b w:val="0"/>
        </w:rPr>
        <w:t xml:space="preserve"> and should be interpreted with caution</w:t>
      </w:r>
      <w:r w:rsidR="00E40560">
        <w:rPr>
          <w:b w:val="0"/>
        </w:rPr>
        <w:t>.</w:t>
      </w:r>
      <w:bookmarkEnd w:id="446"/>
    </w:p>
    <w:p w14:paraId="49EDA415" w14:textId="465CC911" w:rsidR="00B45907" w:rsidRDefault="00B45907" w:rsidP="00B45907">
      <w:pPr>
        <w:jc w:val="center"/>
      </w:pPr>
    </w:p>
    <w:p w14:paraId="5F07C4C5" w14:textId="5ECB8E27" w:rsidR="00B45907" w:rsidRDefault="00B45907" w:rsidP="00B45907">
      <w:pPr>
        <w:jc w:val="center"/>
        <w:sectPr w:rsidR="00B45907" w:rsidSect="00010636">
          <w:pgSz w:w="16840" w:h="11907" w:orient="landscape" w:code="9"/>
          <w:pgMar w:top="720" w:right="720" w:bottom="720" w:left="720" w:header="709" w:footer="428" w:gutter="0"/>
          <w:cols w:space="708"/>
          <w:docGrid w:linePitch="360"/>
        </w:sectPr>
      </w:pPr>
    </w:p>
    <w:p w14:paraId="19361A0C" w14:textId="2E1E4A8D" w:rsidR="009A7845" w:rsidRDefault="0059608E" w:rsidP="009A7845">
      <w:pPr>
        <w:pStyle w:val="Heading2"/>
        <w:keepNext/>
        <w:keepLines/>
        <w:numPr>
          <w:ilvl w:val="1"/>
          <w:numId w:val="1"/>
        </w:numPr>
        <w:pBdr>
          <w:bottom w:val="none" w:sz="0" w:space="0" w:color="auto"/>
        </w:pBdr>
        <w:spacing w:before="240" w:after="120"/>
        <w:rPr>
          <w:bCs/>
          <w:sz w:val="26"/>
          <w:szCs w:val="26"/>
          <w:lang w:val="en-AU" w:eastAsia="en-US" w:bidi="ar-SA"/>
        </w:rPr>
      </w:pPr>
      <w:bookmarkStart w:id="447" w:name="_Toc335638013"/>
      <w:bookmarkStart w:id="448" w:name="_Toc335638108"/>
      <w:bookmarkStart w:id="449" w:name="_Toc335638267"/>
      <w:bookmarkStart w:id="450" w:name="_Toc335640877"/>
      <w:bookmarkStart w:id="451" w:name="_Toc335661322"/>
      <w:bookmarkStart w:id="452" w:name="_Toc335638268"/>
      <w:bookmarkStart w:id="453" w:name="_Toc335640878"/>
      <w:bookmarkStart w:id="454" w:name="_Toc335638276"/>
      <w:bookmarkStart w:id="455" w:name="_Toc335640886"/>
      <w:bookmarkStart w:id="456" w:name="_Toc335638371"/>
      <w:bookmarkStart w:id="457" w:name="_Toc335640981"/>
      <w:bookmarkStart w:id="458" w:name="_Toc335638447"/>
      <w:bookmarkStart w:id="459" w:name="_Toc335641057"/>
      <w:bookmarkStart w:id="460" w:name="_Toc335638523"/>
      <w:bookmarkStart w:id="461" w:name="_Toc335641133"/>
      <w:bookmarkStart w:id="462" w:name="_Toc335638561"/>
      <w:bookmarkStart w:id="463" w:name="_Toc335641171"/>
      <w:bookmarkStart w:id="464" w:name="_Toc335638562"/>
      <w:bookmarkStart w:id="465" w:name="_Toc335641172"/>
      <w:bookmarkStart w:id="466" w:name="_Toc335638563"/>
      <w:bookmarkStart w:id="467" w:name="_Toc335641173"/>
      <w:bookmarkStart w:id="468" w:name="_Toc335638564"/>
      <w:bookmarkStart w:id="469" w:name="_Toc335641174"/>
      <w:bookmarkStart w:id="470" w:name="_Toc335638565"/>
      <w:bookmarkStart w:id="471" w:name="_Toc335641175"/>
      <w:bookmarkStart w:id="472" w:name="_Toc335638566"/>
      <w:bookmarkStart w:id="473" w:name="_Toc335641176"/>
      <w:bookmarkStart w:id="474" w:name="_Toc335638567"/>
      <w:bookmarkStart w:id="475" w:name="_Toc335641177"/>
      <w:bookmarkStart w:id="476" w:name="_Toc335638568"/>
      <w:bookmarkStart w:id="477" w:name="_Toc335641178"/>
      <w:bookmarkStart w:id="478" w:name="_Toc335638569"/>
      <w:bookmarkStart w:id="479" w:name="_Toc335641179"/>
      <w:bookmarkStart w:id="480" w:name="_Toc335638570"/>
      <w:bookmarkStart w:id="481" w:name="_Toc335641180"/>
      <w:bookmarkStart w:id="482" w:name="_Toc335638573"/>
      <w:bookmarkStart w:id="483" w:name="_Toc335641183"/>
      <w:bookmarkStart w:id="484" w:name="_Toc378277506"/>
      <w:bookmarkStart w:id="485" w:name="_Toc378278127"/>
      <w:bookmarkStart w:id="486" w:name="_Toc378278209"/>
      <w:bookmarkStart w:id="487" w:name="_Toc378287091"/>
      <w:bookmarkStart w:id="488" w:name="_Toc378277507"/>
      <w:bookmarkStart w:id="489" w:name="_Toc378278128"/>
      <w:bookmarkStart w:id="490" w:name="_Toc378278210"/>
      <w:bookmarkStart w:id="491" w:name="_Toc378287092"/>
      <w:bookmarkStart w:id="492" w:name="_Toc378277508"/>
      <w:bookmarkStart w:id="493" w:name="_Toc378278129"/>
      <w:bookmarkStart w:id="494" w:name="_Toc378278211"/>
      <w:bookmarkStart w:id="495" w:name="_Toc378287093"/>
      <w:bookmarkStart w:id="496" w:name="_Toc378277509"/>
      <w:bookmarkStart w:id="497" w:name="_Toc378278130"/>
      <w:bookmarkStart w:id="498" w:name="_Toc378278212"/>
      <w:bookmarkStart w:id="499" w:name="_Toc378287094"/>
      <w:bookmarkStart w:id="500" w:name="_Toc378277510"/>
      <w:bookmarkStart w:id="501" w:name="_Toc378278131"/>
      <w:bookmarkStart w:id="502" w:name="_Toc378278213"/>
      <w:bookmarkStart w:id="503" w:name="_Toc378287095"/>
      <w:bookmarkStart w:id="504" w:name="_Toc378277511"/>
      <w:bookmarkStart w:id="505" w:name="_Toc378278132"/>
      <w:bookmarkStart w:id="506" w:name="_Toc378278214"/>
      <w:bookmarkStart w:id="507" w:name="_Toc378287096"/>
      <w:bookmarkStart w:id="508" w:name="_Toc378277512"/>
      <w:bookmarkStart w:id="509" w:name="_Toc378278133"/>
      <w:bookmarkStart w:id="510" w:name="_Toc378278215"/>
      <w:bookmarkStart w:id="511" w:name="_Toc378287097"/>
      <w:bookmarkStart w:id="512" w:name="_Toc378277513"/>
      <w:bookmarkStart w:id="513" w:name="_Toc378278134"/>
      <w:bookmarkStart w:id="514" w:name="_Toc378278216"/>
      <w:bookmarkStart w:id="515" w:name="_Toc378287098"/>
      <w:bookmarkStart w:id="516" w:name="_Toc378277514"/>
      <w:bookmarkStart w:id="517" w:name="_Toc378278135"/>
      <w:bookmarkStart w:id="518" w:name="_Toc378278217"/>
      <w:bookmarkStart w:id="519" w:name="_Toc378287099"/>
      <w:bookmarkStart w:id="520" w:name="_Toc378277515"/>
      <w:bookmarkStart w:id="521" w:name="_Toc378278136"/>
      <w:bookmarkStart w:id="522" w:name="_Toc378278218"/>
      <w:bookmarkStart w:id="523" w:name="_Toc378287100"/>
      <w:bookmarkStart w:id="524" w:name="_Toc378277516"/>
      <w:bookmarkStart w:id="525" w:name="_Toc378278137"/>
      <w:bookmarkStart w:id="526" w:name="_Toc378278219"/>
      <w:bookmarkStart w:id="527" w:name="_Toc378287101"/>
      <w:bookmarkStart w:id="528" w:name="_Toc378277517"/>
      <w:bookmarkStart w:id="529" w:name="_Toc378278138"/>
      <w:bookmarkStart w:id="530" w:name="_Toc378278220"/>
      <w:bookmarkStart w:id="531" w:name="_Toc378287102"/>
      <w:bookmarkStart w:id="532" w:name="_Toc378277518"/>
      <w:bookmarkStart w:id="533" w:name="_Toc378278139"/>
      <w:bookmarkStart w:id="534" w:name="_Toc378278221"/>
      <w:bookmarkStart w:id="535" w:name="_Toc378287103"/>
      <w:bookmarkStart w:id="536" w:name="_Toc378277519"/>
      <w:bookmarkStart w:id="537" w:name="_Toc378278140"/>
      <w:bookmarkStart w:id="538" w:name="_Toc378278222"/>
      <w:bookmarkStart w:id="539" w:name="_Toc378287104"/>
      <w:bookmarkStart w:id="540" w:name="_Toc378277520"/>
      <w:bookmarkStart w:id="541" w:name="_Toc378278141"/>
      <w:bookmarkStart w:id="542" w:name="_Toc378278223"/>
      <w:bookmarkStart w:id="543" w:name="_Toc378287105"/>
      <w:bookmarkStart w:id="544" w:name="_Toc378277526"/>
      <w:bookmarkStart w:id="545" w:name="_Toc378278147"/>
      <w:bookmarkStart w:id="546" w:name="_Toc378278229"/>
      <w:bookmarkStart w:id="547" w:name="_Toc378287111"/>
      <w:bookmarkStart w:id="548" w:name="_Toc461457772"/>
      <w:bookmarkStart w:id="549" w:name="_Ref501786496"/>
      <w:bookmarkStart w:id="550" w:name="_Toc502500018"/>
      <w:bookmarkStart w:id="551" w:name="_Toc257115762"/>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r w:rsidRPr="004E0EF8">
        <w:rPr>
          <w:bCs/>
          <w:sz w:val="26"/>
          <w:szCs w:val="26"/>
          <w:lang w:val="en-AU" w:eastAsia="en-US" w:bidi="ar-SA"/>
        </w:rPr>
        <w:lastRenderedPageBreak/>
        <w:t>Regional results</w:t>
      </w:r>
      <w:bookmarkEnd w:id="548"/>
      <w:bookmarkEnd w:id="549"/>
      <w:bookmarkEnd w:id="550"/>
    </w:p>
    <w:p w14:paraId="5B1EC575" w14:textId="77777777" w:rsidR="009A7845" w:rsidRPr="009A7845" w:rsidRDefault="009A7845" w:rsidP="009A7845">
      <w:pPr>
        <w:rPr>
          <w:lang w:val="en-AU" w:bidi="ar-SA"/>
        </w:rPr>
      </w:pPr>
    </w:p>
    <w:p w14:paraId="15720FE0" w14:textId="29AB6672" w:rsidR="0059608E" w:rsidRDefault="0059608E" w:rsidP="00220439">
      <w:pPr>
        <w:pStyle w:val="Heading30"/>
        <w:numPr>
          <w:ilvl w:val="2"/>
          <w:numId w:val="1"/>
        </w:numPr>
      </w:pPr>
      <w:bookmarkStart w:id="552" w:name="_Toc461457773"/>
      <w:bookmarkStart w:id="553" w:name="_Toc502500019"/>
      <w:r>
        <w:t>Wet Tropics</w:t>
      </w:r>
      <w:bookmarkEnd w:id="552"/>
      <w:bookmarkEnd w:id="553"/>
      <w:r w:rsidR="00305667">
        <w:t xml:space="preserve"> Region</w:t>
      </w:r>
    </w:p>
    <w:p w14:paraId="72052D74" w14:textId="3D49E62F" w:rsidR="005B7BFB" w:rsidRDefault="003A6575" w:rsidP="00CE1BA0">
      <w:pPr>
        <w:spacing w:line="276" w:lineRule="auto"/>
        <w:jc w:val="left"/>
        <w:rPr>
          <w:lang w:val="en-AU" w:eastAsia="en-AU"/>
        </w:rPr>
      </w:pPr>
      <w:r>
        <w:rPr>
          <w:lang w:val="en-AU" w:eastAsia="en-AU"/>
        </w:rPr>
        <w:t>The current monitoring year was a dry year for the Wet Tropics, with a maximum weekly rainfall of 260 mm across all wet season weeks and all catchments (</w:t>
      </w:r>
      <w:r w:rsidR="004E4D54">
        <w:rPr>
          <w:lang w:val="en-AU" w:eastAsia="en-AU"/>
        </w:rPr>
        <w:t xml:space="preserve">highest rainfall occurred in the </w:t>
      </w:r>
      <w:r>
        <w:rPr>
          <w:lang w:val="en-AU" w:eastAsia="en-AU"/>
        </w:rPr>
        <w:t xml:space="preserve">Mossman River catchment in late December; </w:t>
      </w:r>
      <w:r w:rsidR="002A77E1">
        <w:fldChar w:fldCharType="begin"/>
      </w:r>
      <w:r w:rsidR="002A77E1">
        <w:instrText xml:space="preserve"> REF _Ref480727419 \h  \* MERGEFORMAT </w:instrText>
      </w:r>
      <w:r w:rsidR="002A77E1">
        <w:fldChar w:fldCharType="separate"/>
      </w:r>
      <w:r w:rsidR="00D12276" w:rsidRPr="00210B7C">
        <w:t xml:space="preserve">Table </w:t>
      </w:r>
      <w:r w:rsidR="00D12276" w:rsidRPr="00D12276">
        <w:t>4</w:t>
      </w:r>
      <w:r w:rsidR="002A77E1">
        <w:fldChar w:fldCharType="end"/>
      </w:r>
      <w:r w:rsidRPr="003A6575">
        <w:rPr>
          <w:lang w:val="en-AU" w:eastAsia="en-AU"/>
        </w:rPr>
        <w:t>).</w:t>
      </w:r>
      <w:r>
        <w:rPr>
          <w:lang w:val="en-AU" w:eastAsia="en-AU"/>
        </w:rPr>
        <w:t xml:space="preserve"> River discharge</w:t>
      </w:r>
      <w:r w:rsidR="004E4D54">
        <w:rPr>
          <w:lang w:val="en-AU" w:eastAsia="en-AU"/>
        </w:rPr>
        <w:t xml:space="preserve"> across the region was</w:t>
      </w:r>
      <w:r>
        <w:rPr>
          <w:lang w:val="en-AU" w:eastAsia="en-AU"/>
        </w:rPr>
        <w:t xml:space="preserve"> </w:t>
      </w:r>
      <w:r w:rsidR="004E4D54">
        <w:rPr>
          <w:lang w:val="en-AU" w:eastAsia="en-AU"/>
        </w:rPr>
        <w:t>generally</w:t>
      </w:r>
      <w:r>
        <w:rPr>
          <w:lang w:val="en-AU" w:eastAsia="en-AU"/>
        </w:rPr>
        <w:t xml:space="preserve"> lower than the long-term average (</w:t>
      </w:r>
      <w:r w:rsidR="005B7BFB">
        <w:rPr>
          <w:lang w:val="en-AU" w:eastAsia="en-AU"/>
        </w:rPr>
        <w:t xml:space="preserve">range 50-100%; </w:t>
      </w:r>
      <w:r w:rsidR="002A77E1">
        <w:fldChar w:fldCharType="begin"/>
      </w:r>
      <w:r w:rsidR="002A77E1">
        <w:instrText xml:space="preserve"> REF _Ref480727555 \h  \* MERGEFORMAT </w:instrText>
      </w:r>
      <w:r w:rsidR="002A77E1">
        <w:fldChar w:fldCharType="separate"/>
      </w:r>
      <w:r w:rsidR="00D12276" w:rsidRPr="00210B7C">
        <w:t xml:space="preserve">Table </w:t>
      </w:r>
      <w:r w:rsidR="00D12276" w:rsidRPr="00D12276">
        <w:t>5</w:t>
      </w:r>
      <w:r w:rsidR="002A77E1">
        <w:fldChar w:fldCharType="end"/>
      </w:r>
      <w:r w:rsidRPr="007A647B">
        <w:rPr>
          <w:lang w:val="en-AU" w:eastAsia="en-AU"/>
        </w:rPr>
        <w:t>)</w:t>
      </w:r>
      <w:r w:rsidR="00D84073">
        <w:rPr>
          <w:lang w:val="en-AU" w:eastAsia="en-AU"/>
        </w:rPr>
        <w:t>,</w:t>
      </w:r>
      <w:r>
        <w:rPr>
          <w:lang w:val="en-AU" w:eastAsia="en-AU"/>
        </w:rPr>
        <w:t xml:space="preserve"> </w:t>
      </w:r>
      <w:r w:rsidR="007A647B">
        <w:rPr>
          <w:lang w:val="en-AU" w:eastAsia="en-AU"/>
        </w:rPr>
        <w:t>which was</w:t>
      </w:r>
      <w:r>
        <w:rPr>
          <w:lang w:val="en-AU" w:eastAsia="en-AU"/>
        </w:rPr>
        <w:t xml:space="preserve"> consistent with the previous monitoring year. The </w:t>
      </w:r>
      <w:r w:rsidR="007A647B">
        <w:rPr>
          <w:lang w:val="en-AU" w:eastAsia="en-AU"/>
        </w:rPr>
        <w:t>overall climatic conditions in this region</w:t>
      </w:r>
      <w:r>
        <w:rPr>
          <w:lang w:val="en-AU" w:eastAsia="en-AU"/>
        </w:rPr>
        <w:t xml:space="preserve"> </w:t>
      </w:r>
      <w:r w:rsidR="004E4D54">
        <w:rPr>
          <w:lang w:val="en-AU" w:eastAsia="en-AU"/>
        </w:rPr>
        <w:t>contributed to</w:t>
      </w:r>
      <w:r>
        <w:rPr>
          <w:lang w:val="en-AU" w:eastAsia="en-AU"/>
        </w:rPr>
        <w:t xml:space="preserve"> reduced flood plume frequencies </w:t>
      </w:r>
      <w:r w:rsidR="005B7BFB">
        <w:rPr>
          <w:lang w:val="en-AU" w:eastAsia="en-AU"/>
        </w:rPr>
        <w:t>at all fixed monitoring sites</w:t>
      </w:r>
      <w:r w:rsidR="005B7BFB" w:rsidRPr="003A6575">
        <w:rPr>
          <w:lang w:val="en-AU" w:eastAsia="en-AU"/>
        </w:rPr>
        <w:t xml:space="preserve"> </w:t>
      </w:r>
      <w:r w:rsidRPr="003A6575">
        <w:rPr>
          <w:lang w:val="en-AU" w:eastAsia="en-AU"/>
        </w:rPr>
        <w:t xml:space="preserve">(i.e. the proportion of </w:t>
      </w:r>
      <w:r>
        <w:rPr>
          <w:lang w:val="en-AU" w:eastAsia="en-AU"/>
        </w:rPr>
        <w:t xml:space="preserve">wet season </w:t>
      </w:r>
      <w:r w:rsidRPr="003A6575">
        <w:rPr>
          <w:lang w:val="en-AU" w:eastAsia="en-AU"/>
        </w:rPr>
        <w:t xml:space="preserve">weeks </w:t>
      </w:r>
      <w:r>
        <w:rPr>
          <w:lang w:val="en-AU" w:eastAsia="en-AU"/>
        </w:rPr>
        <w:t xml:space="preserve">that </w:t>
      </w:r>
      <w:r w:rsidRPr="003A6575">
        <w:rPr>
          <w:lang w:val="en-AU" w:eastAsia="en-AU"/>
        </w:rPr>
        <w:t>a site was exposed to primary or secondary plume waters as determined by ocean colour class</w:t>
      </w:r>
      <w:r w:rsidRPr="005512F8">
        <w:rPr>
          <w:lang w:val="en-AU" w:eastAsia="en-AU"/>
        </w:rPr>
        <w:t xml:space="preserve">, see </w:t>
      </w:r>
      <w:r w:rsidR="005512F8" w:rsidRPr="005512F8">
        <w:rPr>
          <w:rStyle w:val="IntenseReference"/>
          <w:rFonts w:eastAsiaTheme="majorEastAsia"/>
          <w:b w:val="0"/>
          <w:color w:val="auto"/>
          <w:u w:val="none"/>
        </w:rPr>
        <w:t>Appendix E</w:t>
      </w:r>
      <w:r w:rsidR="005512F8" w:rsidRPr="005512F8">
        <w:rPr>
          <w:lang w:val="en-AU" w:eastAsia="en-AU"/>
        </w:rPr>
        <w:t xml:space="preserve"> Table E2 </w:t>
      </w:r>
      <w:r w:rsidRPr="005512F8">
        <w:rPr>
          <w:lang w:val="en-AU" w:eastAsia="en-AU"/>
        </w:rPr>
        <w:t>and</w:t>
      </w:r>
      <w:r>
        <w:rPr>
          <w:lang w:val="en-AU" w:eastAsia="en-AU"/>
        </w:rPr>
        <w:t xml:space="preserve"> explanatory text</w:t>
      </w:r>
      <w:r w:rsidR="00F743B8">
        <w:rPr>
          <w:lang w:val="en-AU" w:eastAsia="en-AU"/>
        </w:rPr>
        <w:t>;</w:t>
      </w:r>
      <w:r w:rsidR="007A647B">
        <w:rPr>
          <w:lang w:val="en-AU" w:eastAsia="en-AU"/>
        </w:rPr>
        <w:t xml:space="preserve"> frequencies rang</w:t>
      </w:r>
      <w:r w:rsidR="005B7BFB">
        <w:rPr>
          <w:lang w:val="en-AU" w:eastAsia="en-AU"/>
        </w:rPr>
        <w:t xml:space="preserve">ed </w:t>
      </w:r>
      <w:r>
        <w:rPr>
          <w:lang w:val="en-AU" w:eastAsia="en-AU"/>
        </w:rPr>
        <w:t xml:space="preserve">from 0.09 to </w:t>
      </w:r>
      <w:r w:rsidR="00831FD3">
        <w:rPr>
          <w:lang w:val="en-AU" w:eastAsia="en-AU"/>
        </w:rPr>
        <w:t>1</w:t>
      </w:r>
      <w:r w:rsidR="005B7BFB">
        <w:rPr>
          <w:lang w:val="en-AU" w:eastAsia="en-AU"/>
        </w:rPr>
        <w:t>)</w:t>
      </w:r>
      <w:r w:rsidR="007A647B">
        <w:rPr>
          <w:lang w:val="en-AU" w:eastAsia="en-AU"/>
        </w:rPr>
        <w:t xml:space="preserve">. </w:t>
      </w:r>
      <w:r w:rsidR="005B0C06">
        <w:rPr>
          <w:lang w:val="en-AU" w:eastAsia="en-AU"/>
        </w:rPr>
        <w:t>Wet Tropics flood plume frequencies were</w:t>
      </w:r>
      <w:r>
        <w:rPr>
          <w:lang w:val="en-AU" w:eastAsia="en-AU"/>
        </w:rPr>
        <w:t xml:space="preserve"> the lowest </w:t>
      </w:r>
      <w:r w:rsidR="007A647B">
        <w:rPr>
          <w:lang w:val="en-AU" w:eastAsia="en-AU"/>
        </w:rPr>
        <w:t>of</w:t>
      </w:r>
      <w:r>
        <w:rPr>
          <w:lang w:val="en-AU" w:eastAsia="en-AU"/>
        </w:rPr>
        <w:t xml:space="preserve"> all regions </w:t>
      </w:r>
      <w:r w:rsidR="007A647B">
        <w:rPr>
          <w:lang w:val="en-AU" w:eastAsia="en-AU"/>
        </w:rPr>
        <w:t>included</w:t>
      </w:r>
      <w:r>
        <w:rPr>
          <w:lang w:val="en-AU" w:eastAsia="en-AU"/>
        </w:rPr>
        <w:t xml:space="preserve"> in this program</w:t>
      </w:r>
      <w:r w:rsidR="007A647B">
        <w:rPr>
          <w:lang w:val="en-AU" w:eastAsia="en-AU"/>
        </w:rPr>
        <w:t xml:space="preserve"> and for </w:t>
      </w:r>
      <w:r w:rsidR="00831FD3">
        <w:rPr>
          <w:lang w:val="en-AU" w:eastAsia="en-AU"/>
        </w:rPr>
        <w:t>over a third of</w:t>
      </w:r>
      <w:r w:rsidR="007A647B">
        <w:rPr>
          <w:lang w:val="en-AU" w:eastAsia="en-AU"/>
        </w:rPr>
        <w:t xml:space="preserve"> the weeks </w:t>
      </w:r>
      <w:r w:rsidR="005B0C06">
        <w:rPr>
          <w:lang w:val="en-AU" w:eastAsia="en-AU"/>
        </w:rPr>
        <w:t>during</w:t>
      </w:r>
      <w:r w:rsidR="007A647B">
        <w:rPr>
          <w:lang w:val="en-AU" w:eastAsia="en-AU"/>
        </w:rPr>
        <w:t xml:space="preserve"> the wet season, the Wet Tropics sites</w:t>
      </w:r>
      <w:r w:rsidR="00831FD3">
        <w:rPr>
          <w:lang w:val="en-AU" w:eastAsia="en-AU"/>
        </w:rPr>
        <w:t xml:space="preserve"> and particularly </w:t>
      </w:r>
      <w:r w:rsidR="004936D9">
        <w:rPr>
          <w:lang w:val="en-AU" w:eastAsia="en-AU"/>
        </w:rPr>
        <w:t>sites</w:t>
      </w:r>
      <w:r w:rsidR="00831FD3">
        <w:rPr>
          <w:lang w:val="en-AU" w:eastAsia="en-AU"/>
        </w:rPr>
        <w:t xml:space="preserve"> further north</w:t>
      </w:r>
      <w:r w:rsidR="007A647B">
        <w:rPr>
          <w:lang w:val="en-AU" w:eastAsia="en-AU"/>
        </w:rPr>
        <w:t xml:space="preserve"> were impacted by only tertiary </w:t>
      </w:r>
      <w:r w:rsidR="007A647B" w:rsidRPr="00F42DDB">
        <w:rPr>
          <w:lang w:val="en-AU" w:eastAsia="en-AU"/>
        </w:rPr>
        <w:t>plume waters</w:t>
      </w:r>
      <w:r>
        <w:rPr>
          <w:lang w:val="en-AU" w:eastAsia="en-AU"/>
        </w:rPr>
        <w:t>.</w:t>
      </w:r>
    </w:p>
    <w:p w14:paraId="526064AF" w14:textId="77777777" w:rsidR="00F743B8" w:rsidRDefault="00F743B8" w:rsidP="00F743B8">
      <w:pPr>
        <w:spacing w:line="276" w:lineRule="auto"/>
        <w:rPr>
          <w:lang w:val="en-AU" w:eastAsia="en-AU"/>
        </w:rPr>
      </w:pPr>
    </w:p>
    <w:p w14:paraId="57036E01" w14:textId="77777777" w:rsidR="00F743B8" w:rsidRDefault="00F743B8" w:rsidP="00F743B8">
      <w:pPr>
        <w:spacing w:line="276" w:lineRule="auto"/>
        <w:rPr>
          <w:lang w:val="en-AU" w:eastAsia="en-AU"/>
        </w:rPr>
      </w:pPr>
      <w:r>
        <w:rPr>
          <w:lang w:val="en-AU" w:eastAsia="en-AU"/>
        </w:rPr>
        <w:t>Concentrations of PSII herbicides during the current wet season were almost identical to the low concentrations detected across all Wet Tropics sites in the previous monitoring year (</w:t>
      </w:r>
      <w:r>
        <w:fldChar w:fldCharType="begin"/>
      </w:r>
      <w:r>
        <w:instrText xml:space="preserve"> REF _Ref480739542 \h  \* MERGEFORMAT </w:instrText>
      </w:r>
      <w:r>
        <w:fldChar w:fldCharType="separate"/>
      </w:r>
      <w:r w:rsidR="00D12276" w:rsidRPr="00210B7C">
        <w:t xml:space="preserve">Table </w:t>
      </w:r>
      <w:r w:rsidR="00D12276" w:rsidRPr="00D12276">
        <w:t>8</w:t>
      </w:r>
      <w:r>
        <w:fldChar w:fldCharType="end"/>
      </w:r>
      <w:r w:rsidRPr="007A647B">
        <w:rPr>
          <w:lang w:val="en-AU" w:eastAsia="en-AU"/>
        </w:rPr>
        <w:t>;</w:t>
      </w:r>
      <w:r>
        <w:rPr>
          <w:lang w:val="en-AU" w:eastAsia="en-AU"/>
        </w:rPr>
        <w:t xml:space="preserve"> for historical data, see </w:t>
      </w:r>
      <w:r>
        <w:rPr>
          <w:lang w:val="en-AU" w:eastAsia="en-AU"/>
        </w:rPr>
        <w:fldChar w:fldCharType="begin"/>
      </w:r>
      <w:r>
        <w:rPr>
          <w:lang w:val="en-AU" w:eastAsia="en-AU"/>
        </w:rPr>
        <w:instrText xml:space="preserve"> REF _Ref480739727 \n \h </w:instrText>
      </w:r>
      <w:r>
        <w:rPr>
          <w:lang w:val="en-AU" w:eastAsia="en-AU"/>
        </w:rPr>
      </w:r>
      <w:r>
        <w:rPr>
          <w:lang w:val="en-AU" w:eastAsia="en-AU"/>
        </w:rPr>
        <w:fldChar w:fldCharType="separate"/>
      </w:r>
      <w:r w:rsidR="00D12276">
        <w:rPr>
          <w:lang w:val="en-AU" w:eastAsia="en-AU"/>
        </w:rPr>
        <w:t xml:space="preserve">Appendix I </w:t>
      </w:r>
      <w:r>
        <w:rPr>
          <w:lang w:val="en-AU" w:eastAsia="en-AU"/>
        </w:rPr>
        <w:fldChar w:fldCharType="end"/>
      </w:r>
      <w:r>
        <w:rPr>
          <w:lang w:val="en-AU" w:eastAsia="en-AU"/>
        </w:rPr>
        <w:fldChar w:fldCharType="begin"/>
      </w:r>
      <w:r>
        <w:rPr>
          <w:lang w:val="en-AU" w:eastAsia="en-AU"/>
        </w:rPr>
        <w:instrText xml:space="preserve"> REF _Ref480739744 \h </w:instrText>
      </w:r>
      <w:r>
        <w:rPr>
          <w:lang w:val="en-AU" w:eastAsia="en-AU"/>
        </w:rPr>
      </w:r>
      <w:r>
        <w:rPr>
          <w:lang w:val="en-AU" w:eastAsia="en-AU"/>
        </w:rPr>
        <w:fldChar w:fldCharType="separate"/>
      </w:r>
      <w:r w:rsidR="00D12276">
        <w:t xml:space="preserve">Figure </w:t>
      </w:r>
      <w:r w:rsidR="00D12276">
        <w:rPr>
          <w:noProof/>
        </w:rPr>
        <w:t>I</w:t>
      </w:r>
      <w:r w:rsidR="00D12276">
        <w:noBreakHyphen/>
      </w:r>
      <w:r w:rsidR="00D12276">
        <w:rPr>
          <w:noProof/>
        </w:rPr>
        <w:t>1</w:t>
      </w:r>
      <w:r>
        <w:rPr>
          <w:lang w:val="en-AU" w:eastAsia="en-AU"/>
        </w:rPr>
        <w:fldChar w:fldCharType="end"/>
      </w:r>
      <w:r>
        <w:rPr>
          <w:lang w:val="en-AU" w:eastAsia="en-AU"/>
        </w:rPr>
        <w:t xml:space="preserve"> to </w:t>
      </w:r>
      <w:r>
        <w:rPr>
          <w:lang w:val="en-AU" w:eastAsia="en-AU"/>
        </w:rPr>
        <w:fldChar w:fldCharType="begin"/>
      </w:r>
      <w:r>
        <w:rPr>
          <w:lang w:val="en-AU" w:eastAsia="en-AU"/>
        </w:rPr>
        <w:instrText xml:space="preserve"> REF _Ref480739746 \h </w:instrText>
      </w:r>
      <w:r>
        <w:rPr>
          <w:lang w:val="en-AU" w:eastAsia="en-AU"/>
        </w:rPr>
      </w:r>
      <w:r>
        <w:rPr>
          <w:lang w:val="en-AU" w:eastAsia="en-AU"/>
        </w:rPr>
        <w:fldChar w:fldCharType="separate"/>
      </w:r>
      <w:r w:rsidR="00D12276">
        <w:t xml:space="preserve">Figure </w:t>
      </w:r>
      <w:r w:rsidR="00D12276">
        <w:rPr>
          <w:noProof/>
        </w:rPr>
        <w:t>I</w:t>
      </w:r>
      <w:r w:rsidR="00D12276">
        <w:noBreakHyphen/>
      </w:r>
      <w:r w:rsidR="00D12276">
        <w:rPr>
          <w:noProof/>
        </w:rPr>
        <w:t>5</w:t>
      </w:r>
      <w:r>
        <w:rPr>
          <w:lang w:val="en-AU" w:eastAsia="en-AU"/>
        </w:rPr>
        <w:fldChar w:fldCharType="end"/>
      </w:r>
      <w:r>
        <w:rPr>
          <w:lang w:val="en-AU" w:eastAsia="en-AU"/>
        </w:rPr>
        <w:t xml:space="preserve">), and pesticide levels were low overall compared to longer term data (for historical data, see </w:t>
      </w:r>
      <w:r>
        <w:rPr>
          <w:lang w:val="en-AU" w:eastAsia="en-AU"/>
        </w:rPr>
        <w:fldChar w:fldCharType="begin"/>
      </w:r>
      <w:r>
        <w:rPr>
          <w:lang w:val="en-AU" w:eastAsia="en-AU"/>
        </w:rPr>
        <w:instrText xml:space="preserve"> REF _Ref480740036 \n \h </w:instrText>
      </w:r>
      <w:r>
        <w:rPr>
          <w:lang w:val="en-AU" w:eastAsia="en-AU"/>
        </w:rPr>
      </w:r>
      <w:r>
        <w:rPr>
          <w:lang w:val="en-AU" w:eastAsia="en-AU"/>
        </w:rPr>
        <w:fldChar w:fldCharType="separate"/>
      </w:r>
      <w:r w:rsidR="00D12276">
        <w:rPr>
          <w:lang w:val="en-AU" w:eastAsia="en-AU"/>
        </w:rPr>
        <w:t xml:space="preserve">Appendix H </w:t>
      </w:r>
      <w:r>
        <w:rPr>
          <w:lang w:val="en-AU" w:eastAsia="en-AU"/>
        </w:rPr>
        <w:fldChar w:fldCharType="end"/>
      </w:r>
      <w:r>
        <w:rPr>
          <w:lang w:val="en-AU" w:eastAsia="en-AU"/>
        </w:rPr>
        <w:fldChar w:fldCharType="begin"/>
      </w:r>
      <w:r>
        <w:rPr>
          <w:lang w:val="en-AU" w:eastAsia="en-AU"/>
        </w:rPr>
        <w:instrText xml:space="preserve"> REF _Ref480740015 \h </w:instrText>
      </w:r>
      <w:r>
        <w:rPr>
          <w:lang w:val="en-AU" w:eastAsia="en-AU"/>
        </w:rPr>
      </w:r>
      <w:r>
        <w:rPr>
          <w:lang w:val="en-AU" w:eastAsia="en-AU"/>
        </w:rPr>
        <w:fldChar w:fldCharType="separate"/>
      </w:r>
      <w:r w:rsidR="00D12276">
        <w:t xml:space="preserve">Figure </w:t>
      </w:r>
      <w:r w:rsidR="00D12276">
        <w:rPr>
          <w:noProof/>
        </w:rPr>
        <w:t>H</w:t>
      </w:r>
      <w:r w:rsidR="00D12276">
        <w:noBreakHyphen/>
      </w:r>
      <w:r w:rsidR="00D12276">
        <w:rPr>
          <w:noProof/>
        </w:rPr>
        <w:t>1</w:t>
      </w:r>
      <w:r>
        <w:rPr>
          <w:lang w:val="en-AU" w:eastAsia="en-AU"/>
        </w:rPr>
        <w:fldChar w:fldCharType="end"/>
      </w:r>
      <w:r>
        <w:rPr>
          <w:lang w:val="en-AU" w:eastAsia="en-AU"/>
        </w:rPr>
        <w:t xml:space="preserve"> to </w:t>
      </w:r>
      <w:r>
        <w:rPr>
          <w:lang w:val="en-AU" w:eastAsia="en-AU"/>
        </w:rPr>
        <w:fldChar w:fldCharType="begin"/>
      </w:r>
      <w:r>
        <w:rPr>
          <w:lang w:val="en-AU" w:eastAsia="en-AU"/>
        </w:rPr>
        <w:instrText xml:space="preserve"> REF _Ref480740022 \h </w:instrText>
      </w:r>
      <w:r>
        <w:rPr>
          <w:lang w:val="en-AU" w:eastAsia="en-AU"/>
        </w:rPr>
      </w:r>
      <w:r>
        <w:rPr>
          <w:lang w:val="en-AU" w:eastAsia="en-AU"/>
        </w:rPr>
        <w:fldChar w:fldCharType="separate"/>
      </w:r>
      <w:r w:rsidR="00D12276">
        <w:t xml:space="preserve">Figure </w:t>
      </w:r>
      <w:r w:rsidR="00D12276">
        <w:rPr>
          <w:noProof/>
        </w:rPr>
        <w:t>H</w:t>
      </w:r>
      <w:r w:rsidR="00D12276">
        <w:noBreakHyphen/>
      </w:r>
      <w:r w:rsidR="00D12276">
        <w:rPr>
          <w:noProof/>
        </w:rPr>
        <w:t>5</w:t>
      </w:r>
      <w:r>
        <w:rPr>
          <w:lang w:val="en-AU" w:eastAsia="en-AU"/>
        </w:rPr>
        <w:fldChar w:fldCharType="end"/>
      </w:r>
      <w:r>
        <w:rPr>
          <w:lang w:val="en-AU" w:eastAsia="en-AU"/>
        </w:rPr>
        <w:t xml:space="preserve">). In 2015-16, the Wet Tropics rivers generally flowed year-round </w:t>
      </w:r>
      <w:r w:rsidRPr="005B7BFB">
        <w:rPr>
          <w:lang w:val="en-AU" w:eastAsia="en-AU"/>
        </w:rPr>
        <w:t>with flow events occurring regularly throughout the year (</w:t>
      </w:r>
      <w:r w:rsidRPr="008C4CA4">
        <w:rPr>
          <w:lang w:val="en-AU" w:eastAsia="en-AU"/>
        </w:rPr>
        <w:fldChar w:fldCharType="begin"/>
      </w:r>
      <w:r w:rsidRPr="008C4CA4">
        <w:rPr>
          <w:lang w:val="en-AU" w:eastAsia="en-AU"/>
        </w:rPr>
        <w:instrText xml:space="preserve"> REF _Ref501944848 \h  \* MERGEFORMAT </w:instrText>
      </w:r>
      <w:r w:rsidRPr="008C4CA4">
        <w:rPr>
          <w:lang w:val="en-AU" w:eastAsia="en-AU"/>
        </w:rPr>
      </w:r>
      <w:r w:rsidRPr="008C4CA4">
        <w:rPr>
          <w:lang w:val="en-AU" w:eastAsia="en-AU"/>
        </w:rPr>
        <w:fldChar w:fldCharType="separate"/>
      </w:r>
      <w:r w:rsidR="00D12276" w:rsidRPr="00747824">
        <w:t xml:space="preserve">Figure </w:t>
      </w:r>
      <w:r w:rsidR="00D12276" w:rsidRPr="00D12276">
        <w:rPr>
          <w:noProof/>
        </w:rPr>
        <w:t>11</w:t>
      </w:r>
      <w:r w:rsidRPr="008C4CA4">
        <w:rPr>
          <w:lang w:val="en-AU" w:eastAsia="en-AU"/>
        </w:rPr>
        <w:fldChar w:fldCharType="end"/>
      </w:r>
      <w:r>
        <w:rPr>
          <w:lang w:val="en-AU" w:eastAsia="en-AU"/>
        </w:rPr>
        <w:t xml:space="preserve"> A-C and E</w:t>
      </w:r>
      <w:r w:rsidRPr="005B7BFB">
        <w:rPr>
          <w:lang w:val="en-AU" w:eastAsia="en-AU"/>
        </w:rPr>
        <w:t>)</w:t>
      </w:r>
      <w:r>
        <w:rPr>
          <w:lang w:val="en-AU" w:eastAsia="en-AU"/>
        </w:rPr>
        <w:t>. The exception was</w:t>
      </w:r>
      <w:r w:rsidRPr="005B7BFB">
        <w:rPr>
          <w:lang w:val="en-AU" w:eastAsia="en-AU"/>
        </w:rPr>
        <w:t xml:space="preserve"> </w:t>
      </w:r>
      <w:r>
        <w:rPr>
          <w:lang w:val="en-AU" w:eastAsia="en-AU"/>
        </w:rPr>
        <w:t>the Herbert River (adjacent to Lucinda monitoring site) in the south of the region, which had only one main flow event in March 2016 (</w:t>
      </w:r>
      <w:r w:rsidRPr="008C4CA4">
        <w:rPr>
          <w:lang w:val="en-AU" w:eastAsia="en-AU"/>
        </w:rPr>
        <w:fldChar w:fldCharType="begin"/>
      </w:r>
      <w:r w:rsidRPr="008C4CA4">
        <w:rPr>
          <w:lang w:val="en-AU" w:eastAsia="en-AU"/>
        </w:rPr>
        <w:instrText xml:space="preserve"> REF _Ref501944848 \h  \* MERGEFORMAT </w:instrText>
      </w:r>
      <w:r w:rsidRPr="008C4CA4">
        <w:rPr>
          <w:lang w:val="en-AU" w:eastAsia="en-AU"/>
        </w:rPr>
      </w:r>
      <w:r w:rsidRPr="008C4CA4">
        <w:rPr>
          <w:lang w:val="en-AU" w:eastAsia="en-AU"/>
        </w:rPr>
        <w:fldChar w:fldCharType="separate"/>
      </w:r>
      <w:r w:rsidR="00D12276" w:rsidRPr="00747824">
        <w:t xml:space="preserve">Figure </w:t>
      </w:r>
      <w:r w:rsidR="00D12276" w:rsidRPr="00D12276">
        <w:rPr>
          <w:noProof/>
        </w:rPr>
        <w:t>11</w:t>
      </w:r>
      <w:r w:rsidRPr="008C4CA4">
        <w:rPr>
          <w:lang w:val="en-AU" w:eastAsia="en-AU"/>
        </w:rPr>
        <w:fldChar w:fldCharType="end"/>
      </w:r>
      <w:r>
        <w:rPr>
          <w:lang w:val="en-AU" w:eastAsia="en-AU"/>
        </w:rPr>
        <w:t xml:space="preserve"> G). </w:t>
      </w:r>
      <w:r w:rsidRPr="005B7BFB">
        <w:rPr>
          <w:lang w:val="en-AU" w:eastAsia="en-AU"/>
        </w:rPr>
        <w:t xml:space="preserve">At </w:t>
      </w:r>
      <w:r>
        <w:rPr>
          <w:lang w:val="en-AU" w:eastAsia="en-AU"/>
        </w:rPr>
        <w:t xml:space="preserve">all </w:t>
      </w:r>
      <w:r w:rsidRPr="005B7BFB">
        <w:rPr>
          <w:lang w:val="en-AU" w:eastAsia="en-AU"/>
        </w:rPr>
        <w:t xml:space="preserve">the </w:t>
      </w:r>
      <w:r>
        <w:rPr>
          <w:lang w:val="en-AU" w:eastAsia="en-AU"/>
        </w:rPr>
        <w:t xml:space="preserve">Wet Tropics </w:t>
      </w:r>
      <w:r w:rsidRPr="005B7BFB">
        <w:rPr>
          <w:lang w:val="en-AU" w:eastAsia="en-AU"/>
        </w:rPr>
        <w:t xml:space="preserve">monitoring sites, </w:t>
      </w:r>
      <w:r>
        <w:rPr>
          <w:lang w:val="en-AU" w:eastAsia="en-AU"/>
        </w:rPr>
        <w:t>m</w:t>
      </w:r>
      <w:r w:rsidRPr="005B7BFB">
        <w:rPr>
          <w:lang w:val="en-AU" w:eastAsia="en-AU"/>
        </w:rPr>
        <w:t xml:space="preserve">aximum </w:t>
      </w:r>
      <w:r>
        <w:rPr>
          <w:lang w:val="en-AU" w:eastAsia="en-AU"/>
        </w:rPr>
        <w:t xml:space="preserve">PSII HEq </w:t>
      </w:r>
      <w:r w:rsidRPr="005B7BFB">
        <w:rPr>
          <w:lang w:val="en-AU" w:eastAsia="en-AU"/>
        </w:rPr>
        <w:t xml:space="preserve">concentrations were </w:t>
      </w:r>
      <w:r>
        <w:rPr>
          <w:lang w:val="en-AU" w:eastAsia="en-AU"/>
        </w:rPr>
        <w:t>associated with the</w:t>
      </w:r>
      <w:r w:rsidRPr="005B7BFB">
        <w:rPr>
          <w:lang w:val="en-AU" w:eastAsia="en-AU"/>
        </w:rPr>
        <w:t xml:space="preserve"> March 2016 flow event </w:t>
      </w:r>
      <w:r>
        <w:rPr>
          <w:lang w:val="en-AU" w:eastAsia="en-AU"/>
        </w:rPr>
        <w:t>(</w:t>
      </w:r>
      <w:r w:rsidRPr="008C4CA4">
        <w:rPr>
          <w:lang w:val="en-AU" w:eastAsia="en-AU"/>
        </w:rPr>
        <w:fldChar w:fldCharType="begin"/>
      </w:r>
      <w:r w:rsidRPr="008C4CA4">
        <w:rPr>
          <w:lang w:val="en-AU" w:eastAsia="en-AU"/>
        </w:rPr>
        <w:instrText xml:space="preserve"> REF _Ref501944848 \h  \* MERGEFORMAT </w:instrText>
      </w:r>
      <w:r w:rsidRPr="008C4CA4">
        <w:rPr>
          <w:lang w:val="en-AU" w:eastAsia="en-AU"/>
        </w:rPr>
      </w:r>
      <w:r w:rsidRPr="008C4CA4">
        <w:rPr>
          <w:lang w:val="en-AU" w:eastAsia="en-AU"/>
        </w:rPr>
        <w:fldChar w:fldCharType="separate"/>
      </w:r>
      <w:r w:rsidR="00D12276" w:rsidRPr="00747824">
        <w:t xml:space="preserve">Figure </w:t>
      </w:r>
      <w:r w:rsidR="00D12276" w:rsidRPr="00D12276">
        <w:rPr>
          <w:noProof/>
        </w:rPr>
        <w:t>11</w:t>
      </w:r>
      <w:r w:rsidRPr="008C4CA4">
        <w:rPr>
          <w:lang w:val="en-AU" w:eastAsia="en-AU"/>
        </w:rPr>
        <w:fldChar w:fldCharType="end"/>
      </w:r>
      <w:r>
        <w:rPr>
          <w:lang w:val="en-AU" w:eastAsia="en-AU"/>
        </w:rPr>
        <w:t xml:space="preserve"> A-D, E, G</w:t>
      </w:r>
      <w:r w:rsidRPr="005B7BFB">
        <w:rPr>
          <w:lang w:val="en-AU" w:eastAsia="en-AU"/>
        </w:rPr>
        <w:t>)</w:t>
      </w:r>
      <w:r>
        <w:rPr>
          <w:lang w:val="en-AU" w:eastAsia="en-AU"/>
        </w:rPr>
        <w:t>. The relatively lower concentrations observed earlier in the wet season during the first major river discharge of the season (e.g. at Low Isles associated with the December 2015 high flow event), may be a result of dilution by the high water volumes or timing of pesticide applications.</w:t>
      </w:r>
    </w:p>
    <w:p w14:paraId="5790ADC2" w14:textId="77777777" w:rsidR="005B7BFB" w:rsidRDefault="005B7BFB" w:rsidP="00015606">
      <w:pPr>
        <w:spacing w:line="276" w:lineRule="auto"/>
        <w:rPr>
          <w:lang w:val="en-AU" w:eastAsia="en-AU"/>
        </w:rPr>
      </w:pPr>
    </w:p>
    <w:p w14:paraId="15720FE5" w14:textId="1E4A5FA0" w:rsidR="00851A0A" w:rsidRPr="00747824" w:rsidRDefault="00851A0A" w:rsidP="00851A0A">
      <w:pPr>
        <w:pStyle w:val="Caption"/>
        <w:keepNext/>
        <w:spacing w:after="120" w:line="276" w:lineRule="auto"/>
        <w:rPr>
          <w:b w:val="0"/>
        </w:rPr>
      </w:pPr>
      <w:bookmarkStart w:id="554" w:name="_Ref480739542"/>
      <w:bookmarkStart w:id="555" w:name="_Toc502499866"/>
      <w:r w:rsidRPr="00210B7C">
        <w:rPr>
          <w:b w:val="0"/>
        </w:rPr>
        <w:t xml:space="preserve">Table </w:t>
      </w:r>
      <w:r w:rsidR="00C91BF5" w:rsidRPr="00210B7C">
        <w:rPr>
          <w:b w:val="0"/>
        </w:rPr>
        <w:fldChar w:fldCharType="begin"/>
      </w:r>
      <w:r w:rsidRPr="00210B7C">
        <w:rPr>
          <w:b w:val="0"/>
        </w:rPr>
        <w:instrText xml:space="preserve"> SEQ Table \* ARABIC </w:instrText>
      </w:r>
      <w:r w:rsidR="00C91BF5" w:rsidRPr="00210B7C">
        <w:rPr>
          <w:b w:val="0"/>
        </w:rPr>
        <w:fldChar w:fldCharType="separate"/>
      </w:r>
      <w:r w:rsidR="00D12276">
        <w:rPr>
          <w:b w:val="0"/>
          <w:noProof/>
        </w:rPr>
        <w:t>8</w:t>
      </w:r>
      <w:r w:rsidR="00C91BF5" w:rsidRPr="00210B7C">
        <w:rPr>
          <w:b w:val="0"/>
        </w:rPr>
        <w:fldChar w:fldCharType="end"/>
      </w:r>
      <w:bookmarkEnd w:id="554"/>
      <w:r>
        <w:rPr>
          <w:b w:val="0"/>
        </w:rPr>
        <w:t xml:space="preserve">: </w:t>
      </w:r>
      <w:r w:rsidRPr="00747824">
        <w:rPr>
          <w:b w:val="0"/>
        </w:rPr>
        <w:tab/>
        <w:t xml:space="preserve">Summary statistics for the </w:t>
      </w:r>
      <w:r>
        <w:rPr>
          <w:b w:val="0"/>
        </w:rPr>
        <w:t xml:space="preserve">maximum </w:t>
      </w:r>
      <w:r w:rsidRPr="00747824">
        <w:rPr>
          <w:b w:val="0"/>
        </w:rPr>
        <w:t xml:space="preserve">and Wet </w:t>
      </w:r>
      <w:r>
        <w:rPr>
          <w:b w:val="0"/>
        </w:rPr>
        <w:t>and Dry Season a</w:t>
      </w:r>
      <w:r w:rsidRPr="00747824">
        <w:rPr>
          <w:b w:val="0"/>
        </w:rPr>
        <w:t>v</w:t>
      </w:r>
      <w:r>
        <w:rPr>
          <w:b w:val="0"/>
        </w:rPr>
        <w:t>erage</w:t>
      </w:r>
      <w:r w:rsidRPr="00747824">
        <w:rPr>
          <w:b w:val="0"/>
        </w:rPr>
        <w:t xml:space="preserve"> PSII-</w:t>
      </w:r>
      <w:r>
        <w:rPr>
          <w:b w:val="0"/>
        </w:rPr>
        <w:t>HEq</w:t>
      </w:r>
      <w:r w:rsidRPr="00747824">
        <w:rPr>
          <w:b w:val="0"/>
        </w:rPr>
        <w:t xml:space="preserve"> </w:t>
      </w:r>
      <w:r>
        <w:rPr>
          <w:b w:val="0"/>
        </w:rPr>
        <w:t xml:space="preserve">concentrations </w:t>
      </w:r>
      <w:r w:rsidRPr="00747824">
        <w:rPr>
          <w:b w:val="0"/>
        </w:rPr>
        <w:t>(ng L</w:t>
      </w:r>
      <w:r w:rsidRPr="00224A32">
        <w:rPr>
          <w:b w:val="0"/>
          <w:vertAlign w:val="superscript"/>
        </w:rPr>
        <w:t>-1</w:t>
      </w:r>
      <w:r w:rsidRPr="00747824">
        <w:rPr>
          <w:b w:val="0"/>
        </w:rPr>
        <w:t>) since monitoring commenced in the Wet Tropics</w:t>
      </w:r>
      <w:r>
        <w:rPr>
          <w:b w:val="0"/>
        </w:rPr>
        <w:t>.</w:t>
      </w:r>
      <w:r w:rsidRPr="00DB6662">
        <w:t xml:space="preserve"> </w:t>
      </w:r>
      <w:r w:rsidRPr="00DB6662">
        <w:rPr>
          <w:b w:val="0"/>
        </w:rPr>
        <w:t>Block colours indicate the maximum PSII-HEq Index category for that year</w:t>
      </w:r>
      <w:bookmarkEnd w:id="555"/>
    </w:p>
    <w:p w14:paraId="15720FE6" w14:textId="77777777" w:rsidR="00851A0A" w:rsidRDefault="00851A0A" w:rsidP="00851A0A">
      <w:pPr>
        <w:spacing w:line="276" w:lineRule="auto"/>
        <w:jc w:val="center"/>
        <w:rPr>
          <w:sz w:val="18"/>
          <w:szCs w:val="18"/>
          <w:vertAlign w:val="superscript"/>
          <w:lang w:val="en-AU" w:eastAsia="en-AU"/>
        </w:rPr>
      </w:pPr>
      <w:r w:rsidRPr="00224A32">
        <w:rPr>
          <w:noProof/>
          <w:lang w:val="en-AU" w:eastAsia="en-AU" w:bidi="ar-SA"/>
        </w:rPr>
        <w:drawing>
          <wp:inline distT="0" distB="0" distL="0" distR="0" wp14:anchorId="15721A74" wp14:editId="721E31DA">
            <wp:extent cx="6646545" cy="3193535"/>
            <wp:effectExtent l="0" t="0" r="1905" b="6985"/>
            <wp:docPr id="38" name="Picture 38" descr="Table 8: Summary statistics for the maximum and Wet and Dry Season average PSII-HEq concentrations since monitoring commenced in the Wet Tropics. All values have been cateogry 4 or 5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646545" cy="3193535"/>
                    </a:xfrm>
                    <a:prstGeom prst="rect">
                      <a:avLst/>
                    </a:prstGeom>
                    <a:noFill/>
                    <a:ln>
                      <a:noFill/>
                    </a:ln>
                  </pic:spPr>
                </pic:pic>
              </a:graphicData>
            </a:graphic>
          </wp:inline>
        </w:drawing>
      </w:r>
    </w:p>
    <w:p w14:paraId="4B785B54" w14:textId="77777777" w:rsidR="00D84073" w:rsidRDefault="00D84073" w:rsidP="00D84073">
      <w:pPr>
        <w:spacing w:line="276" w:lineRule="auto"/>
        <w:rPr>
          <w:lang w:val="en-AU" w:eastAsia="en-AU"/>
        </w:rPr>
      </w:pPr>
    </w:p>
    <w:p w14:paraId="63548CD7" w14:textId="12DBC4D3" w:rsidR="00D84073" w:rsidRDefault="00D84073" w:rsidP="005512F8">
      <w:pPr>
        <w:rPr>
          <w:lang w:val="en-AU" w:eastAsia="en-AU"/>
        </w:rPr>
      </w:pPr>
      <w:r>
        <w:rPr>
          <w:lang w:val="en-AU" w:eastAsia="en-AU"/>
        </w:rPr>
        <w:t xml:space="preserve">PSII herbicides (and </w:t>
      </w:r>
      <w:r w:rsidR="008F099D">
        <w:rPr>
          <w:lang w:val="en-AU" w:eastAsia="en-AU"/>
        </w:rPr>
        <w:t>metabolites</w:t>
      </w:r>
      <w:r>
        <w:rPr>
          <w:lang w:val="en-AU" w:eastAsia="en-AU"/>
        </w:rPr>
        <w:t>) detected using EDs in the Wet Tropics region in 2015-16 were almost exclusively atrazine, diuron and hexazinone and all three were detected in all wet season samplers returned from the Wet Tropics monitoring sites (note that</w:t>
      </w:r>
      <w:r w:rsidRPr="005B0C06">
        <w:rPr>
          <w:lang w:val="en-AU" w:eastAsia="en-AU"/>
        </w:rPr>
        <w:t xml:space="preserve"> </w:t>
      </w:r>
      <w:r>
        <w:rPr>
          <w:lang w:val="en-AU" w:eastAsia="en-AU"/>
        </w:rPr>
        <w:t>no wet season monitoring data were available for Normanby Island) (</w:t>
      </w:r>
      <w:r>
        <w:rPr>
          <w:lang w:val="en-AU" w:eastAsia="en-AU"/>
        </w:rPr>
        <w:fldChar w:fldCharType="begin"/>
      </w:r>
      <w:r>
        <w:rPr>
          <w:lang w:val="en-AU" w:eastAsia="en-AU"/>
        </w:rPr>
        <w:instrText xml:space="preserve"> REF _Ref335637596 \n \h </w:instrText>
      </w:r>
      <w:r w:rsidR="005512F8">
        <w:rPr>
          <w:lang w:val="en-AU" w:eastAsia="en-AU"/>
        </w:rPr>
        <w:instrText xml:space="preserve"> \* MERGEFORMAT </w:instrText>
      </w:r>
      <w:r>
        <w:rPr>
          <w:lang w:val="en-AU" w:eastAsia="en-AU"/>
        </w:rPr>
      </w:r>
      <w:r>
        <w:rPr>
          <w:lang w:val="en-AU" w:eastAsia="en-AU"/>
        </w:rPr>
        <w:fldChar w:fldCharType="separate"/>
      </w:r>
      <w:r w:rsidR="00D12276">
        <w:rPr>
          <w:lang w:val="en-AU" w:eastAsia="en-AU"/>
        </w:rPr>
        <w:t xml:space="preserve">Appendix F </w:t>
      </w:r>
      <w:r>
        <w:rPr>
          <w:lang w:val="en-AU" w:eastAsia="en-AU"/>
        </w:rPr>
        <w:fldChar w:fldCharType="end"/>
      </w:r>
      <w:r w:rsidR="005512F8">
        <w:rPr>
          <w:lang w:val="en-AU" w:eastAsia="en-AU"/>
        </w:rPr>
        <w:t xml:space="preserve">Table F2 </w:t>
      </w:r>
      <w:r>
        <w:rPr>
          <w:lang w:val="en-AU" w:eastAsia="en-AU"/>
        </w:rPr>
        <w:t xml:space="preserve"> to </w:t>
      </w:r>
      <w:r>
        <w:rPr>
          <w:lang w:val="en-AU" w:eastAsia="en-AU"/>
        </w:rPr>
        <w:fldChar w:fldCharType="begin"/>
      </w:r>
      <w:r>
        <w:rPr>
          <w:lang w:val="en-AU" w:eastAsia="en-AU"/>
        </w:rPr>
        <w:instrText xml:space="preserve"> REF _Ref480740506 \h </w:instrText>
      </w:r>
      <w:r w:rsidR="005512F8">
        <w:rPr>
          <w:lang w:val="en-AU" w:eastAsia="en-AU"/>
        </w:rPr>
        <w:instrText xml:space="preserve"> \* MERGEFORMAT </w:instrText>
      </w:r>
      <w:r>
        <w:rPr>
          <w:lang w:val="en-AU" w:eastAsia="en-AU"/>
        </w:rPr>
      </w:r>
      <w:r>
        <w:rPr>
          <w:lang w:val="en-AU" w:eastAsia="en-AU"/>
        </w:rPr>
        <w:fldChar w:fldCharType="separate"/>
      </w:r>
      <w:r w:rsidR="00D12276">
        <w:t xml:space="preserve">Table </w:t>
      </w:r>
      <w:r w:rsidR="00D12276">
        <w:rPr>
          <w:noProof/>
        </w:rPr>
        <w:t>F</w:t>
      </w:r>
      <w:r w:rsidR="00D12276">
        <w:rPr>
          <w:noProof/>
        </w:rPr>
        <w:noBreakHyphen/>
        <w:t>6</w:t>
      </w:r>
      <w:r>
        <w:rPr>
          <w:lang w:val="en-AU" w:eastAsia="en-AU"/>
        </w:rPr>
        <w:fldChar w:fldCharType="end"/>
      </w:r>
      <w:r>
        <w:rPr>
          <w:lang w:val="en-AU" w:eastAsia="en-AU"/>
        </w:rPr>
        <w:t xml:space="preserve">). Tebuthiuron was detected late in the wet season at the four sites for which samples were available. Other pesticides, 2,4-D, imidacloprid, MCPA and metolachlor, were also detected in the region (in 13 to 78 per cent of samplers), with the most frequent detections at High Island for all four (78, 78, 44 and 67 per cent, respectively). </w:t>
      </w:r>
    </w:p>
    <w:p w14:paraId="15720FE7" w14:textId="2AADBACB" w:rsidR="00851A0A" w:rsidRDefault="00851A0A" w:rsidP="00851A0A">
      <w:pPr>
        <w:spacing w:line="276" w:lineRule="auto"/>
      </w:pPr>
    </w:p>
    <w:p w14:paraId="2D619317" w14:textId="417E256E" w:rsidR="005B7BFB" w:rsidRDefault="00EA7960" w:rsidP="0009681A">
      <w:pPr>
        <w:spacing w:after="120" w:line="276" w:lineRule="auto"/>
        <w:jc w:val="center"/>
      </w:pPr>
      <w:r w:rsidRPr="00EA7960">
        <w:rPr>
          <w:noProof/>
          <w:lang w:val="en-AU" w:eastAsia="en-AU" w:bidi="ar-SA"/>
        </w:rPr>
        <w:lastRenderedPageBreak/>
        <w:drawing>
          <wp:inline distT="0" distB="0" distL="0" distR="0" wp14:anchorId="0FBFF704" wp14:editId="27BE8D16">
            <wp:extent cx="6408000" cy="7835374"/>
            <wp:effectExtent l="0" t="0" r="0" b="0"/>
            <wp:docPr id="26" name="Picture 26" descr="Figure 11: The graphs plot both river flow (in megaliters per day)  influencing the Wet Tropics sampling sites and the measured PSII-HEq concentrations in the passive and grab samples for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408000" cy="7835374"/>
                    </a:xfrm>
                    <a:prstGeom prst="rect">
                      <a:avLst/>
                    </a:prstGeom>
                    <a:noFill/>
                    <a:ln>
                      <a:noFill/>
                    </a:ln>
                  </pic:spPr>
                </pic:pic>
              </a:graphicData>
            </a:graphic>
          </wp:inline>
        </w:drawing>
      </w:r>
    </w:p>
    <w:p w14:paraId="2ECDEBFD" w14:textId="3D329785" w:rsidR="005B7BFB" w:rsidRPr="009A7845" w:rsidRDefault="005B7BFB" w:rsidP="00EA7960">
      <w:pPr>
        <w:pStyle w:val="Caption"/>
        <w:keepNext/>
        <w:spacing w:line="276" w:lineRule="auto"/>
        <w:rPr>
          <w:b w:val="0"/>
        </w:rPr>
      </w:pPr>
      <w:bookmarkStart w:id="556" w:name="_Ref501944848"/>
      <w:bookmarkStart w:id="557" w:name="_Toc502499941"/>
      <w:r w:rsidRPr="00747824">
        <w:rPr>
          <w:b w:val="0"/>
        </w:rPr>
        <w:t xml:space="preserve">Figure </w:t>
      </w:r>
      <w:r w:rsidRPr="00747824">
        <w:rPr>
          <w:b w:val="0"/>
        </w:rPr>
        <w:fldChar w:fldCharType="begin"/>
      </w:r>
      <w:r w:rsidRPr="00747824">
        <w:rPr>
          <w:b w:val="0"/>
        </w:rPr>
        <w:instrText xml:space="preserve"> SEQ Figure \* ARABIC </w:instrText>
      </w:r>
      <w:r w:rsidRPr="00747824">
        <w:rPr>
          <w:b w:val="0"/>
        </w:rPr>
        <w:fldChar w:fldCharType="separate"/>
      </w:r>
      <w:r w:rsidR="00D12276">
        <w:rPr>
          <w:b w:val="0"/>
          <w:noProof/>
        </w:rPr>
        <w:t>11</w:t>
      </w:r>
      <w:r w:rsidRPr="00747824">
        <w:rPr>
          <w:b w:val="0"/>
        </w:rPr>
        <w:fldChar w:fldCharType="end"/>
      </w:r>
      <w:bookmarkEnd w:id="556"/>
      <w:r w:rsidRPr="009A7845">
        <w:rPr>
          <w:b w:val="0"/>
        </w:rPr>
        <w:t xml:space="preserve">: Temporal trends in PSII-HEq </w:t>
      </w:r>
      <w:r w:rsidR="00F0044F">
        <w:rPr>
          <w:b w:val="0"/>
        </w:rPr>
        <w:t>at fixed passive sampling sites (A-C, E, G) and PSII-HEq levels in grab samples (D, F) in 2015-16</w:t>
      </w:r>
      <w:r>
        <w:rPr>
          <w:b w:val="0"/>
        </w:rPr>
        <w:t>, relative to the</w:t>
      </w:r>
      <w:r w:rsidRPr="009A7845">
        <w:rPr>
          <w:b w:val="0"/>
        </w:rPr>
        <w:t xml:space="preserve"> flow rate of rivers influencing the </w:t>
      </w:r>
      <w:r>
        <w:rPr>
          <w:b w:val="0"/>
        </w:rPr>
        <w:t>Wet Tropics</w:t>
      </w:r>
      <w:r w:rsidRPr="009A7845">
        <w:rPr>
          <w:b w:val="0"/>
        </w:rPr>
        <w:t xml:space="preserve"> </w:t>
      </w:r>
      <w:r w:rsidR="00B93FA5">
        <w:rPr>
          <w:b w:val="0"/>
        </w:rPr>
        <w:t>sampling</w:t>
      </w:r>
      <w:r w:rsidRPr="009A7845">
        <w:rPr>
          <w:b w:val="0"/>
        </w:rPr>
        <w:t xml:space="preserve"> sites. Flow data provided by Department of Environment and Resource Management, Stream Gauging Network</w:t>
      </w:r>
      <w:r>
        <w:rPr>
          <w:b w:val="0"/>
        </w:rPr>
        <w:t>.</w:t>
      </w:r>
      <w:bookmarkEnd w:id="557"/>
    </w:p>
    <w:p w14:paraId="046C9546" w14:textId="77777777" w:rsidR="009A7845" w:rsidRDefault="009A7845" w:rsidP="00851A0A">
      <w:pPr>
        <w:spacing w:line="276" w:lineRule="auto"/>
      </w:pPr>
    </w:p>
    <w:p w14:paraId="15720FE8" w14:textId="47B86EC2" w:rsidR="0006758A" w:rsidRDefault="0059608E" w:rsidP="00015606">
      <w:pPr>
        <w:spacing w:line="276" w:lineRule="auto"/>
        <w:rPr>
          <w:lang w:val="en-AU" w:eastAsia="en-AU"/>
        </w:rPr>
      </w:pPr>
      <w:r>
        <w:rPr>
          <w:lang w:val="en-AU" w:eastAsia="en-AU"/>
        </w:rPr>
        <w:t xml:space="preserve">Land use in the Wet Tropics differs between </w:t>
      </w:r>
      <w:r w:rsidR="00537818">
        <w:rPr>
          <w:lang w:val="en-AU" w:eastAsia="en-AU"/>
        </w:rPr>
        <w:t>its</w:t>
      </w:r>
      <w:r>
        <w:rPr>
          <w:lang w:val="en-AU" w:eastAsia="en-AU"/>
        </w:rPr>
        <w:t xml:space="preserve"> northern and southern catchments with the northern Daintree and Mossman River catchments largely comprised of national parks and state forests</w:t>
      </w:r>
      <w:r w:rsidR="00AB25BD">
        <w:rPr>
          <w:lang w:val="en-AU" w:eastAsia="en-AU"/>
        </w:rPr>
        <w:t>. L</w:t>
      </w:r>
      <w:r>
        <w:rPr>
          <w:lang w:val="en-AU" w:eastAsia="en-AU"/>
        </w:rPr>
        <w:t xml:space="preserve">arge areas of land </w:t>
      </w:r>
      <w:r w:rsidR="00AB25BD">
        <w:rPr>
          <w:lang w:val="en-AU" w:eastAsia="en-AU"/>
        </w:rPr>
        <w:t xml:space="preserve">are </w:t>
      </w:r>
      <w:r>
        <w:rPr>
          <w:lang w:val="en-AU" w:eastAsia="en-AU"/>
        </w:rPr>
        <w:t xml:space="preserve">used for sugarcane growing </w:t>
      </w:r>
      <w:r w:rsidR="00AB25BD">
        <w:rPr>
          <w:lang w:val="en-AU" w:eastAsia="en-AU"/>
        </w:rPr>
        <w:t xml:space="preserve">in the southern catchments </w:t>
      </w:r>
      <w:r>
        <w:rPr>
          <w:lang w:val="en-AU" w:eastAsia="en-AU"/>
        </w:rPr>
        <w:t xml:space="preserve">clustered around Cairns, Innisfail, Tully and Ingham (ABS, 2013). </w:t>
      </w:r>
      <w:r w:rsidR="00AB25BD">
        <w:rPr>
          <w:lang w:val="en-AU" w:eastAsia="en-AU"/>
        </w:rPr>
        <w:t>T</w:t>
      </w:r>
      <w:r>
        <w:rPr>
          <w:lang w:val="en-AU" w:eastAsia="en-AU"/>
        </w:rPr>
        <w:t>he PSII herbicide profiles (</w:t>
      </w:r>
      <w:r w:rsidR="00C91BF5">
        <w:rPr>
          <w:lang w:val="en-AU" w:eastAsia="en-AU"/>
        </w:rPr>
        <w:fldChar w:fldCharType="begin"/>
      </w:r>
      <w:r w:rsidR="00CE4593">
        <w:rPr>
          <w:lang w:val="en-AU" w:eastAsia="en-AU"/>
        </w:rPr>
        <w:instrText xml:space="preserve"> REF _Ref480741812 \n \h </w:instrText>
      </w:r>
      <w:r w:rsidR="00C91BF5">
        <w:rPr>
          <w:lang w:val="en-AU" w:eastAsia="en-AU"/>
        </w:rPr>
      </w:r>
      <w:r w:rsidR="00C91BF5">
        <w:rPr>
          <w:lang w:val="en-AU" w:eastAsia="en-AU"/>
        </w:rPr>
        <w:fldChar w:fldCharType="separate"/>
      </w:r>
      <w:r w:rsidR="00D12276">
        <w:rPr>
          <w:lang w:val="en-AU" w:eastAsia="en-AU"/>
        </w:rPr>
        <w:t xml:space="preserve">Appendix I </w:t>
      </w:r>
      <w:r w:rsidR="00C91BF5">
        <w:rPr>
          <w:lang w:val="en-AU" w:eastAsia="en-AU"/>
        </w:rPr>
        <w:fldChar w:fldCharType="end"/>
      </w:r>
      <w:r w:rsidR="00C91BF5">
        <w:rPr>
          <w:lang w:val="en-AU" w:eastAsia="en-AU"/>
        </w:rPr>
        <w:fldChar w:fldCharType="begin"/>
      </w:r>
      <w:r w:rsidR="00CE4593">
        <w:rPr>
          <w:lang w:val="en-AU" w:eastAsia="en-AU"/>
        </w:rPr>
        <w:instrText xml:space="preserve"> REF _Ref480739744 \h </w:instrText>
      </w:r>
      <w:r w:rsidR="00C91BF5">
        <w:rPr>
          <w:lang w:val="en-AU" w:eastAsia="en-AU"/>
        </w:rPr>
      </w:r>
      <w:r w:rsidR="00C91BF5">
        <w:rPr>
          <w:lang w:val="en-AU" w:eastAsia="en-AU"/>
        </w:rPr>
        <w:fldChar w:fldCharType="separate"/>
      </w:r>
      <w:r w:rsidR="00D12276">
        <w:t xml:space="preserve">Figure </w:t>
      </w:r>
      <w:r w:rsidR="00D12276">
        <w:rPr>
          <w:noProof/>
        </w:rPr>
        <w:t>I</w:t>
      </w:r>
      <w:r w:rsidR="00D12276">
        <w:noBreakHyphen/>
      </w:r>
      <w:r w:rsidR="00D12276">
        <w:rPr>
          <w:noProof/>
        </w:rPr>
        <w:t>1</w:t>
      </w:r>
      <w:r w:rsidR="00C91BF5">
        <w:rPr>
          <w:lang w:val="en-AU" w:eastAsia="en-AU"/>
        </w:rPr>
        <w:fldChar w:fldCharType="end"/>
      </w:r>
      <w:r w:rsidR="00CE4593">
        <w:rPr>
          <w:lang w:val="en-AU" w:eastAsia="en-AU"/>
        </w:rPr>
        <w:t xml:space="preserve"> to </w:t>
      </w:r>
      <w:r w:rsidR="00C91BF5">
        <w:rPr>
          <w:lang w:val="en-AU" w:eastAsia="en-AU"/>
        </w:rPr>
        <w:fldChar w:fldCharType="begin"/>
      </w:r>
      <w:r w:rsidR="00CE4593">
        <w:rPr>
          <w:lang w:val="en-AU" w:eastAsia="en-AU"/>
        </w:rPr>
        <w:instrText xml:space="preserve"> REF _Ref480739746 \h </w:instrText>
      </w:r>
      <w:r w:rsidR="00C91BF5">
        <w:rPr>
          <w:lang w:val="en-AU" w:eastAsia="en-AU"/>
        </w:rPr>
      </w:r>
      <w:r w:rsidR="00C91BF5">
        <w:rPr>
          <w:lang w:val="en-AU" w:eastAsia="en-AU"/>
        </w:rPr>
        <w:fldChar w:fldCharType="separate"/>
      </w:r>
      <w:r w:rsidR="00D12276">
        <w:t xml:space="preserve">Figure </w:t>
      </w:r>
      <w:r w:rsidR="00D12276">
        <w:rPr>
          <w:noProof/>
        </w:rPr>
        <w:t>I</w:t>
      </w:r>
      <w:r w:rsidR="00D12276">
        <w:noBreakHyphen/>
      </w:r>
      <w:r w:rsidR="00D12276">
        <w:rPr>
          <w:noProof/>
        </w:rPr>
        <w:t>5</w:t>
      </w:r>
      <w:r w:rsidR="00C91BF5">
        <w:rPr>
          <w:lang w:val="en-AU" w:eastAsia="en-AU"/>
        </w:rPr>
        <w:fldChar w:fldCharType="end"/>
      </w:r>
      <w:r>
        <w:rPr>
          <w:lang w:val="en-AU" w:eastAsia="en-AU"/>
        </w:rPr>
        <w:t>) and PSII-</w:t>
      </w:r>
      <w:r w:rsidR="00831FD3">
        <w:rPr>
          <w:lang w:val="en-AU" w:eastAsia="en-AU"/>
        </w:rPr>
        <w:t xml:space="preserve">HEq </w:t>
      </w:r>
      <w:r>
        <w:rPr>
          <w:lang w:val="en-AU" w:eastAsia="en-AU"/>
        </w:rPr>
        <w:t>Max values (</w:t>
      </w:r>
      <w:r w:rsidR="002A77E1">
        <w:fldChar w:fldCharType="begin"/>
      </w:r>
      <w:r w:rsidR="002A77E1">
        <w:instrText xml:space="preserve"> REF _Ref480739542 \h  \* MERGEFORMAT </w:instrText>
      </w:r>
      <w:r w:rsidR="002A77E1">
        <w:fldChar w:fldCharType="separate"/>
      </w:r>
      <w:r w:rsidR="00D12276" w:rsidRPr="00210B7C">
        <w:t xml:space="preserve">Table </w:t>
      </w:r>
      <w:r w:rsidR="00D12276" w:rsidRPr="00D12276">
        <w:t>8</w:t>
      </w:r>
      <w:r w:rsidR="002A77E1">
        <w:fldChar w:fldCharType="end"/>
      </w:r>
      <w:r>
        <w:rPr>
          <w:lang w:val="en-AU" w:eastAsia="en-AU"/>
        </w:rPr>
        <w:t>) did not</w:t>
      </w:r>
      <w:r w:rsidR="00AB25BD">
        <w:rPr>
          <w:lang w:val="en-AU" w:eastAsia="en-AU"/>
        </w:rPr>
        <w:t>, however,</w:t>
      </w:r>
      <w:r>
        <w:rPr>
          <w:lang w:val="en-AU" w:eastAsia="en-AU"/>
        </w:rPr>
        <w:t xml:space="preserve"> differ significantly </w:t>
      </w:r>
      <w:r w:rsidR="00831FD3">
        <w:rPr>
          <w:lang w:val="en-AU" w:eastAsia="en-AU"/>
        </w:rPr>
        <w:t>between</w:t>
      </w:r>
      <w:r>
        <w:rPr>
          <w:lang w:val="en-AU" w:eastAsia="en-AU"/>
        </w:rPr>
        <w:t xml:space="preserve"> the Wet Tropics monitoring sites and remain</w:t>
      </w:r>
      <w:r w:rsidR="00CE4593">
        <w:rPr>
          <w:lang w:val="en-AU" w:eastAsia="en-AU"/>
        </w:rPr>
        <w:t>ed</w:t>
      </w:r>
      <w:r>
        <w:rPr>
          <w:lang w:val="en-AU" w:eastAsia="en-AU"/>
        </w:rPr>
        <w:t xml:space="preserve"> low overall. </w:t>
      </w:r>
      <w:r w:rsidR="00CE4593">
        <w:rPr>
          <w:lang w:val="en-AU" w:eastAsia="en-AU"/>
        </w:rPr>
        <w:t>Diuron generally contributed around half the total pesticide concentration at all sites, and represented just over 70 per cent of the average PSII-HEq concentration.</w:t>
      </w:r>
      <w:r w:rsidR="008148B4">
        <w:rPr>
          <w:lang w:val="en-AU" w:eastAsia="en-AU"/>
        </w:rPr>
        <w:t xml:space="preserve"> </w:t>
      </w:r>
    </w:p>
    <w:p w14:paraId="15720FE9" w14:textId="77777777" w:rsidR="00BB6C7B" w:rsidRDefault="00BB6C7B" w:rsidP="00851A0A">
      <w:pPr>
        <w:spacing w:line="276" w:lineRule="auto"/>
        <w:jc w:val="left"/>
        <w:rPr>
          <w:lang w:val="en-AU" w:eastAsia="en-AU"/>
        </w:rPr>
      </w:pPr>
    </w:p>
    <w:p w14:paraId="15720FEA" w14:textId="09917B6D" w:rsidR="00BB6C7B" w:rsidRDefault="00BB6C7B" w:rsidP="00BB6C7B">
      <w:pPr>
        <w:spacing w:line="276" w:lineRule="auto"/>
        <w:rPr>
          <w:lang w:val="en-AU" w:eastAsia="en-AU"/>
        </w:rPr>
      </w:pPr>
      <w:r>
        <w:t>Since monitoring commenced, 85 per cent of PSII-HEq Max values in the Wet Tropics have been Category 5, and the remainder have been low Category 4 (</w:t>
      </w:r>
      <w:r w:rsidR="002A77E1">
        <w:fldChar w:fldCharType="begin"/>
      </w:r>
      <w:r w:rsidR="002A77E1">
        <w:instrText xml:space="preserve"> REF _Ref480739542 \h  \* MERGEFORMAT </w:instrText>
      </w:r>
      <w:r w:rsidR="002A77E1">
        <w:fldChar w:fldCharType="separate"/>
      </w:r>
      <w:r w:rsidR="00D12276" w:rsidRPr="00210B7C">
        <w:t xml:space="preserve">Table </w:t>
      </w:r>
      <w:r w:rsidR="00D12276" w:rsidRPr="00D12276">
        <w:t>8</w:t>
      </w:r>
      <w:r w:rsidR="002A77E1">
        <w:fldChar w:fldCharType="end"/>
      </w:r>
      <w:r>
        <w:t xml:space="preserve">). </w:t>
      </w:r>
      <w:r>
        <w:rPr>
          <w:lang w:val="en-AU" w:eastAsia="en-AU"/>
        </w:rPr>
        <w:t xml:space="preserve">The PSII-HEq Max and </w:t>
      </w:r>
      <w:r w:rsidR="005A16FA">
        <w:rPr>
          <w:lang w:val="en-AU" w:eastAsia="en-AU"/>
        </w:rPr>
        <w:t>w</w:t>
      </w:r>
      <w:r>
        <w:rPr>
          <w:lang w:val="en-AU" w:eastAsia="en-AU"/>
        </w:rPr>
        <w:t>et/</w:t>
      </w:r>
      <w:r w:rsidR="005A16FA">
        <w:rPr>
          <w:lang w:val="en-AU" w:eastAsia="en-AU"/>
        </w:rPr>
        <w:t>d</w:t>
      </w:r>
      <w:r>
        <w:rPr>
          <w:lang w:val="en-AU" w:eastAsia="en-AU"/>
        </w:rPr>
        <w:t xml:space="preserve">ry </w:t>
      </w:r>
      <w:r w:rsidR="005A16FA">
        <w:rPr>
          <w:lang w:val="en-AU" w:eastAsia="en-AU"/>
        </w:rPr>
        <w:t>season average</w:t>
      </w:r>
      <w:r>
        <w:rPr>
          <w:lang w:val="en-AU" w:eastAsia="en-AU"/>
        </w:rPr>
        <w:t xml:space="preserve"> values in 2015-16 were all Category 5 on the PSII-HEq Index, with no clear trends apparent </w:t>
      </w:r>
      <w:r w:rsidR="00AB25BD">
        <w:rPr>
          <w:lang w:val="en-AU" w:eastAsia="en-AU"/>
        </w:rPr>
        <w:t>over time</w:t>
      </w:r>
      <w:r>
        <w:rPr>
          <w:lang w:val="en-AU" w:eastAsia="en-AU"/>
        </w:rPr>
        <w:t xml:space="preserve"> (</w:t>
      </w:r>
      <w:r w:rsidR="002A77E1">
        <w:fldChar w:fldCharType="begin"/>
      </w:r>
      <w:r w:rsidR="002A77E1">
        <w:instrText xml:space="preserve"> REF _Ref480739542 \h  \* MERGEFORMAT </w:instrText>
      </w:r>
      <w:r w:rsidR="002A77E1">
        <w:fldChar w:fldCharType="separate"/>
      </w:r>
      <w:r w:rsidR="00D12276" w:rsidRPr="00210B7C">
        <w:t xml:space="preserve">Table </w:t>
      </w:r>
      <w:r w:rsidR="00D12276" w:rsidRPr="00D12276">
        <w:t>8</w:t>
      </w:r>
      <w:r w:rsidR="002A77E1">
        <w:fldChar w:fldCharType="end"/>
      </w:r>
      <w:r>
        <w:rPr>
          <w:lang w:val="en-AU" w:eastAsia="en-AU"/>
        </w:rPr>
        <w:t xml:space="preserve">). </w:t>
      </w:r>
      <w:r w:rsidR="008148B4">
        <w:rPr>
          <w:lang w:val="en-AU" w:eastAsia="en-AU"/>
        </w:rPr>
        <w:t xml:space="preserve">It should be noted that the concentrations of 2,4-D, imidacloprid, MCPA and metolachlor were not included in the calculation of the risk category, and therefore the risk from all pesticides could be higher in this region than what is reported here. </w:t>
      </w:r>
    </w:p>
    <w:p w14:paraId="15720FEB" w14:textId="77777777" w:rsidR="0059608E" w:rsidRDefault="0059608E" w:rsidP="00851A0A">
      <w:pPr>
        <w:spacing w:line="276" w:lineRule="auto"/>
        <w:jc w:val="left"/>
        <w:rPr>
          <w:lang w:val="en-AU" w:eastAsia="en-AU"/>
        </w:rPr>
      </w:pPr>
    </w:p>
    <w:p w14:paraId="15720FEC" w14:textId="60E62F9B" w:rsidR="00997C11" w:rsidRDefault="002D6B9C" w:rsidP="00015606">
      <w:pPr>
        <w:spacing w:line="276" w:lineRule="auto"/>
        <w:rPr>
          <w:highlight w:val="yellow"/>
          <w:lang w:val="en-GB" w:eastAsia="en-AU"/>
        </w:rPr>
      </w:pPr>
      <w:bookmarkStart w:id="558" w:name="_Toc335638578"/>
      <w:bookmarkStart w:id="559" w:name="_Toc335641188"/>
      <w:bookmarkStart w:id="560" w:name="_Toc335638579"/>
      <w:bookmarkStart w:id="561" w:name="_Toc335641189"/>
      <w:bookmarkStart w:id="562" w:name="_Toc335638580"/>
      <w:bookmarkStart w:id="563" w:name="_Toc335641190"/>
      <w:bookmarkStart w:id="564" w:name="_Toc335638581"/>
      <w:bookmarkStart w:id="565" w:name="_Toc335641191"/>
      <w:bookmarkStart w:id="566" w:name="_Toc335638582"/>
      <w:bookmarkStart w:id="567" w:name="_Toc335641192"/>
      <w:bookmarkStart w:id="568" w:name="_Toc335638583"/>
      <w:bookmarkStart w:id="569" w:name="_Toc335641193"/>
      <w:bookmarkStart w:id="570" w:name="_Toc335638584"/>
      <w:bookmarkStart w:id="571" w:name="_Toc335641194"/>
      <w:bookmarkStart w:id="572" w:name="_Toc335638585"/>
      <w:bookmarkStart w:id="573" w:name="_Toc335641195"/>
      <w:bookmarkStart w:id="574" w:name="_Toc335638586"/>
      <w:bookmarkStart w:id="575" w:name="_Toc335641196"/>
      <w:bookmarkStart w:id="576" w:name="_Toc335638587"/>
      <w:bookmarkStart w:id="577" w:name="_Toc335641197"/>
      <w:bookmarkStart w:id="578" w:name="_Toc335638588"/>
      <w:bookmarkStart w:id="579" w:name="_Toc335641198"/>
      <w:bookmarkStart w:id="580" w:name="_Toc335638589"/>
      <w:bookmarkStart w:id="581" w:name="_Toc335641199"/>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r w:rsidRPr="002D6B9C">
        <w:rPr>
          <w:lang w:val="en-GB" w:eastAsia="en-AU"/>
        </w:rPr>
        <w:t xml:space="preserve">In 2015-16, grab samples were collected in two </w:t>
      </w:r>
      <w:r w:rsidR="00EE1BF8">
        <w:rPr>
          <w:lang w:val="en-GB" w:eastAsia="en-AU"/>
        </w:rPr>
        <w:t>regions</w:t>
      </w:r>
      <w:r w:rsidRPr="002D6B9C">
        <w:rPr>
          <w:lang w:val="en-GB" w:eastAsia="en-AU"/>
        </w:rPr>
        <w:t xml:space="preserve"> in the Wet Tropics, adjacent to the </w:t>
      </w:r>
      <w:r w:rsidR="005A16FA">
        <w:rPr>
          <w:lang w:val="en-GB" w:eastAsia="en-AU"/>
        </w:rPr>
        <w:t xml:space="preserve">river mouths of the </w:t>
      </w:r>
      <w:r w:rsidR="005A16FA" w:rsidRPr="002D6B9C">
        <w:rPr>
          <w:lang w:val="en-GB" w:eastAsia="en-AU"/>
        </w:rPr>
        <w:t xml:space="preserve">Russell/Musgrave </w:t>
      </w:r>
      <w:r w:rsidRPr="002D6B9C">
        <w:rPr>
          <w:lang w:val="en-GB" w:eastAsia="en-AU"/>
        </w:rPr>
        <w:t xml:space="preserve">River and the </w:t>
      </w:r>
      <w:r w:rsidR="005A16FA" w:rsidRPr="002D6B9C">
        <w:rPr>
          <w:lang w:val="en-GB" w:eastAsia="en-AU"/>
        </w:rPr>
        <w:t xml:space="preserve">Tully </w:t>
      </w:r>
      <w:r w:rsidRPr="002D6B9C">
        <w:rPr>
          <w:lang w:val="en-GB" w:eastAsia="en-AU"/>
        </w:rPr>
        <w:t xml:space="preserve">River. </w:t>
      </w:r>
      <w:r w:rsidR="00997C11" w:rsidRPr="00F05800">
        <w:rPr>
          <w:lang w:val="en-GB" w:eastAsia="en-AU"/>
        </w:rPr>
        <w:t xml:space="preserve">Pairs of grab samples were collected from the </w:t>
      </w:r>
      <w:r w:rsidR="00997C11" w:rsidRPr="002D6B9C">
        <w:rPr>
          <w:lang w:val="en-GB" w:eastAsia="en-AU"/>
        </w:rPr>
        <w:t>Russell/Musgrave River mouth</w:t>
      </w:r>
      <w:r w:rsidR="00997C11">
        <w:rPr>
          <w:lang w:val="en-GB" w:eastAsia="en-AU"/>
        </w:rPr>
        <w:t xml:space="preserve"> and High Island (fixed monitoring site) on five occasions through</w:t>
      </w:r>
      <w:r w:rsidR="00F05800">
        <w:rPr>
          <w:lang w:val="en-GB" w:eastAsia="en-AU"/>
        </w:rPr>
        <w:t>out</w:t>
      </w:r>
      <w:r w:rsidR="005A16FA">
        <w:rPr>
          <w:lang w:val="en-GB" w:eastAsia="en-AU"/>
        </w:rPr>
        <w:t xml:space="preserve"> the wet season </w:t>
      </w:r>
      <w:r w:rsidR="00997C11">
        <w:rPr>
          <w:lang w:val="en-GB" w:eastAsia="en-AU"/>
        </w:rPr>
        <w:t xml:space="preserve">which coincided with three major flow events of the </w:t>
      </w:r>
      <w:r w:rsidR="005A16FA">
        <w:rPr>
          <w:lang w:val="en-GB" w:eastAsia="en-AU"/>
        </w:rPr>
        <w:t>year</w:t>
      </w:r>
      <w:r w:rsidR="001118D1">
        <w:rPr>
          <w:lang w:val="en-GB" w:eastAsia="en-AU"/>
        </w:rPr>
        <w:t xml:space="preserve"> (</w:t>
      </w:r>
      <w:r w:rsidR="008F099D" w:rsidRPr="008F099D">
        <w:rPr>
          <w:lang w:val="en-GB" w:eastAsia="en-AU"/>
        </w:rPr>
        <w:fldChar w:fldCharType="begin"/>
      </w:r>
      <w:r w:rsidR="008F099D" w:rsidRPr="008F099D">
        <w:rPr>
          <w:lang w:val="en-GB" w:eastAsia="en-AU"/>
        </w:rPr>
        <w:instrText xml:space="preserve"> REF _Ref501944848 \h  \* MERGEFORMAT </w:instrText>
      </w:r>
      <w:r w:rsidR="008F099D" w:rsidRPr="008F099D">
        <w:rPr>
          <w:lang w:val="en-GB" w:eastAsia="en-AU"/>
        </w:rPr>
      </w:r>
      <w:r w:rsidR="008F099D" w:rsidRPr="008F099D">
        <w:rPr>
          <w:lang w:val="en-GB" w:eastAsia="en-AU"/>
        </w:rPr>
        <w:fldChar w:fldCharType="separate"/>
      </w:r>
      <w:r w:rsidR="00D12276" w:rsidRPr="00747824">
        <w:t xml:space="preserve">Figure </w:t>
      </w:r>
      <w:r w:rsidR="00D12276" w:rsidRPr="00D12276">
        <w:rPr>
          <w:noProof/>
        </w:rPr>
        <w:t>11</w:t>
      </w:r>
      <w:r w:rsidR="008F099D" w:rsidRPr="008F099D">
        <w:rPr>
          <w:lang w:val="en-GB" w:eastAsia="en-AU"/>
        </w:rPr>
        <w:fldChar w:fldCharType="end"/>
      </w:r>
      <w:r w:rsidR="00B425D0">
        <w:rPr>
          <w:lang w:val="en-GB" w:eastAsia="en-AU"/>
        </w:rPr>
        <w:t xml:space="preserve"> </w:t>
      </w:r>
      <w:r w:rsidR="008F099D">
        <w:rPr>
          <w:lang w:val="en-GB" w:eastAsia="en-AU"/>
        </w:rPr>
        <w:t>D</w:t>
      </w:r>
      <w:r w:rsidR="001118D1">
        <w:rPr>
          <w:lang w:val="en-GB" w:eastAsia="en-AU"/>
        </w:rPr>
        <w:t>)</w:t>
      </w:r>
      <w:r w:rsidR="00997C11">
        <w:rPr>
          <w:lang w:val="en-GB" w:eastAsia="en-AU"/>
        </w:rPr>
        <w:t xml:space="preserve">. Two of the </w:t>
      </w:r>
      <w:r w:rsidR="00A729A4">
        <w:rPr>
          <w:lang w:val="en-GB" w:eastAsia="en-AU"/>
        </w:rPr>
        <w:t xml:space="preserve">samples from </w:t>
      </w:r>
      <w:r w:rsidR="00997C11">
        <w:rPr>
          <w:lang w:val="en-GB" w:eastAsia="en-AU"/>
        </w:rPr>
        <w:t xml:space="preserve">High Island were destroyed in transit, leaving five river mouth samples and </w:t>
      </w:r>
      <w:r w:rsidR="00A729A4">
        <w:rPr>
          <w:lang w:val="en-GB" w:eastAsia="en-AU"/>
        </w:rPr>
        <w:t>three</w:t>
      </w:r>
      <w:r w:rsidR="00997C11">
        <w:rPr>
          <w:lang w:val="en-GB" w:eastAsia="en-AU"/>
        </w:rPr>
        <w:t xml:space="preserve"> High Island samples. The highest PSII herbicide concentrations were associated with </w:t>
      </w:r>
      <w:r w:rsidR="001118D1">
        <w:rPr>
          <w:lang w:val="en-GB" w:eastAsia="en-AU"/>
        </w:rPr>
        <w:t xml:space="preserve">samples collected in the river mouth during </w:t>
      </w:r>
      <w:r w:rsidR="00997C11">
        <w:rPr>
          <w:lang w:val="en-GB" w:eastAsia="en-AU"/>
        </w:rPr>
        <w:t>the second flow event in late February/early March. PSII-HEq concentrations reached 75 ng L</w:t>
      </w:r>
      <w:r w:rsidR="00997C11" w:rsidRPr="00997C11">
        <w:rPr>
          <w:vertAlign w:val="superscript"/>
          <w:lang w:val="en-GB" w:eastAsia="en-AU"/>
        </w:rPr>
        <w:t>-1</w:t>
      </w:r>
      <w:r w:rsidR="00997C11">
        <w:rPr>
          <w:lang w:val="en-GB" w:eastAsia="en-AU"/>
        </w:rPr>
        <w:t xml:space="preserve"> (Category 3 </w:t>
      </w:r>
      <w:r w:rsidR="001118D1">
        <w:rPr>
          <w:lang w:val="en-GB" w:eastAsia="en-AU"/>
        </w:rPr>
        <w:lastRenderedPageBreak/>
        <w:t>on the PS</w:t>
      </w:r>
      <w:r w:rsidR="00997C11">
        <w:rPr>
          <w:lang w:val="en-GB" w:eastAsia="en-AU"/>
        </w:rPr>
        <w:t>II-HEq Index</w:t>
      </w:r>
      <w:r w:rsidR="00A729A4">
        <w:rPr>
          <w:lang w:val="en-GB" w:eastAsia="en-AU"/>
        </w:rPr>
        <w:t>)</w:t>
      </w:r>
      <w:r w:rsidR="00997C11">
        <w:rPr>
          <w:lang w:val="en-GB" w:eastAsia="en-AU"/>
        </w:rPr>
        <w:t xml:space="preserve"> in </w:t>
      </w:r>
      <w:r w:rsidR="00A729A4">
        <w:rPr>
          <w:lang w:val="en-GB" w:eastAsia="en-AU"/>
        </w:rPr>
        <w:t>February</w:t>
      </w:r>
      <w:r w:rsidR="001118D1">
        <w:rPr>
          <w:lang w:val="en-GB" w:eastAsia="en-AU"/>
        </w:rPr>
        <w:t xml:space="preserve"> and</w:t>
      </w:r>
      <w:r w:rsidR="00997C11">
        <w:rPr>
          <w:lang w:val="en-GB" w:eastAsia="en-AU"/>
        </w:rPr>
        <w:t xml:space="preserve"> 44 ng L</w:t>
      </w:r>
      <w:r w:rsidR="00997C11" w:rsidRPr="001118D1">
        <w:rPr>
          <w:vertAlign w:val="superscript"/>
          <w:lang w:val="en-GB" w:eastAsia="en-AU"/>
        </w:rPr>
        <w:t>-1</w:t>
      </w:r>
      <w:r w:rsidR="00997C11">
        <w:rPr>
          <w:lang w:val="en-GB" w:eastAsia="en-AU"/>
        </w:rPr>
        <w:t xml:space="preserve"> in</w:t>
      </w:r>
      <w:r w:rsidR="001118D1">
        <w:rPr>
          <w:lang w:val="en-GB" w:eastAsia="en-AU"/>
        </w:rPr>
        <w:t xml:space="preserve"> March (Category 4). These levels, were however, relatively low by comparison to 201</w:t>
      </w:r>
      <w:r w:rsidR="00F05800">
        <w:rPr>
          <w:lang w:val="en-GB" w:eastAsia="en-AU"/>
        </w:rPr>
        <w:t>4</w:t>
      </w:r>
      <w:r w:rsidR="001118D1">
        <w:rPr>
          <w:lang w:val="en-GB" w:eastAsia="en-AU"/>
        </w:rPr>
        <w:t>-1</w:t>
      </w:r>
      <w:r w:rsidR="00F05800">
        <w:rPr>
          <w:lang w:val="en-GB" w:eastAsia="en-AU"/>
        </w:rPr>
        <w:t>5</w:t>
      </w:r>
      <w:r w:rsidR="001118D1">
        <w:rPr>
          <w:lang w:val="en-GB" w:eastAsia="en-AU"/>
        </w:rPr>
        <w:t xml:space="preserve"> grab sampling from the same river mouth (maximum PSII-HEq concentrations of 339 ng L</w:t>
      </w:r>
      <w:r w:rsidR="001118D1" w:rsidRPr="001118D1">
        <w:rPr>
          <w:vertAlign w:val="superscript"/>
          <w:lang w:val="en-GB" w:eastAsia="en-AU"/>
        </w:rPr>
        <w:t>-1</w:t>
      </w:r>
      <w:r w:rsidR="00F05800" w:rsidRPr="00F05800">
        <w:rPr>
          <w:lang w:val="en-GB" w:eastAsia="en-AU"/>
        </w:rPr>
        <w:t>,</w:t>
      </w:r>
      <w:r w:rsidR="00F05800" w:rsidRPr="00B425D0">
        <w:rPr>
          <w:lang w:val="en-GB" w:eastAsia="en-AU"/>
        </w:rPr>
        <w:t xml:space="preserve"> </w:t>
      </w:r>
      <w:bookmarkStart w:id="582" w:name="OLE_LINK1"/>
      <w:r w:rsidR="00B425D0">
        <w:rPr>
          <w:lang w:val="en-GB" w:eastAsia="en-AU"/>
        </w:rPr>
        <w:fldChar w:fldCharType="begin"/>
      </w:r>
      <w:r w:rsidR="00B425D0">
        <w:rPr>
          <w:lang w:val="en-GB" w:eastAsia="en-AU"/>
        </w:rPr>
        <w:instrText xml:space="preserve"> REF _Ref335637596 \n \h </w:instrText>
      </w:r>
      <w:r w:rsidR="00B425D0">
        <w:rPr>
          <w:lang w:val="en-GB" w:eastAsia="en-AU"/>
        </w:rPr>
      </w:r>
      <w:r w:rsidR="00B425D0">
        <w:rPr>
          <w:lang w:val="en-GB" w:eastAsia="en-AU"/>
        </w:rPr>
        <w:fldChar w:fldCharType="separate"/>
      </w:r>
      <w:r w:rsidR="00D12276">
        <w:rPr>
          <w:lang w:val="en-GB" w:eastAsia="en-AU"/>
        </w:rPr>
        <w:t xml:space="preserve">Appendix F </w:t>
      </w:r>
      <w:r w:rsidR="00B425D0">
        <w:rPr>
          <w:lang w:val="en-GB" w:eastAsia="en-AU"/>
        </w:rPr>
        <w:fldChar w:fldCharType="end"/>
      </w:r>
      <w:bookmarkEnd w:id="582"/>
      <w:r w:rsidR="00B425D0" w:rsidRPr="00B425D0">
        <w:rPr>
          <w:lang w:val="en-GB" w:eastAsia="en-AU"/>
        </w:rPr>
        <w:t xml:space="preserve"> </w:t>
      </w:r>
      <w:r w:rsidR="00C91BF5">
        <w:rPr>
          <w:lang w:val="en-GB" w:eastAsia="en-AU"/>
        </w:rPr>
        <w:fldChar w:fldCharType="begin"/>
      </w:r>
      <w:r w:rsidR="00F05800">
        <w:rPr>
          <w:lang w:val="en-GB" w:eastAsia="en-AU"/>
        </w:rPr>
        <w:instrText xml:space="preserve"> REF _Ref480744798 \h </w:instrText>
      </w:r>
      <w:r w:rsidR="00C91BF5">
        <w:rPr>
          <w:lang w:val="en-GB" w:eastAsia="en-AU"/>
        </w:rPr>
      </w:r>
      <w:r w:rsidR="00C91BF5">
        <w:rPr>
          <w:lang w:val="en-GB" w:eastAsia="en-AU"/>
        </w:rPr>
        <w:fldChar w:fldCharType="separate"/>
      </w:r>
      <w:r w:rsidR="00D12276">
        <w:t xml:space="preserve">Figure </w:t>
      </w:r>
      <w:r w:rsidR="00D12276">
        <w:rPr>
          <w:noProof/>
        </w:rPr>
        <w:t>F</w:t>
      </w:r>
      <w:r w:rsidR="00D12276">
        <w:noBreakHyphen/>
      </w:r>
      <w:r w:rsidR="00D12276">
        <w:rPr>
          <w:noProof/>
        </w:rPr>
        <w:t>1</w:t>
      </w:r>
      <w:r w:rsidR="00C91BF5">
        <w:rPr>
          <w:lang w:val="en-GB" w:eastAsia="en-AU"/>
        </w:rPr>
        <w:fldChar w:fldCharType="end"/>
      </w:r>
      <w:r w:rsidR="001118D1">
        <w:rPr>
          <w:lang w:val="en-GB" w:eastAsia="en-AU"/>
        </w:rPr>
        <w:t>)</w:t>
      </w:r>
      <w:r w:rsidR="00F05800">
        <w:rPr>
          <w:lang w:val="en-GB" w:eastAsia="en-AU"/>
        </w:rPr>
        <w:t xml:space="preserve">. </w:t>
      </w:r>
      <w:r w:rsidR="005A16FA">
        <w:rPr>
          <w:lang w:val="en-GB" w:eastAsia="en-AU"/>
        </w:rPr>
        <w:t xml:space="preserve">The profile of </w:t>
      </w:r>
      <w:r w:rsidR="00D4222F">
        <w:rPr>
          <w:lang w:val="en-GB" w:eastAsia="en-AU"/>
        </w:rPr>
        <w:t xml:space="preserve">the major </w:t>
      </w:r>
      <w:r w:rsidR="005A16FA">
        <w:rPr>
          <w:lang w:val="en-GB" w:eastAsia="en-AU"/>
        </w:rPr>
        <w:t>pesticides in the grab samples was highly consistent with the previous year, dominated by diuron, hexazinone, atrazine, imazapic and imidacloprid (</w:t>
      </w:r>
      <w:r w:rsidR="00C91BF5">
        <w:rPr>
          <w:lang w:val="en-GB" w:eastAsia="en-AU"/>
        </w:rPr>
        <w:fldChar w:fldCharType="begin"/>
      </w:r>
      <w:r w:rsidR="005A16FA">
        <w:rPr>
          <w:lang w:val="en-GB" w:eastAsia="en-AU"/>
        </w:rPr>
        <w:instrText xml:space="preserve"> REF _Ref480746628 \n \h </w:instrText>
      </w:r>
      <w:r w:rsidR="00C91BF5">
        <w:rPr>
          <w:lang w:val="en-GB" w:eastAsia="en-AU"/>
        </w:rPr>
      </w:r>
      <w:r w:rsidR="00C91BF5">
        <w:rPr>
          <w:lang w:val="en-GB" w:eastAsia="en-AU"/>
        </w:rPr>
        <w:fldChar w:fldCharType="separate"/>
      </w:r>
      <w:r w:rsidR="00D12276">
        <w:rPr>
          <w:lang w:val="en-GB" w:eastAsia="en-AU"/>
        </w:rPr>
        <w:t xml:space="preserve">Appendix G </w:t>
      </w:r>
      <w:r w:rsidR="00C91BF5">
        <w:rPr>
          <w:lang w:val="en-GB" w:eastAsia="en-AU"/>
        </w:rPr>
        <w:fldChar w:fldCharType="end"/>
      </w:r>
      <w:r w:rsidR="00C91BF5">
        <w:rPr>
          <w:lang w:val="en-GB" w:eastAsia="en-AU"/>
        </w:rPr>
        <w:fldChar w:fldCharType="begin"/>
      </w:r>
      <w:r w:rsidR="005A16FA">
        <w:rPr>
          <w:lang w:val="en-GB" w:eastAsia="en-AU"/>
        </w:rPr>
        <w:instrText xml:space="preserve"> REF _Ref480726395 \h </w:instrText>
      </w:r>
      <w:r w:rsidR="00C91BF5">
        <w:rPr>
          <w:lang w:val="en-GB" w:eastAsia="en-AU"/>
        </w:rPr>
      </w:r>
      <w:r w:rsidR="00C91BF5">
        <w:rPr>
          <w:lang w:val="en-GB" w:eastAsia="en-AU"/>
        </w:rPr>
        <w:fldChar w:fldCharType="separate"/>
      </w:r>
      <w:r w:rsidR="00D12276">
        <w:t xml:space="preserve">Table </w:t>
      </w:r>
      <w:r w:rsidR="00D12276">
        <w:rPr>
          <w:noProof/>
        </w:rPr>
        <w:t>G</w:t>
      </w:r>
      <w:r w:rsidR="00D12276">
        <w:noBreakHyphen/>
      </w:r>
      <w:r w:rsidR="00D12276">
        <w:rPr>
          <w:noProof/>
        </w:rPr>
        <w:t>1</w:t>
      </w:r>
      <w:r w:rsidR="00C91BF5">
        <w:rPr>
          <w:lang w:val="en-GB" w:eastAsia="en-AU"/>
        </w:rPr>
        <w:fldChar w:fldCharType="end"/>
      </w:r>
      <w:r w:rsidR="005A16FA">
        <w:rPr>
          <w:lang w:val="en-GB" w:eastAsia="en-AU"/>
        </w:rPr>
        <w:t xml:space="preserve">). </w:t>
      </w:r>
      <w:r w:rsidR="00D4222F">
        <w:rPr>
          <w:lang w:val="en-GB" w:eastAsia="en-AU"/>
        </w:rPr>
        <w:t xml:space="preserve">In the current year, low levels of several </w:t>
      </w:r>
      <w:r w:rsidR="00FA7257">
        <w:rPr>
          <w:lang w:val="en-GB" w:eastAsia="en-AU"/>
        </w:rPr>
        <w:t>other</w:t>
      </w:r>
      <w:r w:rsidR="00D4222F">
        <w:rPr>
          <w:lang w:val="en-GB" w:eastAsia="en-AU"/>
        </w:rPr>
        <w:t xml:space="preserve"> pesticides were also detected in some grab samples, including 2,4-D, haloxyfop and fluroxypyr</w:t>
      </w:r>
      <w:r w:rsidR="00167B9A">
        <w:rPr>
          <w:lang w:val="en-GB" w:eastAsia="en-AU"/>
        </w:rPr>
        <w:t xml:space="preserve"> (</w:t>
      </w:r>
      <w:r w:rsidR="00AB25BD">
        <w:rPr>
          <w:lang w:val="en-GB" w:eastAsia="en-AU"/>
        </w:rPr>
        <w:t xml:space="preserve">Appendix G </w:t>
      </w:r>
      <w:r w:rsidR="00C91BF5">
        <w:rPr>
          <w:lang w:val="en-GB" w:eastAsia="en-AU"/>
        </w:rPr>
        <w:fldChar w:fldCharType="begin"/>
      </w:r>
      <w:r w:rsidR="00167B9A">
        <w:rPr>
          <w:lang w:val="en-GB" w:eastAsia="en-AU"/>
        </w:rPr>
        <w:instrText xml:space="preserve"> REF _Ref480726395 \h </w:instrText>
      </w:r>
      <w:r w:rsidR="00C91BF5">
        <w:rPr>
          <w:lang w:val="en-GB" w:eastAsia="en-AU"/>
        </w:rPr>
      </w:r>
      <w:r w:rsidR="00C91BF5">
        <w:rPr>
          <w:lang w:val="en-GB" w:eastAsia="en-AU"/>
        </w:rPr>
        <w:fldChar w:fldCharType="separate"/>
      </w:r>
      <w:r w:rsidR="00D12276">
        <w:t xml:space="preserve">Table </w:t>
      </w:r>
      <w:r w:rsidR="00D12276">
        <w:rPr>
          <w:noProof/>
        </w:rPr>
        <w:t>G</w:t>
      </w:r>
      <w:r w:rsidR="00D12276">
        <w:noBreakHyphen/>
      </w:r>
      <w:r w:rsidR="00D12276">
        <w:rPr>
          <w:noProof/>
        </w:rPr>
        <w:t>1</w:t>
      </w:r>
      <w:r w:rsidR="00C91BF5">
        <w:rPr>
          <w:lang w:val="en-GB" w:eastAsia="en-AU"/>
        </w:rPr>
        <w:fldChar w:fldCharType="end"/>
      </w:r>
      <w:r w:rsidR="00167B9A">
        <w:rPr>
          <w:lang w:val="en-GB" w:eastAsia="en-AU"/>
        </w:rPr>
        <w:t>)</w:t>
      </w:r>
      <w:r w:rsidR="00D4222F">
        <w:rPr>
          <w:lang w:val="en-GB" w:eastAsia="en-AU"/>
        </w:rPr>
        <w:t xml:space="preserve">. </w:t>
      </w:r>
      <w:r w:rsidR="00F05800">
        <w:rPr>
          <w:lang w:val="en-GB" w:eastAsia="en-AU"/>
        </w:rPr>
        <w:t xml:space="preserve">There were no </w:t>
      </w:r>
      <w:r w:rsidR="00FA7257">
        <w:rPr>
          <w:lang w:val="en-GB" w:eastAsia="en-AU"/>
        </w:rPr>
        <w:t xml:space="preserve">pesticides </w:t>
      </w:r>
      <w:r w:rsidR="00F05800">
        <w:rPr>
          <w:lang w:val="en-GB" w:eastAsia="en-AU"/>
        </w:rPr>
        <w:t>other than diuron in the grab samples from High Island, and diuron was only detected in one of the three samples at low levels (1.5 ng L</w:t>
      </w:r>
      <w:r w:rsidR="00F05800" w:rsidRPr="001118D1">
        <w:rPr>
          <w:vertAlign w:val="superscript"/>
          <w:lang w:val="en-GB" w:eastAsia="en-AU"/>
        </w:rPr>
        <w:t>-1</w:t>
      </w:r>
      <w:r w:rsidR="00F05800">
        <w:rPr>
          <w:lang w:val="en-GB" w:eastAsia="en-AU"/>
        </w:rPr>
        <w:t xml:space="preserve">). This is consistent with the relatively low </w:t>
      </w:r>
      <w:r w:rsidR="00FA7257">
        <w:rPr>
          <w:lang w:val="en-GB" w:eastAsia="en-AU"/>
        </w:rPr>
        <w:t xml:space="preserve">pesticides </w:t>
      </w:r>
      <w:r w:rsidR="00F05800">
        <w:rPr>
          <w:lang w:val="en-GB" w:eastAsia="en-AU"/>
        </w:rPr>
        <w:t>levels measured in the ED passive samplers from High Island</w:t>
      </w:r>
      <w:r w:rsidR="005A16FA">
        <w:rPr>
          <w:lang w:val="en-GB" w:eastAsia="en-AU"/>
        </w:rPr>
        <w:t xml:space="preserve"> in </w:t>
      </w:r>
      <w:r w:rsidR="00D4222F">
        <w:rPr>
          <w:lang w:val="en-GB" w:eastAsia="en-AU"/>
        </w:rPr>
        <w:t>the current</w:t>
      </w:r>
      <w:r w:rsidR="005A16FA">
        <w:rPr>
          <w:lang w:val="en-GB" w:eastAsia="en-AU"/>
        </w:rPr>
        <w:t xml:space="preserve"> monitoring year</w:t>
      </w:r>
      <w:r w:rsidR="00F05800">
        <w:rPr>
          <w:lang w:val="en-GB" w:eastAsia="en-AU"/>
        </w:rPr>
        <w:t xml:space="preserve"> (</w:t>
      </w:r>
      <w:r w:rsidR="002A77E1">
        <w:fldChar w:fldCharType="begin"/>
      </w:r>
      <w:r w:rsidR="002A77E1">
        <w:instrText xml:space="preserve"> REF _Ref480739542 \h  \* MERGEFORMAT </w:instrText>
      </w:r>
      <w:r w:rsidR="002A77E1">
        <w:fldChar w:fldCharType="separate"/>
      </w:r>
      <w:r w:rsidR="00D12276" w:rsidRPr="00210B7C">
        <w:t xml:space="preserve">Table </w:t>
      </w:r>
      <w:r w:rsidR="00D12276" w:rsidRPr="00D12276">
        <w:t>8</w:t>
      </w:r>
      <w:r w:rsidR="002A77E1">
        <w:fldChar w:fldCharType="end"/>
      </w:r>
      <w:r w:rsidR="00F05800">
        <w:rPr>
          <w:lang w:val="en-GB" w:eastAsia="en-AU"/>
        </w:rPr>
        <w:t xml:space="preserve">). </w:t>
      </w:r>
      <w:r w:rsidR="00167B9A">
        <w:rPr>
          <w:lang w:val="en-GB" w:eastAsia="en-AU"/>
        </w:rPr>
        <w:t xml:space="preserve">No passive sampling was undertaken at High Island in the previous monitoring </w:t>
      </w:r>
      <w:r w:rsidR="00B425D0">
        <w:rPr>
          <w:lang w:val="en-GB" w:eastAsia="en-AU"/>
        </w:rPr>
        <w:t>year,</w:t>
      </w:r>
      <w:r w:rsidR="00167B9A">
        <w:rPr>
          <w:lang w:val="en-GB" w:eastAsia="en-AU"/>
        </w:rPr>
        <w:t xml:space="preserve"> so it is not known whether the higher pesticide levels in the river mouth </w:t>
      </w:r>
      <w:r w:rsidR="00A729A4">
        <w:rPr>
          <w:lang w:val="en-GB" w:eastAsia="en-AU"/>
        </w:rPr>
        <w:t>in 201</w:t>
      </w:r>
      <w:r w:rsidR="0099427D">
        <w:rPr>
          <w:lang w:val="en-GB" w:eastAsia="en-AU"/>
        </w:rPr>
        <w:t>4</w:t>
      </w:r>
      <w:r w:rsidR="00A729A4">
        <w:rPr>
          <w:lang w:val="en-GB" w:eastAsia="en-AU"/>
        </w:rPr>
        <w:t>-1</w:t>
      </w:r>
      <w:r w:rsidR="0099427D">
        <w:rPr>
          <w:lang w:val="en-GB" w:eastAsia="en-AU"/>
        </w:rPr>
        <w:t>5</w:t>
      </w:r>
      <w:r w:rsidR="00A729A4">
        <w:rPr>
          <w:lang w:val="en-GB" w:eastAsia="en-AU"/>
        </w:rPr>
        <w:t xml:space="preserve"> </w:t>
      </w:r>
      <w:r w:rsidR="00167B9A">
        <w:rPr>
          <w:lang w:val="en-GB" w:eastAsia="en-AU"/>
        </w:rPr>
        <w:t>were also reflected at High Island</w:t>
      </w:r>
      <w:r w:rsidR="00AB25BD">
        <w:rPr>
          <w:lang w:val="en-GB" w:eastAsia="en-AU"/>
        </w:rPr>
        <w:t xml:space="preserve"> in that year</w:t>
      </w:r>
      <w:r w:rsidR="00167B9A">
        <w:rPr>
          <w:lang w:val="en-GB" w:eastAsia="en-AU"/>
        </w:rPr>
        <w:t>.</w:t>
      </w:r>
    </w:p>
    <w:p w14:paraId="15720FED" w14:textId="77777777" w:rsidR="00997C11" w:rsidRDefault="00997C11" w:rsidP="00015606">
      <w:pPr>
        <w:spacing w:line="276" w:lineRule="auto"/>
        <w:rPr>
          <w:highlight w:val="yellow"/>
          <w:lang w:val="en-GB" w:eastAsia="en-AU"/>
        </w:rPr>
      </w:pPr>
    </w:p>
    <w:p w14:paraId="15720FEE" w14:textId="78C480AB" w:rsidR="00167B9A" w:rsidRDefault="00D4222F" w:rsidP="00015606">
      <w:pPr>
        <w:spacing w:line="276" w:lineRule="auto"/>
        <w:rPr>
          <w:lang w:val="en-GB" w:eastAsia="en-AU"/>
        </w:rPr>
      </w:pPr>
      <w:r w:rsidRPr="00D4222F">
        <w:rPr>
          <w:lang w:val="en-GB" w:eastAsia="en-AU"/>
        </w:rPr>
        <w:t>In the Tully region, a similar repeated grab sampling program was undertaken</w:t>
      </w:r>
      <w:r w:rsidR="00167B9A">
        <w:rPr>
          <w:lang w:val="en-GB" w:eastAsia="en-AU"/>
        </w:rPr>
        <w:t xml:space="preserve"> through</w:t>
      </w:r>
      <w:r w:rsidR="00EE1BF8">
        <w:rPr>
          <w:lang w:val="en-GB" w:eastAsia="en-AU"/>
        </w:rPr>
        <w:t>out</w:t>
      </w:r>
      <w:r w:rsidR="00167B9A">
        <w:rPr>
          <w:lang w:val="en-GB" w:eastAsia="en-AU"/>
        </w:rPr>
        <w:t xml:space="preserve"> the wet season</w:t>
      </w:r>
      <w:r w:rsidRPr="00D4222F">
        <w:rPr>
          <w:lang w:val="en-GB" w:eastAsia="en-AU"/>
        </w:rPr>
        <w:t>, with samples coll</w:t>
      </w:r>
      <w:r w:rsidR="00167B9A">
        <w:rPr>
          <w:lang w:val="en-GB" w:eastAsia="en-AU"/>
        </w:rPr>
        <w:t>ec</w:t>
      </w:r>
      <w:r w:rsidRPr="00D4222F">
        <w:rPr>
          <w:lang w:val="en-GB" w:eastAsia="en-AU"/>
        </w:rPr>
        <w:t xml:space="preserve">ted </w:t>
      </w:r>
      <w:r w:rsidR="00167B9A">
        <w:rPr>
          <w:lang w:val="en-GB" w:eastAsia="en-AU"/>
        </w:rPr>
        <w:t xml:space="preserve">on five occasions </w:t>
      </w:r>
      <w:r w:rsidRPr="00D4222F">
        <w:rPr>
          <w:lang w:val="en-GB" w:eastAsia="en-AU"/>
        </w:rPr>
        <w:t xml:space="preserve">from three sites (Tully River mouth, </w:t>
      </w:r>
      <w:r w:rsidR="00167B9A">
        <w:rPr>
          <w:lang w:val="en-GB" w:eastAsia="en-AU"/>
        </w:rPr>
        <w:t>B</w:t>
      </w:r>
      <w:r w:rsidRPr="00D4222F">
        <w:rPr>
          <w:lang w:val="en-GB" w:eastAsia="en-AU"/>
        </w:rPr>
        <w:t xml:space="preserve">edarra Island directly </w:t>
      </w:r>
      <w:r w:rsidR="00167B9A" w:rsidRPr="00D4222F">
        <w:rPr>
          <w:lang w:val="en-GB" w:eastAsia="en-AU"/>
        </w:rPr>
        <w:t>offshore</w:t>
      </w:r>
      <w:r w:rsidRPr="00D4222F">
        <w:rPr>
          <w:lang w:val="en-GB" w:eastAsia="en-AU"/>
        </w:rPr>
        <w:t xml:space="preserve"> from the Tully River and Dunk Island which lies to the north of the Tully).</w:t>
      </w:r>
      <w:r w:rsidR="00167B9A">
        <w:rPr>
          <w:lang w:val="en-GB" w:eastAsia="en-AU"/>
        </w:rPr>
        <w:t xml:space="preserve"> As for the </w:t>
      </w:r>
      <w:r w:rsidR="00167B9A" w:rsidRPr="002D6B9C">
        <w:rPr>
          <w:lang w:val="en-GB" w:eastAsia="en-AU"/>
        </w:rPr>
        <w:t>Russell/Musgrave</w:t>
      </w:r>
      <w:r w:rsidR="00167B9A">
        <w:rPr>
          <w:lang w:val="en-GB" w:eastAsia="en-AU"/>
        </w:rPr>
        <w:t xml:space="preserve"> sampling, samples were collected to coincide with major flow events (</w:t>
      </w:r>
      <w:r w:rsidR="00B425D0" w:rsidRPr="00B425D0">
        <w:rPr>
          <w:lang w:val="en-GB" w:eastAsia="en-AU"/>
        </w:rPr>
        <w:fldChar w:fldCharType="begin"/>
      </w:r>
      <w:r w:rsidR="00B425D0" w:rsidRPr="00B425D0">
        <w:rPr>
          <w:lang w:val="en-GB" w:eastAsia="en-AU"/>
        </w:rPr>
        <w:instrText xml:space="preserve"> REF _Ref501944848 \h  \* MERGEFORMAT </w:instrText>
      </w:r>
      <w:r w:rsidR="00B425D0" w:rsidRPr="00B425D0">
        <w:rPr>
          <w:lang w:val="en-GB" w:eastAsia="en-AU"/>
        </w:rPr>
      </w:r>
      <w:r w:rsidR="00B425D0" w:rsidRPr="00B425D0">
        <w:rPr>
          <w:lang w:val="en-GB" w:eastAsia="en-AU"/>
        </w:rPr>
        <w:fldChar w:fldCharType="separate"/>
      </w:r>
      <w:r w:rsidR="00D12276" w:rsidRPr="00747824">
        <w:t xml:space="preserve">Figure </w:t>
      </w:r>
      <w:r w:rsidR="00D12276" w:rsidRPr="00D12276">
        <w:rPr>
          <w:noProof/>
        </w:rPr>
        <w:t>11</w:t>
      </w:r>
      <w:r w:rsidR="00B425D0" w:rsidRPr="00B425D0">
        <w:rPr>
          <w:lang w:val="en-GB" w:eastAsia="en-AU"/>
        </w:rPr>
        <w:fldChar w:fldCharType="end"/>
      </w:r>
      <w:r w:rsidR="00B425D0">
        <w:rPr>
          <w:lang w:val="en-GB" w:eastAsia="en-AU"/>
        </w:rPr>
        <w:t xml:space="preserve"> F</w:t>
      </w:r>
      <w:r w:rsidR="00167B9A">
        <w:rPr>
          <w:lang w:val="en-GB" w:eastAsia="en-AU"/>
        </w:rPr>
        <w:t xml:space="preserve">). </w:t>
      </w:r>
      <w:r w:rsidR="00457A71">
        <w:rPr>
          <w:lang w:val="en-GB" w:eastAsia="en-AU"/>
        </w:rPr>
        <w:t xml:space="preserve">Although the first rain of the year fell in late December, pesticides were </w:t>
      </w:r>
      <w:r w:rsidR="0099427D">
        <w:rPr>
          <w:lang w:val="en-GB" w:eastAsia="en-AU"/>
        </w:rPr>
        <w:t>first</w:t>
      </w:r>
      <w:r w:rsidR="00457A71">
        <w:rPr>
          <w:lang w:val="en-GB" w:eastAsia="en-AU"/>
        </w:rPr>
        <w:t xml:space="preserve"> detected at measurable quantities in the grab samples </w:t>
      </w:r>
      <w:r w:rsidR="0099427D">
        <w:rPr>
          <w:lang w:val="en-GB" w:eastAsia="en-AU"/>
        </w:rPr>
        <w:t>following</w:t>
      </w:r>
      <w:r w:rsidR="00457A71">
        <w:rPr>
          <w:lang w:val="en-GB" w:eastAsia="en-AU"/>
        </w:rPr>
        <w:t xml:space="preserve"> </w:t>
      </w:r>
      <w:r w:rsidR="00B425D0">
        <w:rPr>
          <w:lang w:val="en-GB" w:eastAsia="en-AU"/>
        </w:rPr>
        <w:t>the</w:t>
      </w:r>
      <w:r w:rsidR="00457A71">
        <w:rPr>
          <w:lang w:val="en-GB" w:eastAsia="en-AU"/>
        </w:rPr>
        <w:t xml:space="preserve"> high flow event</w:t>
      </w:r>
      <w:r w:rsidR="0099427D">
        <w:rPr>
          <w:lang w:val="en-GB" w:eastAsia="en-AU"/>
        </w:rPr>
        <w:t xml:space="preserve"> in March 2016 </w:t>
      </w:r>
      <w:r w:rsidR="005D127F">
        <w:rPr>
          <w:lang w:val="en-GB" w:eastAsia="en-AU"/>
        </w:rPr>
        <w:t>(</w:t>
      </w:r>
      <w:r w:rsidR="00B425D0" w:rsidRPr="00B425D0">
        <w:rPr>
          <w:lang w:val="en-GB" w:eastAsia="en-AU"/>
        </w:rPr>
        <w:fldChar w:fldCharType="begin"/>
      </w:r>
      <w:r w:rsidR="00B425D0" w:rsidRPr="00B425D0">
        <w:rPr>
          <w:lang w:val="en-GB" w:eastAsia="en-AU"/>
        </w:rPr>
        <w:instrText xml:space="preserve"> REF _Ref501944848 \h  \* MERGEFORMAT </w:instrText>
      </w:r>
      <w:r w:rsidR="00B425D0" w:rsidRPr="00B425D0">
        <w:rPr>
          <w:lang w:val="en-GB" w:eastAsia="en-AU"/>
        </w:rPr>
      </w:r>
      <w:r w:rsidR="00B425D0" w:rsidRPr="00B425D0">
        <w:rPr>
          <w:lang w:val="en-GB" w:eastAsia="en-AU"/>
        </w:rPr>
        <w:fldChar w:fldCharType="separate"/>
      </w:r>
      <w:r w:rsidR="00D12276" w:rsidRPr="00747824">
        <w:t xml:space="preserve">Figure </w:t>
      </w:r>
      <w:r w:rsidR="00D12276" w:rsidRPr="00D12276">
        <w:rPr>
          <w:noProof/>
        </w:rPr>
        <w:t>11</w:t>
      </w:r>
      <w:r w:rsidR="00B425D0" w:rsidRPr="00B425D0">
        <w:rPr>
          <w:lang w:val="en-GB" w:eastAsia="en-AU"/>
        </w:rPr>
        <w:fldChar w:fldCharType="end"/>
      </w:r>
      <w:r w:rsidR="00B425D0">
        <w:rPr>
          <w:lang w:val="en-GB" w:eastAsia="en-AU"/>
        </w:rPr>
        <w:t xml:space="preserve"> F</w:t>
      </w:r>
      <w:r w:rsidR="005D127F">
        <w:rPr>
          <w:lang w:val="en-GB" w:eastAsia="en-AU"/>
        </w:rPr>
        <w:t>)</w:t>
      </w:r>
      <w:r w:rsidR="00457A71">
        <w:rPr>
          <w:lang w:val="en-GB" w:eastAsia="en-AU"/>
        </w:rPr>
        <w:t>. The</w:t>
      </w:r>
      <w:r w:rsidR="0099427D">
        <w:rPr>
          <w:lang w:val="en-GB" w:eastAsia="en-AU"/>
        </w:rPr>
        <w:t xml:space="preserve"> highest</w:t>
      </w:r>
      <w:r w:rsidR="00457A71">
        <w:rPr>
          <w:lang w:val="en-GB" w:eastAsia="en-AU"/>
        </w:rPr>
        <w:t xml:space="preserve"> </w:t>
      </w:r>
      <w:r w:rsidR="0099427D">
        <w:rPr>
          <w:lang w:val="en-GB" w:eastAsia="en-AU"/>
        </w:rPr>
        <w:t xml:space="preserve">March 2016 </w:t>
      </w:r>
      <w:r w:rsidR="00457A71">
        <w:rPr>
          <w:lang w:val="en-GB" w:eastAsia="en-AU"/>
        </w:rPr>
        <w:t>PSII-HEq concentration was 218 ng L</w:t>
      </w:r>
      <w:r w:rsidR="00457A71" w:rsidRPr="00457A71">
        <w:rPr>
          <w:vertAlign w:val="superscript"/>
          <w:lang w:val="en-GB" w:eastAsia="en-AU"/>
        </w:rPr>
        <w:t>-1</w:t>
      </w:r>
      <w:r w:rsidR="00457A71" w:rsidRPr="00457A71">
        <w:rPr>
          <w:lang w:val="en-GB" w:eastAsia="en-AU"/>
        </w:rPr>
        <w:t xml:space="preserve"> </w:t>
      </w:r>
      <w:r w:rsidR="009308E1">
        <w:rPr>
          <w:lang w:val="en-GB" w:eastAsia="en-AU"/>
        </w:rPr>
        <w:t xml:space="preserve">(Category 3) </w:t>
      </w:r>
      <w:r w:rsidR="00457A71" w:rsidRPr="00457A71">
        <w:rPr>
          <w:lang w:val="en-GB" w:eastAsia="en-AU"/>
        </w:rPr>
        <w:t xml:space="preserve">at </w:t>
      </w:r>
      <w:r w:rsidR="00457A71">
        <w:rPr>
          <w:lang w:val="en-GB" w:eastAsia="en-AU"/>
        </w:rPr>
        <w:t xml:space="preserve">the Tully river mouth, with a very similar profile to the Russell/Mulgrave </w:t>
      </w:r>
      <w:r w:rsidR="00457A71" w:rsidRPr="009308E1">
        <w:rPr>
          <w:lang w:val="en-GB" w:eastAsia="en-AU"/>
        </w:rPr>
        <w:t>river mouth grab samples</w:t>
      </w:r>
      <w:r w:rsidR="005D127F" w:rsidRPr="009308E1">
        <w:rPr>
          <w:lang w:val="en-GB" w:eastAsia="en-AU"/>
        </w:rPr>
        <w:t xml:space="preserve"> (</w:t>
      </w:r>
      <w:r w:rsidR="002A77E1">
        <w:fldChar w:fldCharType="begin"/>
      </w:r>
      <w:r w:rsidR="002A77E1">
        <w:instrText xml:space="preserve"> REF _Ref480726395 \h  \* MERGEFORMAT </w:instrText>
      </w:r>
      <w:r w:rsidR="002A77E1">
        <w:fldChar w:fldCharType="separate"/>
      </w:r>
      <w:r w:rsidR="00D12276">
        <w:t xml:space="preserve">Table </w:t>
      </w:r>
      <w:r w:rsidR="00D12276">
        <w:rPr>
          <w:noProof/>
        </w:rPr>
        <w:t>G</w:t>
      </w:r>
      <w:r w:rsidR="00D12276">
        <w:rPr>
          <w:noProof/>
        </w:rPr>
        <w:noBreakHyphen/>
        <w:t>1</w:t>
      </w:r>
      <w:r w:rsidR="002A77E1">
        <w:fldChar w:fldCharType="end"/>
      </w:r>
      <w:r w:rsidR="005D127F" w:rsidRPr="009308E1">
        <w:rPr>
          <w:lang w:val="en-GB" w:eastAsia="en-AU"/>
        </w:rPr>
        <w:t>)</w:t>
      </w:r>
      <w:r w:rsidR="00457A71" w:rsidRPr="009308E1">
        <w:rPr>
          <w:lang w:val="en-GB" w:eastAsia="en-AU"/>
        </w:rPr>
        <w:t>.</w:t>
      </w:r>
      <w:r w:rsidR="009308E1" w:rsidRPr="009308E1">
        <w:rPr>
          <w:lang w:val="en-GB" w:eastAsia="en-AU"/>
        </w:rPr>
        <w:t xml:space="preserve"> </w:t>
      </w:r>
      <w:r w:rsidR="0099427D" w:rsidRPr="009308E1">
        <w:rPr>
          <w:lang w:val="en-GB" w:eastAsia="en-AU"/>
        </w:rPr>
        <w:t>The Bedarra</w:t>
      </w:r>
      <w:r w:rsidR="0099427D">
        <w:rPr>
          <w:lang w:val="en-GB" w:eastAsia="en-AU"/>
        </w:rPr>
        <w:t xml:space="preserve"> Island grab sample from the same high flow event in March 2016 had</w:t>
      </w:r>
      <w:r w:rsidR="00AB25BD">
        <w:rPr>
          <w:lang w:val="en-GB" w:eastAsia="en-AU"/>
        </w:rPr>
        <w:t xml:space="preserve"> a very similar pesticide profile but lower concentrations than at the river mouth, although it was</w:t>
      </w:r>
      <w:r w:rsidR="0099427D">
        <w:rPr>
          <w:lang w:val="en-GB" w:eastAsia="en-AU"/>
        </w:rPr>
        <w:t xml:space="preserve"> a notably high concentration considering its distance offshore</w:t>
      </w:r>
      <w:r w:rsidR="00AB25BD">
        <w:rPr>
          <w:lang w:val="en-GB" w:eastAsia="en-AU"/>
        </w:rPr>
        <w:t xml:space="preserve"> (</w:t>
      </w:r>
      <w:r w:rsidR="0099427D">
        <w:rPr>
          <w:lang w:val="en-GB" w:eastAsia="en-AU"/>
        </w:rPr>
        <w:t>41 ng L</w:t>
      </w:r>
      <w:r w:rsidR="0099427D" w:rsidRPr="00457A71">
        <w:rPr>
          <w:vertAlign w:val="superscript"/>
          <w:lang w:val="en-GB" w:eastAsia="en-AU"/>
        </w:rPr>
        <w:t>-1</w:t>
      </w:r>
      <w:r w:rsidR="00AB25BD">
        <w:rPr>
          <w:lang w:val="en-GB" w:eastAsia="en-AU"/>
        </w:rPr>
        <w:t>)</w:t>
      </w:r>
      <w:r w:rsidR="0099427D">
        <w:rPr>
          <w:lang w:val="en-GB" w:eastAsia="en-AU"/>
        </w:rPr>
        <w:t xml:space="preserve">. </w:t>
      </w:r>
      <w:r w:rsidR="00AB25BD">
        <w:rPr>
          <w:lang w:val="en-GB" w:eastAsia="en-AU"/>
        </w:rPr>
        <w:t>Whilst</w:t>
      </w:r>
      <w:r w:rsidR="009308E1" w:rsidRPr="009308E1">
        <w:rPr>
          <w:lang w:val="en-GB" w:eastAsia="en-AU"/>
        </w:rPr>
        <w:t xml:space="preserve"> no</w:t>
      </w:r>
      <w:r w:rsidR="009308E1">
        <w:rPr>
          <w:lang w:val="en-GB" w:eastAsia="en-AU"/>
        </w:rPr>
        <w:t xml:space="preserve"> pesticides were at</w:t>
      </w:r>
      <w:r w:rsidR="009308E1" w:rsidRPr="009308E1">
        <w:rPr>
          <w:lang w:val="en-GB" w:eastAsia="en-AU"/>
        </w:rPr>
        <w:t xml:space="preserve"> detectable levels in two grab samples from the river mouth in </w:t>
      </w:r>
      <w:r w:rsidR="009308E1" w:rsidRPr="00EE2899">
        <w:rPr>
          <w:lang w:val="en-GB" w:eastAsia="en-AU"/>
        </w:rPr>
        <w:t>2014-15, PS</w:t>
      </w:r>
      <w:r w:rsidR="00A729A4">
        <w:rPr>
          <w:lang w:val="en-GB" w:eastAsia="en-AU"/>
        </w:rPr>
        <w:t xml:space="preserve">II-HEq concentrations reached </w:t>
      </w:r>
      <w:r w:rsidR="009308E1" w:rsidRPr="00EE2899">
        <w:rPr>
          <w:lang w:val="en-GB" w:eastAsia="en-AU"/>
        </w:rPr>
        <w:t>Category 2 levels in the 2013-14 monitoring year</w:t>
      </w:r>
      <w:r w:rsidR="00EE2899" w:rsidRPr="00EE2899">
        <w:rPr>
          <w:lang w:val="en-GB" w:eastAsia="en-AU"/>
        </w:rPr>
        <w:t xml:space="preserve"> (</w:t>
      </w:r>
      <w:r w:rsidR="00B425D0">
        <w:rPr>
          <w:lang w:val="en-GB" w:eastAsia="en-AU"/>
        </w:rPr>
        <w:fldChar w:fldCharType="begin"/>
      </w:r>
      <w:r w:rsidR="00B425D0">
        <w:rPr>
          <w:lang w:val="en-GB" w:eastAsia="en-AU"/>
        </w:rPr>
        <w:instrText xml:space="preserve"> REF _Ref335637596 \n \h </w:instrText>
      </w:r>
      <w:r w:rsidR="00B425D0">
        <w:rPr>
          <w:lang w:val="en-GB" w:eastAsia="en-AU"/>
        </w:rPr>
      </w:r>
      <w:r w:rsidR="00B425D0">
        <w:rPr>
          <w:lang w:val="en-GB" w:eastAsia="en-AU"/>
        </w:rPr>
        <w:fldChar w:fldCharType="separate"/>
      </w:r>
      <w:r w:rsidR="00D12276">
        <w:rPr>
          <w:lang w:val="en-GB" w:eastAsia="en-AU"/>
        </w:rPr>
        <w:t xml:space="preserve">Appendix F </w:t>
      </w:r>
      <w:r w:rsidR="00B425D0">
        <w:rPr>
          <w:lang w:val="en-GB" w:eastAsia="en-AU"/>
        </w:rPr>
        <w:fldChar w:fldCharType="end"/>
      </w:r>
      <w:r w:rsidR="002A77E1">
        <w:fldChar w:fldCharType="begin"/>
      </w:r>
      <w:r w:rsidR="002A77E1">
        <w:instrText xml:space="preserve"> REF _Ref480747573 \h  \* MERGEFORMAT </w:instrText>
      </w:r>
      <w:r w:rsidR="002A77E1">
        <w:fldChar w:fldCharType="separate"/>
      </w:r>
      <w:r w:rsidR="00D12276">
        <w:t xml:space="preserve">Figure </w:t>
      </w:r>
      <w:r w:rsidR="00D12276">
        <w:rPr>
          <w:noProof/>
        </w:rPr>
        <w:t>F</w:t>
      </w:r>
      <w:r w:rsidR="00D12276">
        <w:rPr>
          <w:noProof/>
        </w:rPr>
        <w:noBreakHyphen/>
        <w:t>2</w:t>
      </w:r>
      <w:r w:rsidR="002A77E1">
        <w:fldChar w:fldCharType="end"/>
      </w:r>
      <w:r w:rsidR="00EE2899" w:rsidRPr="00EE2899">
        <w:rPr>
          <w:lang w:val="en-GB" w:eastAsia="en-AU"/>
        </w:rPr>
        <w:t xml:space="preserve">) when both diuron and metolachlor exceeded the low reliability IWLs for marine waters </w:t>
      </w:r>
      <w:r w:rsidR="00C91BF5" w:rsidRPr="00EE2899">
        <w:rPr>
          <w:lang w:val="en-GB" w:eastAsia="en-AU"/>
        </w:rPr>
        <w:fldChar w:fldCharType="begin"/>
      </w:r>
      <w:r w:rsidR="009D4492">
        <w:rPr>
          <w:lang w:val="en-GB" w:eastAsia="en-AU"/>
        </w:rPr>
        <w:instrText xml:space="preserve"> ADDIN EN.CITE &lt;EndNote&gt;&lt;Cite&gt;&lt;Author&gt;ANZECC&lt;/Author&gt;&lt;Year&gt;2000&lt;/Year&gt;&lt;RecNum&gt;26&lt;/RecNum&gt;&lt;DisplayText&gt;(ANZECC and ARMCANZ, 2000a, Gallen et al., 2014)&lt;/DisplayText&gt;&lt;record&gt;&lt;rec-number&gt;26&lt;/rec-number&gt;&lt;foreign-keys&gt;&lt;key app="EN" db-id="vvtrt2pt4xpx5teta99vvtwg50vzve2aexae" timestamp="1493157355"&gt;26&lt;/key&gt;&lt;/foreign-keys&gt;&lt;ref-type name="Report"&gt;27&lt;/ref-type&gt;&lt;contributors&gt;&lt;authors&gt;&lt;author&gt;ANZECC&lt;/author&gt;&lt;author&gt;ARMCANZ&lt;/author&gt;&lt;/authors&gt;&lt;/contributors&gt;&lt;titles&gt;&lt;title&gt;Australian and New Zealand Guidelines for Fresh and Marine Water Quality. Volume 1. The Guidelines (Chapters 1-7). National Water Quality Management Strategy Paper No. 4.&lt;/title&gt;&lt;/titles&gt;&lt;volume&gt;1&lt;/volume&gt;&lt;dates&gt;&lt;year&gt;2000&lt;/year&gt;&lt;/dates&gt;&lt;pub-location&gt;Australian &amp;amp; New Zealand Environment &amp;amp; Conservation Council and the Agriculture &amp;amp; Resource Management Council of Australia &amp;amp; New Zealand.&lt;/pub-location&gt;&lt;urls&gt;&lt;/urls&gt;&lt;/record&gt;&lt;/Cite&gt;&lt;Cite&gt;&lt;Author&gt;Gallen&lt;/Author&gt;&lt;Year&gt;2014&lt;/Year&gt;&lt;RecNum&gt;18&lt;/RecNum&gt;&lt;record&gt;&lt;rec-number&gt;18&lt;/rec-number&gt;&lt;foreign-keys&gt;&lt;key app="EN" db-id="vvtrt2pt4xpx5teta99vvtwg50vzve2aexae" timestamp="1493157346"&gt;18&lt;/key&gt;&lt;/foreign-keys&gt;&lt;ref-type name="Report"&gt;27&lt;/ref-type&gt;&lt;contributors&gt;&lt;authors&gt;&lt;author&gt;Gallen, C&lt;/author&gt;&lt;author&gt;Devlin, M&lt;/author&gt;&lt;author&gt;Thompson, K&lt;/author&gt;&lt;author&gt;Paxman, C&lt;/author&gt;&lt;author&gt;Mueller, J&lt;/author&gt;&lt;/authors&gt;&lt;/contributors&gt;&lt;titles&gt;&lt;title&gt;Pesticide monitoring in inshore waters of the Great Barrier Reef using both time-integrated and event monitoring techniques (2013-2014)&lt;/title&gt;&lt;/titles&gt;&lt;dates&gt;&lt;year&gt;2014&lt;/year&gt;&lt;/dates&gt;&lt;pub-location&gt;The University of Queensland, The National Research Centre for Environmental Toxicology (Entox)&lt;/pub-location&gt;&lt;urls&gt;&lt;/urls&gt;&lt;/record&gt;&lt;/Cite&gt;&lt;/EndNote&gt;</w:instrText>
      </w:r>
      <w:r w:rsidR="00C91BF5" w:rsidRPr="00EE2899">
        <w:rPr>
          <w:lang w:val="en-GB" w:eastAsia="en-AU"/>
        </w:rPr>
        <w:fldChar w:fldCharType="separate"/>
      </w:r>
      <w:r w:rsidR="009D4492">
        <w:rPr>
          <w:noProof/>
          <w:lang w:val="en-GB" w:eastAsia="en-AU"/>
        </w:rPr>
        <w:t>(ANZECC and ARMCANZ, 2000a, Gallen et al., 2014)</w:t>
      </w:r>
      <w:r w:rsidR="00C91BF5" w:rsidRPr="00EE2899">
        <w:rPr>
          <w:lang w:val="en-GB" w:eastAsia="en-AU"/>
        </w:rPr>
        <w:fldChar w:fldCharType="end"/>
      </w:r>
      <w:r w:rsidR="00EE2899" w:rsidRPr="00EE2899">
        <w:rPr>
          <w:lang w:val="en-GB" w:eastAsia="en-AU"/>
        </w:rPr>
        <w:t xml:space="preserve">. </w:t>
      </w:r>
      <w:r w:rsidR="00A729A4">
        <w:rPr>
          <w:lang w:val="en-GB" w:eastAsia="en-AU"/>
        </w:rPr>
        <w:t>Concentrations in the lat</w:t>
      </w:r>
      <w:r w:rsidR="005D127F">
        <w:rPr>
          <w:lang w:val="en-GB" w:eastAsia="en-AU"/>
        </w:rPr>
        <w:t xml:space="preserve">er months of the </w:t>
      </w:r>
      <w:r w:rsidR="00AB25BD">
        <w:rPr>
          <w:lang w:val="en-GB" w:eastAsia="en-AU"/>
        </w:rPr>
        <w:t xml:space="preserve">2015-16 </w:t>
      </w:r>
      <w:r w:rsidR="005D127F">
        <w:rPr>
          <w:lang w:val="en-GB" w:eastAsia="en-AU"/>
        </w:rPr>
        <w:t>wet season remained elevated at all sites, although lower than during the first major flow event, and pesticide levels were similar at both Dunk and Bedarra Islands at both subsequent sampling events</w:t>
      </w:r>
      <w:r w:rsidR="00A729A4">
        <w:rPr>
          <w:lang w:val="en-GB" w:eastAsia="en-AU"/>
        </w:rPr>
        <w:t xml:space="preserve"> </w:t>
      </w:r>
      <w:r w:rsidR="00A729A4" w:rsidRPr="009308E1">
        <w:rPr>
          <w:lang w:val="en-GB" w:eastAsia="en-AU"/>
        </w:rPr>
        <w:t>(</w:t>
      </w:r>
      <w:r w:rsidR="002A77E1">
        <w:fldChar w:fldCharType="begin"/>
      </w:r>
      <w:r w:rsidR="002A77E1">
        <w:instrText xml:space="preserve"> REF _Ref480726395 \h  \* MERGEFORMAT </w:instrText>
      </w:r>
      <w:r w:rsidR="002A77E1">
        <w:fldChar w:fldCharType="separate"/>
      </w:r>
      <w:r w:rsidR="00D12276">
        <w:t xml:space="preserve">Table </w:t>
      </w:r>
      <w:r w:rsidR="00D12276">
        <w:rPr>
          <w:noProof/>
        </w:rPr>
        <w:t>G</w:t>
      </w:r>
      <w:r w:rsidR="00D12276">
        <w:rPr>
          <w:noProof/>
        </w:rPr>
        <w:noBreakHyphen/>
        <w:t>1</w:t>
      </w:r>
      <w:r w:rsidR="002A77E1">
        <w:fldChar w:fldCharType="end"/>
      </w:r>
      <w:r w:rsidR="00A729A4" w:rsidRPr="009308E1">
        <w:rPr>
          <w:lang w:val="en-GB" w:eastAsia="en-AU"/>
        </w:rPr>
        <w:t>)</w:t>
      </w:r>
      <w:r w:rsidR="005D127F">
        <w:rPr>
          <w:lang w:val="en-GB" w:eastAsia="en-AU"/>
        </w:rPr>
        <w:t xml:space="preserve">. Diuron, atrazine, </w:t>
      </w:r>
      <w:r w:rsidR="009308E1">
        <w:rPr>
          <w:lang w:val="en-GB" w:eastAsia="en-AU"/>
        </w:rPr>
        <w:t>hexazinone</w:t>
      </w:r>
      <w:r w:rsidR="005D127F">
        <w:rPr>
          <w:lang w:val="en-GB" w:eastAsia="en-AU"/>
        </w:rPr>
        <w:t xml:space="preserve"> and </w:t>
      </w:r>
      <w:r w:rsidR="009308E1">
        <w:rPr>
          <w:lang w:val="en-GB" w:eastAsia="en-AU"/>
        </w:rPr>
        <w:t xml:space="preserve">imidacloprid were the most frequently detected </w:t>
      </w:r>
      <w:r w:rsidR="008148B4">
        <w:rPr>
          <w:lang w:val="en-GB" w:eastAsia="en-AU"/>
        </w:rPr>
        <w:t xml:space="preserve">pesticides </w:t>
      </w:r>
      <w:r w:rsidR="009308E1">
        <w:rPr>
          <w:lang w:val="en-GB" w:eastAsia="en-AU"/>
        </w:rPr>
        <w:t>in all the grab samples.</w:t>
      </w:r>
    </w:p>
    <w:p w14:paraId="15720FF0" w14:textId="77777777" w:rsidR="0059608E" w:rsidRPr="0099427D" w:rsidRDefault="0059608E" w:rsidP="00220439">
      <w:pPr>
        <w:pStyle w:val="Heading30"/>
        <w:numPr>
          <w:ilvl w:val="2"/>
          <w:numId w:val="1"/>
        </w:numPr>
      </w:pPr>
      <w:bookmarkStart w:id="583" w:name="_Toc455069470"/>
      <w:bookmarkStart w:id="584" w:name="_Toc455070120"/>
      <w:bookmarkStart w:id="585" w:name="_Toc455070392"/>
      <w:bookmarkStart w:id="586" w:name="_Toc455151779"/>
      <w:bookmarkStart w:id="587" w:name="_Toc455069471"/>
      <w:bookmarkStart w:id="588" w:name="_Toc455070121"/>
      <w:bookmarkStart w:id="589" w:name="_Toc455070393"/>
      <w:bookmarkStart w:id="590" w:name="_Toc455151780"/>
      <w:bookmarkStart w:id="591" w:name="_Toc461457774"/>
      <w:bookmarkStart w:id="592" w:name="_Toc502500020"/>
      <w:bookmarkEnd w:id="583"/>
      <w:bookmarkEnd w:id="584"/>
      <w:bookmarkEnd w:id="585"/>
      <w:bookmarkEnd w:id="586"/>
      <w:bookmarkEnd w:id="587"/>
      <w:bookmarkEnd w:id="588"/>
      <w:bookmarkEnd w:id="589"/>
      <w:bookmarkEnd w:id="590"/>
      <w:r w:rsidRPr="0099427D">
        <w:t>Burdekin Region</w:t>
      </w:r>
      <w:bookmarkEnd w:id="591"/>
      <w:bookmarkEnd w:id="592"/>
    </w:p>
    <w:p w14:paraId="15720FF1" w14:textId="2100B384" w:rsidR="006B795E" w:rsidRDefault="00F42DDB" w:rsidP="006B795E">
      <w:pPr>
        <w:spacing w:line="276" w:lineRule="auto"/>
        <w:rPr>
          <w:lang w:val="en-AU"/>
        </w:rPr>
      </w:pPr>
      <w:r w:rsidRPr="00F42DDB">
        <w:rPr>
          <w:lang w:val="en-AU"/>
        </w:rPr>
        <w:t>The Burdekin River is historically the river with the highest long-term median discharge volume, however above median discharge is intermittent and highly reliant on large rainfall events in the catchment</w:t>
      </w:r>
      <w:r>
        <w:rPr>
          <w:lang w:val="en-AU"/>
        </w:rPr>
        <w:t xml:space="preserve">. </w:t>
      </w:r>
      <w:r w:rsidR="00DB46D4">
        <w:rPr>
          <w:lang w:val="en-AU"/>
        </w:rPr>
        <w:t>I</w:t>
      </w:r>
      <w:r w:rsidR="00856D18">
        <w:rPr>
          <w:lang w:val="en-AU"/>
        </w:rPr>
        <w:t xml:space="preserve">n </w:t>
      </w:r>
      <w:r w:rsidR="00070AE2">
        <w:rPr>
          <w:lang w:val="en-AU"/>
        </w:rPr>
        <w:t>2015-16</w:t>
      </w:r>
      <w:r w:rsidR="00856D18">
        <w:rPr>
          <w:lang w:val="en-AU"/>
        </w:rPr>
        <w:t xml:space="preserve">, </w:t>
      </w:r>
      <w:r w:rsidR="006B795E">
        <w:rPr>
          <w:lang w:val="en-AU"/>
        </w:rPr>
        <w:t xml:space="preserve">discharge from </w:t>
      </w:r>
      <w:r w:rsidR="00DB46D4">
        <w:rPr>
          <w:lang w:val="en-AU"/>
        </w:rPr>
        <w:t xml:space="preserve">the Burdekin River </w:t>
      </w:r>
      <w:r w:rsidR="006B795E">
        <w:rPr>
          <w:lang w:val="en-AU"/>
        </w:rPr>
        <w:t xml:space="preserve">to the Reef lagoon </w:t>
      </w:r>
      <w:r w:rsidR="00DB46D4">
        <w:rPr>
          <w:lang w:val="en-AU"/>
        </w:rPr>
        <w:t>was double the previous year but still very low compared to the long-term average (0.4 times average,</w:t>
      </w:r>
      <w:r w:rsidR="00DB46D4" w:rsidRPr="00DB46D4">
        <w:rPr>
          <w:lang w:val="en-AU"/>
        </w:rPr>
        <w:t xml:space="preserve"> </w:t>
      </w:r>
      <w:r w:rsidR="002A77E1">
        <w:fldChar w:fldCharType="begin"/>
      </w:r>
      <w:r w:rsidR="002A77E1">
        <w:instrText xml:space="preserve"> REF _Ref480727555 \h  \* MERGEFORMAT </w:instrText>
      </w:r>
      <w:r w:rsidR="002A77E1">
        <w:fldChar w:fldCharType="separate"/>
      </w:r>
      <w:r w:rsidR="00D12276" w:rsidRPr="00210B7C">
        <w:t xml:space="preserve">Table </w:t>
      </w:r>
      <w:r w:rsidR="00D12276" w:rsidRPr="00D12276">
        <w:t>5</w:t>
      </w:r>
      <w:r w:rsidR="002A77E1">
        <w:fldChar w:fldCharType="end"/>
      </w:r>
      <w:r w:rsidR="00DB46D4">
        <w:rPr>
          <w:lang w:val="en-AU"/>
        </w:rPr>
        <w:t xml:space="preserve">). </w:t>
      </w:r>
      <w:r w:rsidR="00EA7960">
        <w:rPr>
          <w:lang w:val="en-AU"/>
        </w:rPr>
        <w:t>Following a first flush in November 2015, t</w:t>
      </w:r>
      <w:r w:rsidR="00DB46D4">
        <w:rPr>
          <w:lang w:val="en-AU"/>
        </w:rPr>
        <w:t xml:space="preserve">wo main </w:t>
      </w:r>
      <w:r w:rsidR="00EA7960">
        <w:rPr>
          <w:lang w:val="en-AU"/>
        </w:rPr>
        <w:t>flow</w:t>
      </w:r>
      <w:r w:rsidR="00DB46D4">
        <w:rPr>
          <w:lang w:val="en-AU"/>
        </w:rPr>
        <w:t xml:space="preserve"> </w:t>
      </w:r>
      <w:r w:rsidR="00903A83">
        <w:rPr>
          <w:lang w:val="en-AU"/>
        </w:rPr>
        <w:t xml:space="preserve">events </w:t>
      </w:r>
      <w:r w:rsidR="00DB46D4">
        <w:rPr>
          <w:lang w:val="en-AU"/>
        </w:rPr>
        <w:t xml:space="preserve">occurred in early January and early February 2016 and </w:t>
      </w:r>
      <w:r w:rsidR="0099427D">
        <w:rPr>
          <w:lang w:val="en-AU"/>
        </w:rPr>
        <w:t xml:space="preserve">river </w:t>
      </w:r>
      <w:r w:rsidR="00DB46D4">
        <w:rPr>
          <w:lang w:val="en-AU"/>
        </w:rPr>
        <w:t>flow was minimal for the remainder of the year (</w:t>
      </w:r>
      <w:r w:rsidR="0099427D" w:rsidRPr="0099427D">
        <w:rPr>
          <w:lang w:val="en-AU"/>
        </w:rPr>
        <w:fldChar w:fldCharType="begin"/>
      </w:r>
      <w:r w:rsidR="0099427D" w:rsidRPr="0099427D">
        <w:rPr>
          <w:lang w:val="en-AU"/>
        </w:rPr>
        <w:instrText xml:space="preserve"> REF _Ref502034000 \h  \* MERGEFORMAT </w:instrText>
      </w:r>
      <w:r w:rsidR="0099427D" w:rsidRPr="0099427D">
        <w:rPr>
          <w:lang w:val="en-AU"/>
        </w:rPr>
      </w:r>
      <w:r w:rsidR="0099427D" w:rsidRPr="0099427D">
        <w:rPr>
          <w:lang w:val="en-AU"/>
        </w:rPr>
        <w:fldChar w:fldCharType="separate"/>
      </w:r>
      <w:r w:rsidR="00D12276" w:rsidRPr="00747824">
        <w:t xml:space="preserve">Figure </w:t>
      </w:r>
      <w:r w:rsidR="00D12276" w:rsidRPr="00D12276">
        <w:rPr>
          <w:noProof/>
        </w:rPr>
        <w:t>12</w:t>
      </w:r>
      <w:r w:rsidR="0099427D" w:rsidRPr="0099427D">
        <w:rPr>
          <w:lang w:val="en-AU"/>
        </w:rPr>
        <w:fldChar w:fldCharType="end"/>
      </w:r>
      <w:r w:rsidR="00DB46D4">
        <w:rPr>
          <w:lang w:val="en-AU"/>
        </w:rPr>
        <w:t>)</w:t>
      </w:r>
      <w:r w:rsidR="006B795E">
        <w:rPr>
          <w:lang w:val="en-AU"/>
        </w:rPr>
        <w:t xml:space="preserve">. </w:t>
      </w:r>
      <w:r w:rsidR="00EA7960">
        <w:rPr>
          <w:lang w:val="en-AU"/>
        </w:rPr>
        <w:t>Sampling data were not available for the first flush event, and p</w:t>
      </w:r>
      <w:r w:rsidR="006B795E">
        <w:rPr>
          <w:lang w:val="en-AU"/>
        </w:rPr>
        <w:t>eak concentrations of</w:t>
      </w:r>
      <w:r w:rsidR="00856D18">
        <w:rPr>
          <w:lang w:val="en-AU"/>
        </w:rPr>
        <w:t xml:space="preserve"> PSII herbicides </w:t>
      </w:r>
      <w:r w:rsidR="006B795E">
        <w:rPr>
          <w:lang w:val="en-AU"/>
        </w:rPr>
        <w:t xml:space="preserve">at Barratta Creek monitoring site </w:t>
      </w:r>
      <w:r w:rsidR="00903A83">
        <w:rPr>
          <w:lang w:val="en-AU"/>
        </w:rPr>
        <w:t>were associated with</w:t>
      </w:r>
      <w:r w:rsidR="006B795E">
        <w:rPr>
          <w:lang w:val="en-AU"/>
        </w:rPr>
        <w:t xml:space="preserve"> the January </w:t>
      </w:r>
      <w:r w:rsidR="0099427D">
        <w:rPr>
          <w:lang w:val="en-AU"/>
        </w:rPr>
        <w:t>high flow event (</w:t>
      </w:r>
      <w:bookmarkStart w:id="593" w:name="OLE_LINK4"/>
      <w:r w:rsidR="0099427D" w:rsidRPr="0099427D">
        <w:rPr>
          <w:lang w:val="en-AU"/>
        </w:rPr>
        <w:fldChar w:fldCharType="begin"/>
      </w:r>
      <w:r w:rsidR="0099427D" w:rsidRPr="0099427D">
        <w:rPr>
          <w:lang w:val="en-AU"/>
        </w:rPr>
        <w:instrText xml:space="preserve"> REF _Ref502034000 \h  \* MERGEFORMAT </w:instrText>
      </w:r>
      <w:r w:rsidR="0099427D" w:rsidRPr="0099427D">
        <w:rPr>
          <w:lang w:val="en-AU"/>
        </w:rPr>
      </w:r>
      <w:r w:rsidR="0099427D" w:rsidRPr="0099427D">
        <w:rPr>
          <w:lang w:val="en-AU"/>
        </w:rPr>
        <w:fldChar w:fldCharType="separate"/>
      </w:r>
      <w:r w:rsidR="00D12276" w:rsidRPr="00747824">
        <w:t xml:space="preserve">Figure </w:t>
      </w:r>
      <w:r w:rsidR="00D12276" w:rsidRPr="00D12276">
        <w:rPr>
          <w:noProof/>
        </w:rPr>
        <w:t>12</w:t>
      </w:r>
      <w:r w:rsidR="0099427D" w:rsidRPr="0099427D">
        <w:rPr>
          <w:lang w:val="en-AU"/>
        </w:rPr>
        <w:fldChar w:fldCharType="end"/>
      </w:r>
      <w:r w:rsidR="00D15EB4">
        <w:rPr>
          <w:lang w:val="en-AU"/>
        </w:rPr>
        <w:t xml:space="preserve"> A</w:t>
      </w:r>
      <w:bookmarkEnd w:id="593"/>
      <w:r w:rsidR="0099427D">
        <w:rPr>
          <w:lang w:val="en-AU"/>
        </w:rPr>
        <w:t>)</w:t>
      </w:r>
      <w:r w:rsidR="006B795E">
        <w:rPr>
          <w:lang w:val="en-AU"/>
        </w:rPr>
        <w:t xml:space="preserve">. The current year PSII-HEq Max was higher than the previous </w:t>
      </w:r>
      <w:r w:rsidR="00E5271A">
        <w:rPr>
          <w:lang w:val="en-AU"/>
        </w:rPr>
        <w:t>year</w:t>
      </w:r>
      <w:r w:rsidR="006B795E">
        <w:rPr>
          <w:lang w:val="en-AU"/>
        </w:rPr>
        <w:t xml:space="preserve"> (which was the first year monitored</w:t>
      </w:r>
      <w:r w:rsidR="006B795E" w:rsidRPr="006B795E">
        <w:rPr>
          <w:lang w:val="en-AU"/>
        </w:rPr>
        <w:t xml:space="preserve">; </w:t>
      </w:r>
      <w:r w:rsidR="002A77E1">
        <w:fldChar w:fldCharType="begin"/>
      </w:r>
      <w:r w:rsidR="002A77E1">
        <w:instrText xml:space="preserve"> REF _Ref480735691 \h  \* MERGEFORMAT </w:instrText>
      </w:r>
      <w:r w:rsidR="002A77E1">
        <w:fldChar w:fldCharType="separate"/>
      </w:r>
      <w:r w:rsidR="00D12276" w:rsidRPr="00210B7C">
        <w:t xml:space="preserve">Table </w:t>
      </w:r>
      <w:r w:rsidR="00D12276" w:rsidRPr="00D12276">
        <w:rPr>
          <w:noProof/>
        </w:rPr>
        <w:t>9</w:t>
      </w:r>
      <w:r w:rsidR="002A77E1">
        <w:fldChar w:fldCharType="end"/>
      </w:r>
      <w:r w:rsidR="006B795E">
        <w:rPr>
          <w:lang w:val="en-AU"/>
        </w:rPr>
        <w:t>), but as discussed above, comparisons to previous years are complicated by missing samplers during the heaviest rain period in 2014-15 (</w:t>
      </w:r>
      <w:r w:rsidR="0099427D">
        <w:rPr>
          <w:lang w:val="en-AU"/>
        </w:rPr>
        <w:t xml:space="preserve">for historical data </w:t>
      </w:r>
      <w:r w:rsidR="00856D18">
        <w:rPr>
          <w:lang w:val="en-AU"/>
        </w:rPr>
        <w:t>see</w:t>
      </w:r>
      <w:r w:rsidR="006B795E">
        <w:rPr>
          <w:lang w:val="en-AU"/>
        </w:rPr>
        <w:t xml:space="preserve"> </w:t>
      </w:r>
      <w:r w:rsidR="0099427D">
        <w:rPr>
          <w:lang w:val="en-AU"/>
        </w:rPr>
        <w:fldChar w:fldCharType="begin"/>
      </w:r>
      <w:r w:rsidR="0099427D">
        <w:rPr>
          <w:lang w:val="en-AU"/>
        </w:rPr>
        <w:instrText xml:space="preserve"> REF _Ref502034119 \n \h </w:instrText>
      </w:r>
      <w:r w:rsidR="0099427D">
        <w:rPr>
          <w:lang w:val="en-AU"/>
        </w:rPr>
      </w:r>
      <w:r w:rsidR="0099427D">
        <w:rPr>
          <w:lang w:val="en-AU"/>
        </w:rPr>
        <w:fldChar w:fldCharType="separate"/>
      </w:r>
      <w:r w:rsidR="00D12276">
        <w:rPr>
          <w:lang w:val="en-AU"/>
        </w:rPr>
        <w:t xml:space="preserve">Appendix H </w:t>
      </w:r>
      <w:r w:rsidR="0099427D">
        <w:rPr>
          <w:lang w:val="en-AU"/>
        </w:rPr>
        <w:fldChar w:fldCharType="end"/>
      </w:r>
      <w:r w:rsidR="00C91BF5">
        <w:rPr>
          <w:lang w:val="en-AU"/>
        </w:rPr>
        <w:fldChar w:fldCharType="begin"/>
      </w:r>
      <w:r w:rsidR="006B795E">
        <w:rPr>
          <w:lang w:val="en-AU"/>
        </w:rPr>
        <w:instrText xml:space="preserve"> REF _Ref480735415 \h </w:instrText>
      </w:r>
      <w:r w:rsidR="00C91BF5">
        <w:rPr>
          <w:lang w:val="en-AU"/>
        </w:rPr>
      </w:r>
      <w:r w:rsidR="00C91BF5">
        <w:rPr>
          <w:lang w:val="en-AU"/>
        </w:rPr>
        <w:fldChar w:fldCharType="separate"/>
      </w:r>
      <w:r w:rsidR="00D12276">
        <w:t xml:space="preserve">Figure </w:t>
      </w:r>
      <w:r w:rsidR="00D12276">
        <w:rPr>
          <w:noProof/>
        </w:rPr>
        <w:t>H</w:t>
      </w:r>
      <w:r w:rsidR="00D12276">
        <w:noBreakHyphen/>
      </w:r>
      <w:r w:rsidR="00D12276">
        <w:rPr>
          <w:noProof/>
        </w:rPr>
        <w:t>6</w:t>
      </w:r>
      <w:r w:rsidR="00C91BF5">
        <w:rPr>
          <w:lang w:val="en-AU"/>
        </w:rPr>
        <w:fldChar w:fldCharType="end"/>
      </w:r>
      <w:r w:rsidR="00856D18">
        <w:rPr>
          <w:lang w:val="en-AU"/>
        </w:rPr>
        <w:t xml:space="preserve">). </w:t>
      </w:r>
    </w:p>
    <w:p w14:paraId="15720FF2" w14:textId="77777777" w:rsidR="006B795E" w:rsidRDefault="006B795E" w:rsidP="006B795E">
      <w:pPr>
        <w:spacing w:line="276" w:lineRule="auto"/>
        <w:rPr>
          <w:lang w:val="en-AU"/>
        </w:rPr>
      </w:pPr>
    </w:p>
    <w:p w14:paraId="48FA0AB3" w14:textId="032E772A" w:rsidR="00755AEF" w:rsidRPr="00747824" w:rsidRDefault="00755AEF" w:rsidP="00755AEF">
      <w:pPr>
        <w:pStyle w:val="Caption"/>
        <w:keepNext/>
        <w:spacing w:after="120" w:line="276" w:lineRule="auto"/>
        <w:rPr>
          <w:b w:val="0"/>
        </w:rPr>
      </w:pPr>
      <w:bookmarkStart w:id="594" w:name="_Ref480735691"/>
      <w:bookmarkStart w:id="595" w:name="_Toc502499867"/>
      <w:r w:rsidRPr="00210B7C">
        <w:rPr>
          <w:b w:val="0"/>
        </w:rPr>
        <w:lastRenderedPageBreak/>
        <w:t xml:space="preserve">Table </w:t>
      </w:r>
      <w:r w:rsidRPr="00210B7C">
        <w:rPr>
          <w:b w:val="0"/>
        </w:rPr>
        <w:fldChar w:fldCharType="begin"/>
      </w:r>
      <w:r w:rsidRPr="00210B7C">
        <w:rPr>
          <w:b w:val="0"/>
        </w:rPr>
        <w:instrText xml:space="preserve"> SEQ Table \* ARABIC </w:instrText>
      </w:r>
      <w:r w:rsidRPr="00210B7C">
        <w:rPr>
          <w:b w:val="0"/>
        </w:rPr>
        <w:fldChar w:fldCharType="separate"/>
      </w:r>
      <w:r w:rsidR="00D12276">
        <w:rPr>
          <w:b w:val="0"/>
          <w:noProof/>
        </w:rPr>
        <w:t>9</w:t>
      </w:r>
      <w:r w:rsidRPr="00210B7C">
        <w:rPr>
          <w:b w:val="0"/>
        </w:rPr>
        <w:fldChar w:fldCharType="end"/>
      </w:r>
      <w:bookmarkEnd w:id="594"/>
      <w:r>
        <w:rPr>
          <w:b w:val="0"/>
        </w:rPr>
        <w:t xml:space="preserve">: </w:t>
      </w:r>
      <w:r w:rsidRPr="00747824">
        <w:rPr>
          <w:b w:val="0"/>
        </w:rPr>
        <w:t xml:space="preserve">Summary statistics for the </w:t>
      </w:r>
      <w:r>
        <w:rPr>
          <w:b w:val="0"/>
        </w:rPr>
        <w:t xml:space="preserve">maximum </w:t>
      </w:r>
      <w:r w:rsidRPr="00747824">
        <w:rPr>
          <w:b w:val="0"/>
        </w:rPr>
        <w:t xml:space="preserve">and Wet </w:t>
      </w:r>
      <w:r>
        <w:rPr>
          <w:b w:val="0"/>
        </w:rPr>
        <w:t>and Dry Season a</w:t>
      </w:r>
      <w:r w:rsidRPr="00747824">
        <w:rPr>
          <w:b w:val="0"/>
        </w:rPr>
        <w:t>v</w:t>
      </w:r>
      <w:r>
        <w:rPr>
          <w:b w:val="0"/>
        </w:rPr>
        <w:t>erage</w:t>
      </w:r>
      <w:r w:rsidRPr="00747824">
        <w:rPr>
          <w:b w:val="0"/>
        </w:rPr>
        <w:t xml:space="preserve"> PSII-</w:t>
      </w:r>
      <w:r>
        <w:rPr>
          <w:b w:val="0"/>
        </w:rPr>
        <w:t>HEq</w:t>
      </w:r>
      <w:r w:rsidRPr="00747824">
        <w:rPr>
          <w:b w:val="0"/>
        </w:rPr>
        <w:t xml:space="preserve"> </w:t>
      </w:r>
      <w:r>
        <w:rPr>
          <w:b w:val="0"/>
        </w:rPr>
        <w:t xml:space="preserve">concentrations </w:t>
      </w:r>
      <w:r w:rsidRPr="00747824">
        <w:rPr>
          <w:b w:val="0"/>
        </w:rPr>
        <w:t>(ng L</w:t>
      </w:r>
      <w:r w:rsidRPr="00224A32">
        <w:rPr>
          <w:b w:val="0"/>
          <w:vertAlign w:val="superscript"/>
        </w:rPr>
        <w:t>-1</w:t>
      </w:r>
      <w:r w:rsidRPr="00747824">
        <w:rPr>
          <w:b w:val="0"/>
        </w:rPr>
        <w:t>) since monitoring commenced in the Burdekin region</w:t>
      </w:r>
      <w:r>
        <w:rPr>
          <w:b w:val="0"/>
        </w:rPr>
        <w:t>.</w:t>
      </w:r>
      <w:r w:rsidRPr="00DB6662">
        <w:t xml:space="preserve"> </w:t>
      </w:r>
      <w:r w:rsidRPr="00DB6662">
        <w:rPr>
          <w:b w:val="0"/>
        </w:rPr>
        <w:t>Block colours indicate the maximum PSII-HEq Index category for that year</w:t>
      </w:r>
      <w:bookmarkEnd w:id="595"/>
    </w:p>
    <w:p w14:paraId="3B79498C" w14:textId="77777777" w:rsidR="00755AEF" w:rsidRPr="00856B5A" w:rsidRDefault="00755AEF" w:rsidP="00755AEF">
      <w:pPr>
        <w:pStyle w:val="Caption"/>
        <w:spacing w:line="276" w:lineRule="auto"/>
        <w:jc w:val="center"/>
      </w:pPr>
      <w:r w:rsidRPr="00DB6662">
        <w:rPr>
          <w:noProof/>
          <w:lang w:val="en-AU" w:eastAsia="en-AU" w:bidi="ar-SA"/>
        </w:rPr>
        <w:drawing>
          <wp:inline distT="0" distB="0" distL="0" distR="0" wp14:anchorId="2F6800F1" wp14:editId="001B6040">
            <wp:extent cx="6646545" cy="1675483"/>
            <wp:effectExtent l="0" t="0" r="1905" b="1270"/>
            <wp:docPr id="45" name="Picture 45" descr="Table 9: Summary statistics for the maximum and Wet and Dry Season average PSII-HEq concentrations since monitoring commenced in the Burdekin. All values have been cateogry 4 or 5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646545" cy="1675483"/>
                    </a:xfrm>
                    <a:prstGeom prst="rect">
                      <a:avLst/>
                    </a:prstGeom>
                    <a:noFill/>
                    <a:ln>
                      <a:noFill/>
                    </a:ln>
                  </pic:spPr>
                </pic:pic>
              </a:graphicData>
            </a:graphic>
          </wp:inline>
        </w:drawing>
      </w:r>
    </w:p>
    <w:p w14:paraId="37075581" w14:textId="77777777" w:rsidR="00755AEF" w:rsidRDefault="00755AEF" w:rsidP="00755AEF">
      <w:pPr>
        <w:spacing w:line="276" w:lineRule="auto"/>
        <w:rPr>
          <w:sz w:val="18"/>
          <w:szCs w:val="18"/>
          <w:lang w:val="en-AU" w:eastAsia="en-AU"/>
        </w:rPr>
      </w:pPr>
    </w:p>
    <w:p w14:paraId="789E55E2" w14:textId="4721CD26" w:rsidR="00755AEF" w:rsidRDefault="00E714D0" w:rsidP="00755AEF">
      <w:pPr>
        <w:spacing w:line="276" w:lineRule="auto"/>
        <w:jc w:val="center"/>
        <w:rPr>
          <w:sz w:val="18"/>
          <w:szCs w:val="18"/>
          <w:lang w:val="en-AU" w:eastAsia="en-AU"/>
        </w:rPr>
      </w:pPr>
      <w:r w:rsidRPr="00E714D0">
        <w:rPr>
          <w:noProof/>
          <w:lang w:val="en-AU" w:eastAsia="en-AU" w:bidi="ar-SA"/>
        </w:rPr>
        <w:drawing>
          <wp:inline distT="0" distB="0" distL="0" distR="0" wp14:anchorId="401BFE6B" wp14:editId="16E233E3">
            <wp:extent cx="6660000" cy="4244835"/>
            <wp:effectExtent l="0" t="0" r="0" b="3810"/>
            <wp:docPr id="21" name="Picture 21" descr="Figure 12: The graphs plot both river flow (in megaliters per day)  influencing the Burdekin sampling site and the measured PSII-HEq concentrations in the passive and grab samples for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660000" cy="4244835"/>
                    </a:xfrm>
                    <a:prstGeom prst="rect">
                      <a:avLst/>
                    </a:prstGeom>
                    <a:noFill/>
                    <a:ln>
                      <a:noFill/>
                    </a:ln>
                  </pic:spPr>
                </pic:pic>
              </a:graphicData>
            </a:graphic>
          </wp:inline>
        </w:drawing>
      </w:r>
    </w:p>
    <w:p w14:paraId="6D51C5E5" w14:textId="31681FDD" w:rsidR="00755AEF" w:rsidRDefault="00755AEF" w:rsidP="00D15EB4">
      <w:pPr>
        <w:pStyle w:val="Caption"/>
        <w:keepNext/>
        <w:spacing w:line="276" w:lineRule="auto"/>
        <w:jc w:val="both"/>
        <w:rPr>
          <w:b w:val="0"/>
        </w:rPr>
      </w:pPr>
      <w:bookmarkStart w:id="596" w:name="_Ref502034000"/>
      <w:bookmarkStart w:id="597" w:name="_Toc502499942"/>
      <w:r w:rsidRPr="00747824">
        <w:rPr>
          <w:b w:val="0"/>
        </w:rPr>
        <w:t xml:space="preserve">Figure </w:t>
      </w:r>
      <w:r w:rsidRPr="00747824">
        <w:rPr>
          <w:b w:val="0"/>
        </w:rPr>
        <w:fldChar w:fldCharType="begin"/>
      </w:r>
      <w:r w:rsidRPr="00747824">
        <w:rPr>
          <w:b w:val="0"/>
        </w:rPr>
        <w:instrText xml:space="preserve"> SEQ Figure \* ARABIC </w:instrText>
      </w:r>
      <w:r w:rsidRPr="00747824">
        <w:rPr>
          <w:b w:val="0"/>
        </w:rPr>
        <w:fldChar w:fldCharType="separate"/>
      </w:r>
      <w:r w:rsidR="00D12276">
        <w:rPr>
          <w:b w:val="0"/>
          <w:noProof/>
        </w:rPr>
        <w:t>12</w:t>
      </w:r>
      <w:r w:rsidRPr="00747824">
        <w:rPr>
          <w:b w:val="0"/>
        </w:rPr>
        <w:fldChar w:fldCharType="end"/>
      </w:r>
      <w:bookmarkEnd w:id="596"/>
      <w:r w:rsidRPr="009A7845">
        <w:rPr>
          <w:b w:val="0"/>
        </w:rPr>
        <w:t xml:space="preserve">: </w:t>
      </w:r>
      <w:r w:rsidR="00D15EB4" w:rsidRPr="009A7845">
        <w:rPr>
          <w:b w:val="0"/>
        </w:rPr>
        <w:t xml:space="preserve">Temporal trends in PSII-HEq </w:t>
      </w:r>
      <w:r w:rsidR="00D15EB4">
        <w:rPr>
          <w:b w:val="0"/>
        </w:rPr>
        <w:t xml:space="preserve">at </w:t>
      </w:r>
      <w:r w:rsidR="00B93FA5">
        <w:rPr>
          <w:b w:val="0"/>
        </w:rPr>
        <w:t xml:space="preserve">Barratta Creek mouth </w:t>
      </w:r>
      <w:r w:rsidR="00D15EB4">
        <w:rPr>
          <w:b w:val="0"/>
        </w:rPr>
        <w:t xml:space="preserve">fixed passive sampling site (A) and PSII-HEq levels in grab samples </w:t>
      </w:r>
      <w:r w:rsidR="00B93FA5">
        <w:rPr>
          <w:b w:val="0"/>
        </w:rPr>
        <w:t xml:space="preserve">from </w:t>
      </w:r>
      <w:r w:rsidR="00D15EB4">
        <w:rPr>
          <w:b w:val="0"/>
        </w:rPr>
        <w:t xml:space="preserve">(B) </w:t>
      </w:r>
      <w:r w:rsidR="00B93FA5">
        <w:rPr>
          <w:b w:val="0"/>
        </w:rPr>
        <w:t xml:space="preserve">Barratta Creek mouth and (C) Burdekin River mouth </w:t>
      </w:r>
      <w:r w:rsidR="00D15EB4">
        <w:rPr>
          <w:b w:val="0"/>
        </w:rPr>
        <w:t>in 2015-16</w:t>
      </w:r>
      <w:r>
        <w:rPr>
          <w:b w:val="0"/>
        </w:rPr>
        <w:t>, relative to the</w:t>
      </w:r>
      <w:r w:rsidRPr="009A7845">
        <w:rPr>
          <w:b w:val="0"/>
        </w:rPr>
        <w:t xml:space="preserve"> flow rate of </w:t>
      </w:r>
      <w:r w:rsidR="00B93FA5">
        <w:rPr>
          <w:b w:val="0"/>
        </w:rPr>
        <w:t>the rivers</w:t>
      </w:r>
      <w:r w:rsidRPr="009A7845">
        <w:rPr>
          <w:b w:val="0"/>
        </w:rPr>
        <w:t xml:space="preserve"> influencing the </w:t>
      </w:r>
      <w:r w:rsidR="00B93FA5">
        <w:rPr>
          <w:b w:val="0"/>
        </w:rPr>
        <w:t xml:space="preserve">sampling </w:t>
      </w:r>
      <w:r w:rsidRPr="009A7845">
        <w:rPr>
          <w:b w:val="0"/>
        </w:rPr>
        <w:t>sit</w:t>
      </w:r>
      <w:r>
        <w:rPr>
          <w:b w:val="0"/>
        </w:rPr>
        <w:t>e</w:t>
      </w:r>
      <w:r w:rsidR="00B93FA5">
        <w:rPr>
          <w:b w:val="0"/>
        </w:rPr>
        <w:t>s</w:t>
      </w:r>
      <w:r w:rsidRPr="009A7845">
        <w:rPr>
          <w:b w:val="0"/>
        </w:rPr>
        <w:t>. Flow data provided by Department of Environment and Resource Management, Stream Gauging Network</w:t>
      </w:r>
      <w:r>
        <w:rPr>
          <w:b w:val="0"/>
        </w:rPr>
        <w:t>.</w:t>
      </w:r>
      <w:bookmarkEnd w:id="597"/>
    </w:p>
    <w:p w14:paraId="10721864" w14:textId="77777777" w:rsidR="00755AEF" w:rsidRPr="00755AEF" w:rsidRDefault="00755AEF" w:rsidP="00755AEF"/>
    <w:p w14:paraId="15720FF3" w14:textId="4AF0E737" w:rsidR="0059608E" w:rsidRDefault="00D164E2" w:rsidP="006B795E">
      <w:pPr>
        <w:spacing w:line="276" w:lineRule="auto"/>
        <w:rPr>
          <w:lang w:val="en-AU" w:eastAsia="en-AU"/>
        </w:rPr>
      </w:pPr>
      <w:r>
        <w:rPr>
          <w:lang w:val="en-AU" w:eastAsia="en-AU"/>
        </w:rPr>
        <w:t>Almost all the</w:t>
      </w:r>
      <w:r w:rsidR="0059608E">
        <w:rPr>
          <w:lang w:val="en-AU" w:eastAsia="en-AU"/>
        </w:rPr>
        <w:t xml:space="preserve"> PSII herbicides (and </w:t>
      </w:r>
      <w:r w:rsidR="003B2B23">
        <w:rPr>
          <w:lang w:val="en-AU" w:eastAsia="en-AU"/>
        </w:rPr>
        <w:t>metabolites</w:t>
      </w:r>
      <w:r w:rsidR="0059608E">
        <w:rPr>
          <w:lang w:val="en-AU" w:eastAsia="en-AU"/>
        </w:rPr>
        <w:t xml:space="preserve">) </w:t>
      </w:r>
      <w:r w:rsidR="006B795E">
        <w:rPr>
          <w:lang w:val="en-AU" w:eastAsia="en-AU"/>
        </w:rPr>
        <w:t xml:space="preserve">monitored in this program were </w:t>
      </w:r>
      <w:r>
        <w:rPr>
          <w:lang w:val="en-AU" w:eastAsia="en-AU"/>
        </w:rPr>
        <w:t>identified</w:t>
      </w:r>
      <w:r w:rsidR="0059608E">
        <w:rPr>
          <w:lang w:val="en-AU" w:eastAsia="en-AU"/>
        </w:rPr>
        <w:t xml:space="preserve"> </w:t>
      </w:r>
      <w:r w:rsidR="00A729A4">
        <w:rPr>
          <w:lang w:val="en-AU" w:eastAsia="en-AU"/>
        </w:rPr>
        <w:t>in the samplers from</w:t>
      </w:r>
      <w:r w:rsidR="0059608E">
        <w:rPr>
          <w:lang w:val="en-AU" w:eastAsia="en-AU"/>
        </w:rPr>
        <w:t xml:space="preserve"> </w:t>
      </w:r>
      <w:r w:rsidR="006B795E">
        <w:rPr>
          <w:lang w:val="en-AU" w:eastAsia="en-AU"/>
        </w:rPr>
        <w:t xml:space="preserve">Barratta Creek and </w:t>
      </w:r>
      <w:r>
        <w:rPr>
          <w:lang w:val="en-AU" w:eastAsia="en-AU"/>
        </w:rPr>
        <w:t xml:space="preserve">were, for most of these (including ametryn, atrazine, bromacil, diuron, hexazinone, simazine and tebuthiuron; </w:t>
      </w:r>
      <w:bookmarkStart w:id="598" w:name="OLE_LINK2"/>
      <w:r w:rsidR="003B2B23">
        <w:rPr>
          <w:lang w:val="en-AU" w:eastAsia="en-AU"/>
        </w:rPr>
        <w:fldChar w:fldCharType="begin"/>
      </w:r>
      <w:r w:rsidR="003B2B23">
        <w:rPr>
          <w:lang w:val="en-AU" w:eastAsia="en-AU"/>
        </w:rPr>
        <w:instrText xml:space="preserve"> REF _Ref335637596 \n \h </w:instrText>
      </w:r>
      <w:r w:rsidR="003B2B23">
        <w:rPr>
          <w:lang w:val="en-AU" w:eastAsia="en-AU"/>
        </w:rPr>
      </w:r>
      <w:r w:rsidR="003B2B23">
        <w:rPr>
          <w:lang w:val="en-AU" w:eastAsia="en-AU"/>
        </w:rPr>
        <w:fldChar w:fldCharType="separate"/>
      </w:r>
      <w:r w:rsidR="00D12276">
        <w:rPr>
          <w:lang w:val="en-AU" w:eastAsia="en-AU"/>
        </w:rPr>
        <w:t xml:space="preserve">Appendix F </w:t>
      </w:r>
      <w:r w:rsidR="003B2B23">
        <w:rPr>
          <w:lang w:val="en-AU" w:eastAsia="en-AU"/>
        </w:rPr>
        <w:fldChar w:fldCharType="end"/>
      </w:r>
      <w:bookmarkEnd w:id="598"/>
      <w:r w:rsidR="00C91BF5">
        <w:rPr>
          <w:lang w:val="en-AU" w:eastAsia="en-AU"/>
        </w:rPr>
        <w:fldChar w:fldCharType="begin"/>
      </w:r>
      <w:r>
        <w:rPr>
          <w:lang w:val="en-AU" w:eastAsia="en-AU"/>
        </w:rPr>
        <w:instrText xml:space="preserve"> REF _Ref480736059 \h </w:instrText>
      </w:r>
      <w:r w:rsidR="00C91BF5">
        <w:rPr>
          <w:lang w:val="en-AU" w:eastAsia="en-AU"/>
        </w:rPr>
      </w:r>
      <w:r w:rsidR="00C91BF5">
        <w:rPr>
          <w:lang w:val="en-AU" w:eastAsia="en-AU"/>
        </w:rPr>
        <w:fldChar w:fldCharType="separate"/>
      </w:r>
      <w:r w:rsidR="00D12276">
        <w:t xml:space="preserve">Table </w:t>
      </w:r>
      <w:r w:rsidR="00D12276">
        <w:rPr>
          <w:noProof/>
        </w:rPr>
        <w:t>F</w:t>
      </w:r>
      <w:r w:rsidR="00D12276">
        <w:noBreakHyphen/>
      </w:r>
      <w:r w:rsidR="00D12276">
        <w:rPr>
          <w:noProof/>
        </w:rPr>
        <w:t>7</w:t>
      </w:r>
      <w:r w:rsidR="00C91BF5">
        <w:rPr>
          <w:lang w:val="en-AU" w:eastAsia="en-AU"/>
        </w:rPr>
        <w:fldChar w:fldCharType="end"/>
      </w:r>
      <w:r>
        <w:rPr>
          <w:lang w:val="en-AU" w:eastAsia="en-AU"/>
        </w:rPr>
        <w:t>), detected</w:t>
      </w:r>
      <w:r w:rsidR="006B795E">
        <w:rPr>
          <w:lang w:val="en-AU" w:eastAsia="en-AU"/>
        </w:rPr>
        <w:t xml:space="preserve"> </w:t>
      </w:r>
      <w:r w:rsidR="00A4725F">
        <w:rPr>
          <w:lang w:val="en-AU" w:eastAsia="en-AU"/>
        </w:rPr>
        <w:t xml:space="preserve">in </w:t>
      </w:r>
      <w:r>
        <w:rPr>
          <w:lang w:val="en-AU" w:eastAsia="en-AU"/>
        </w:rPr>
        <w:t xml:space="preserve">100 per cent of the samplers over the </w:t>
      </w:r>
      <w:r w:rsidR="00A4725F">
        <w:rPr>
          <w:lang w:val="en-AU" w:eastAsia="en-AU"/>
        </w:rPr>
        <w:t>wet season</w:t>
      </w:r>
      <w:r>
        <w:rPr>
          <w:lang w:val="en-AU" w:eastAsia="en-AU"/>
        </w:rPr>
        <w:t>. O</w:t>
      </w:r>
      <w:r w:rsidR="006B795E">
        <w:rPr>
          <w:lang w:val="en-AU" w:eastAsia="en-AU"/>
        </w:rPr>
        <w:t xml:space="preserve">nly fluometuron, prometryn and terbutryn were not above detection limits in any sampler. </w:t>
      </w:r>
      <w:r w:rsidR="0059608E">
        <w:rPr>
          <w:lang w:val="en-AU" w:eastAsia="en-AU"/>
        </w:rPr>
        <w:t xml:space="preserve">The </w:t>
      </w:r>
      <w:r w:rsidR="00D15EB4">
        <w:rPr>
          <w:lang w:val="en-AU" w:eastAsia="en-AU"/>
        </w:rPr>
        <w:t xml:space="preserve">other pesticides </w:t>
      </w:r>
      <w:r w:rsidR="0059608E">
        <w:rPr>
          <w:lang w:val="en-AU" w:eastAsia="en-AU"/>
        </w:rPr>
        <w:t>MCPA and metolachlor</w:t>
      </w:r>
      <w:r w:rsidR="00A4725F">
        <w:rPr>
          <w:lang w:val="en-AU" w:eastAsia="en-AU"/>
        </w:rPr>
        <w:t xml:space="preserve"> </w:t>
      </w:r>
      <w:r w:rsidR="0059608E">
        <w:rPr>
          <w:lang w:val="en-AU" w:eastAsia="en-AU"/>
        </w:rPr>
        <w:t>were</w:t>
      </w:r>
      <w:r w:rsidR="00A4725F">
        <w:rPr>
          <w:lang w:val="en-AU" w:eastAsia="en-AU"/>
        </w:rPr>
        <w:t xml:space="preserve"> also</w:t>
      </w:r>
      <w:r w:rsidR="0059608E">
        <w:rPr>
          <w:lang w:val="en-AU" w:eastAsia="en-AU"/>
        </w:rPr>
        <w:t xml:space="preserve"> frequently detected. Using PDMS samplers, chlorpyrifos and pendimethalin were </w:t>
      </w:r>
      <w:r>
        <w:rPr>
          <w:lang w:val="en-AU" w:eastAsia="en-AU"/>
        </w:rPr>
        <w:t>often</w:t>
      </w:r>
      <w:r w:rsidR="0059608E">
        <w:rPr>
          <w:lang w:val="en-AU" w:eastAsia="en-AU"/>
        </w:rPr>
        <w:t xml:space="preserve"> detected </w:t>
      </w:r>
      <w:r>
        <w:rPr>
          <w:lang w:val="en-AU" w:eastAsia="en-AU"/>
        </w:rPr>
        <w:t xml:space="preserve">but </w:t>
      </w:r>
      <w:r w:rsidR="0059608E">
        <w:rPr>
          <w:lang w:val="en-AU" w:eastAsia="en-AU"/>
        </w:rPr>
        <w:t>at very low concentrations in the wet season (</w:t>
      </w:r>
      <w:r w:rsidR="003B2B23">
        <w:rPr>
          <w:lang w:val="en-AU" w:eastAsia="en-AU"/>
        </w:rPr>
        <w:fldChar w:fldCharType="begin"/>
      </w:r>
      <w:r w:rsidR="003B2B23">
        <w:rPr>
          <w:lang w:val="en-AU" w:eastAsia="en-AU"/>
        </w:rPr>
        <w:instrText xml:space="preserve"> REF _Ref335637596 \n \h </w:instrText>
      </w:r>
      <w:r w:rsidR="003B2B23">
        <w:rPr>
          <w:lang w:val="en-AU" w:eastAsia="en-AU"/>
        </w:rPr>
      </w:r>
      <w:r w:rsidR="003B2B23">
        <w:rPr>
          <w:lang w:val="en-AU" w:eastAsia="en-AU"/>
        </w:rPr>
        <w:fldChar w:fldCharType="separate"/>
      </w:r>
      <w:r w:rsidR="00D12276">
        <w:rPr>
          <w:lang w:val="en-AU" w:eastAsia="en-AU"/>
        </w:rPr>
        <w:t xml:space="preserve">Appendix F </w:t>
      </w:r>
      <w:r w:rsidR="003B2B23">
        <w:rPr>
          <w:lang w:val="en-AU" w:eastAsia="en-AU"/>
        </w:rPr>
        <w:fldChar w:fldCharType="end"/>
      </w:r>
      <w:r w:rsidR="00C91BF5">
        <w:rPr>
          <w:lang w:val="en-AU" w:eastAsia="en-AU"/>
        </w:rPr>
        <w:fldChar w:fldCharType="begin"/>
      </w:r>
      <w:r w:rsidR="00A4725F">
        <w:rPr>
          <w:lang w:val="en-AU" w:eastAsia="en-AU"/>
        </w:rPr>
        <w:instrText xml:space="preserve"> REF _Ref480736059 \h </w:instrText>
      </w:r>
      <w:r w:rsidR="00C91BF5">
        <w:rPr>
          <w:lang w:val="en-AU" w:eastAsia="en-AU"/>
        </w:rPr>
      </w:r>
      <w:r w:rsidR="00C91BF5">
        <w:rPr>
          <w:lang w:val="en-AU" w:eastAsia="en-AU"/>
        </w:rPr>
        <w:fldChar w:fldCharType="separate"/>
      </w:r>
      <w:r w:rsidR="00D12276">
        <w:t xml:space="preserve">Table </w:t>
      </w:r>
      <w:r w:rsidR="00D12276">
        <w:rPr>
          <w:noProof/>
        </w:rPr>
        <w:t>F</w:t>
      </w:r>
      <w:r w:rsidR="00D12276">
        <w:noBreakHyphen/>
      </w:r>
      <w:r w:rsidR="00D12276">
        <w:rPr>
          <w:noProof/>
        </w:rPr>
        <w:t>7</w:t>
      </w:r>
      <w:r w:rsidR="00C91BF5">
        <w:rPr>
          <w:lang w:val="en-AU" w:eastAsia="en-AU"/>
        </w:rPr>
        <w:fldChar w:fldCharType="end"/>
      </w:r>
      <w:r w:rsidR="0059608E">
        <w:rPr>
          <w:lang w:val="en-AU" w:eastAsia="en-AU"/>
        </w:rPr>
        <w:t>).</w:t>
      </w:r>
    </w:p>
    <w:p w14:paraId="15720FF4" w14:textId="77777777" w:rsidR="0059608E" w:rsidRDefault="0059608E" w:rsidP="00015606">
      <w:pPr>
        <w:spacing w:line="276" w:lineRule="auto"/>
        <w:rPr>
          <w:lang w:val="en-AU" w:eastAsia="en-AU"/>
        </w:rPr>
      </w:pPr>
    </w:p>
    <w:p w14:paraId="15720FF5" w14:textId="7521D4FB" w:rsidR="0059608E" w:rsidRDefault="0059608E" w:rsidP="00015606">
      <w:pPr>
        <w:spacing w:line="276" w:lineRule="auto"/>
        <w:rPr>
          <w:lang w:val="en-AU" w:eastAsia="en-AU"/>
        </w:rPr>
      </w:pPr>
      <w:r>
        <w:rPr>
          <w:lang w:val="en-AU" w:eastAsia="en-AU"/>
        </w:rPr>
        <w:t xml:space="preserve">Historically, atrazine and atrazine </w:t>
      </w:r>
      <w:r w:rsidR="003B1A08">
        <w:rPr>
          <w:lang w:val="en-AU" w:eastAsia="en-AU"/>
        </w:rPr>
        <w:t>metabolites</w:t>
      </w:r>
      <w:r>
        <w:rPr>
          <w:lang w:val="en-AU" w:eastAsia="en-AU"/>
        </w:rPr>
        <w:t xml:space="preserve"> </w:t>
      </w:r>
      <w:r w:rsidR="00100F72">
        <w:rPr>
          <w:lang w:val="en-AU" w:eastAsia="en-AU"/>
        </w:rPr>
        <w:t xml:space="preserve">have </w:t>
      </w:r>
      <w:r w:rsidR="00903A83">
        <w:rPr>
          <w:lang w:val="en-AU" w:eastAsia="en-AU"/>
        </w:rPr>
        <w:t xml:space="preserve">typically </w:t>
      </w:r>
      <w:r>
        <w:rPr>
          <w:lang w:val="en-AU" w:eastAsia="en-AU"/>
        </w:rPr>
        <w:t>dominate</w:t>
      </w:r>
      <w:r w:rsidR="00100F72">
        <w:rPr>
          <w:lang w:val="en-AU" w:eastAsia="en-AU"/>
        </w:rPr>
        <w:t>d</w:t>
      </w:r>
      <w:r>
        <w:rPr>
          <w:lang w:val="en-AU" w:eastAsia="en-AU"/>
        </w:rPr>
        <w:t xml:space="preserve"> the </w:t>
      </w:r>
      <w:r w:rsidR="00903A83">
        <w:rPr>
          <w:lang w:val="en-AU" w:eastAsia="en-AU"/>
        </w:rPr>
        <w:t>pesticide</w:t>
      </w:r>
      <w:r>
        <w:rPr>
          <w:lang w:val="en-AU" w:eastAsia="en-AU"/>
        </w:rPr>
        <w:t xml:space="preserve"> profile at </w:t>
      </w:r>
      <w:r w:rsidR="00100F72">
        <w:rPr>
          <w:lang w:val="en-AU" w:eastAsia="en-AU"/>
        </w:rPr>
        <w:t>Burdekin sites</w:t>
      </w:r>
      <w:r w:rsidR="00D164E2">
        <w:rPr>
          <w:lang w:val="en-AU" w:eastAsia="en-AU"/>
        </w:rPr>
        <w:t>, including those</w:t>
      </w:r>
      <w:r w:rsidR="00100F72">
        <w:rPr>
          <w:lang w:val="en-AU" w:eastAsia="en-AU"/>
        </w:rPr>
        <w:t xml:space="preserve"> </w:t>
      </w:r>
      <w:r w:rsidR="00D164E2">
        <w:rPr>
          <w:lang w:val="en-AU" w:eastAsia="en-AU"/>
        </w:rPr>
        <w:t>sites</w:t>
      </w:r>
      <w:r w:rsidR="00100F72">
        <w:rPr>
          <w:lang w:val="en-AU" w:eastAsia="en-AU"/>
        </w:rPr>
        <w:t xml:space="preserve"> monitored in previous years </w:t>
      </w:r>
      <w:r w:rsidR="00D164E2">
        <w:rPr>
          <w:lang w:val="en-AU" w:eastAsia="en-AU"/>
        </w:rPr>
        <w:t xml:space="preserve">but </w:t>
      </w:r>
      <w:r w:rsidR="00903A83">
        <w:rPr>
          <w:lang w:val="en-AU" w:eastAsia="en-AU"/>
        </w:rPr>
        <w:t>no longer</w:t>
      </w:r>
      <w:r w:rsidR="00D164E2">
        <w:rPr>
          <w:lang w:val="en-AU" w:eastAsia="en-AU"/>
        </w:rPr>
        <w:t xml:space="preserve"> in the current program </w:t>
      </w:r>
      <w:r w:rsidR="00100F72">
        <w:rPr>
          <w:lang w:val="en-AU" w:eastAsia="en-AU"/>
        </w:rPr>
        <w:t xml:space="preserve">(e.g. Cape Cleveland; </w:t>
      </w:r>
      <w:r w:rsidR="00C91BF5">
        <w:rPr>
          <w:lang w:val="en-AU" w:eastAsia="en-AU"/>
        </w:rPr>
        <w:fldChar w:fldCharType="begin"/>
      </w:r>
      <w:r w:rsidR="009D4492">
        <w:rPr>
          <w:lang w:val="en-AU" w:eastAsia="en-AU"/>
        </w:rPr>
        <w:instrText xml:space="preserve"> ADDIN EN.CITE &lt;EndNote&gt;&lt;Cite&gt;&lt;Author&gt;Gallen&lt;/Author&gt;&lt;Year&gt;2016&lt;/Year&gt;&lt;RecNum&gt;19&lt;/RecNum&gt;&lt;DisplayText&gt;(Gallen et al., 2016)&lt;/DisplayText&gt;&lt;record&gt;&lt;rec-number&gt;19&lt;/rec-number&gt;&lt;foreign-keys&gt;&lt;key app="EN" db-id="vvtrt2pt4xpx5teta99vvtwg50vzve2aexae" timestamp="1493157347"&gt;19&lt;/key&gt;&lt;/foreign-keys&gt;&lt;ref-type name="Report"&gt;27&lt;/ref-type&gt;&lt;contributors&gt;&lt;authors&gt;&lt;author&gt;Gallen, C.&lt;/author&gt;&lt;author&gt;Thompson, K.&lt;/author&gt;&lt;author&gt;Paxman, C.&lt;/author&gt;&lt;author&gt;Devlin, M.&lt;/author&gt;&lt;author&gt;Mueller, J.&lt;/author&gt;&lt;/authors&gt;&lt;/contributors&gt;&lt;titles&gt;&lt;title&gt;Marine Monitoring Program.  Annual Report for inshore pesticide monitoring: 2014 to 2015. Report for the Great Barrier Reef Marine Park Authority&lt;/title&gt;&lt;/titles&gt;&lt;dates&gt;&lt;year&gt;2016&lt;/year&gt;&lt;/dates&gt;&lt;publisher&gt;The University of Queensland, The National Research Centre for Environmental Toxicology (Entox), Brisbane&lt;/publisher&gt;&lt;urls&gt;&lt;/urls&gt;&lt;/record&gt;&lt;/Cite&gt;&lt;/EndNote&gt;</w:instrText>
      </w:r>
      <w:r w:rsidR="00C91BF5">
        <w:rPr>
          <w:lang w:val="en-AU" w:eastAsia="en-AU"/>
        </w:rPr>
        <w:fldChar w:fldCharType="separate"/>
      </w:r>
      <w:r w:rsidR="009D4492">
        <w:rPr>
          <w:noProof/>
          <w:lang w:val="en-AU" w:eastAsia="en-AU"/>
        </w:rPr>
        <w:t>(Gallen et al., 2016)</w:t>
      </w:r>
      <w:r w:rsidR="00C91BF5">
        <w:rPr>
          <w:lang w:val="en-AU" w:eastAsia="en-AU"/>
        </w:rPr>
        <w:fldChar w:fldCharType="end"/>
      </w:r>
      <w:r w:rsidR="00D164E2">
        <w:rPr>
          <w:lang w:val="en-AU" w:eastAsia="en-AU"/>
        </w:rPr>
        <w:t>). Th</w:t>
      </w:r>
      <w:r w:rsidR="00100F72">
        <w:rPr>
          <w:lang w:val="en-AU" w:eastAsia="en-AU"/>
        </w:rPr>
        <w:t xml:space="preserve">e same </w:t>
      </w:r>
      <w:r w:rsidR="00D164E2">
        <w:rPr>
          <w:lang w:val="en-AU" w:eastAsia="en-AU"/>
        </w:rPr>
        <w:t xml:space="preserve">atrazine-dominated profile </w:t>
      </w:r>
      <w:r w:rsidR="00100F72">
        <w:rPr>
          <w:lang w:val="en-AU" w:eastAsia="en-AU"/>
        </w:rPr>
        <w:t>was observed at Barratta Creek in 2015-1</w:t>
      </w:r>
      <w:r w:rsidR="00E5271A">
        <w:rPr>
          <w:lang w:val="en-AU" w:eastAsia="en-AU"/>
        </w:rPr>
        <w:t>6</w:t>
      </w:r>
      <w:r w:rsidR="00100F72">
        <w:rPr>
          <w:lang w:val="en-AU" w:eastAsia="en-AU"/>
        </w:rPr>
        <w:t xml:space="preserve">. </w:t>
      </w:r>
      <w:r w:rsidR="00D164E2">
        <w:rPr>
          <w:lang w:val="en-AU" w:eastAsia="en-AU"/>
        </w:rPr>
        <w:t xml:space="preserve">In January 2016, </w:t>
      </w:r>
      <w:r w:rsidR="00100F72">
        <w:rPr>
          <w:lang w:val="en-AU" w:eastAsia="en-AU"/>
        </w:rPr>
        <w:t>when the highest concentrations were measured, atrazine made up 70 per cent of the total PSII herbicide concentration (</w:t>
      </w:r>
      <w:r w:rsidR="00C91BF5">
        <w:rPr>
          <w:lang w:val="en-AU" w:eastAsia="en-AU"/>
        </w:rPr>
        <w:fldChar w:fldCharType="begin"/>
      </w:r>
      <w:r w:rsidR="00100F72">
        <w:rPr>
          <w:lang w:val="en-AU" w:eastAsia="en-AU"/>
        </w:rPr>
        <w:instrText xml:space="preserve"> REF _Ref480736903 \h </w:instrText>
      </w:r>
      <w:r w:rsidR="00C91BF5">
        <w:rPr>
          <w:lang w:val="en-AU" w:eastAsia="en-AU"/>
        </w:rPr>
      </w:r>
      <w:r w:rsidR="00C91BF5">
        <w:rPr>
          <w:lang w:val="en-AU" w:eastAsia="en-AU"/>
        </w:rPr>
        <w:fldChar w:fldCharType="separate"/>
      </w:r>
      <w:r w:rsidR="00D12276">
        <w:t xml:space="preserve">Figure </w:t>
      </w:r>
      <w:r w:rsidR="00D12276">
        <w:rPr>
          <w:noProof/>
        </w:rPr>
        <w:t>I</w:t>
      </w:r>
      <w:r w:rsidR="00D12276">
        <w:noBreakHyphen/>
      </w:r>
      <w:r w:rsidR="00D12276">
        <w:rPr>
          <w:noProof/>
        </w:rPr>
        <w:t>6</w:t>
      </w:r>
      <w:r w:rsidR="00C91BF5">
        <w:rPr>
          <w:lang w:val="en-AU" w:eastAsia="en-AU"/>
        </w:rPr>
        <w:fldChar w:fldCharType="end"/>
      </w:r>
      <w:r w:rsidR="00100F72">
        <w:rPr>
          <w:lang w:val="en-AU" w:eastAsia="en-AU"/>
        </w:rPr>
        <w:t>) and represented 47</w:t>
      </w:r>
      <w:r w:rsidR="00903A83">
        <w:rPr>
          <w:lang w:val="en-AU" w:eastAsia="en-AU"/>
        </w:rPr>
        <w:t xml:space="preserve"> per cent</w:t>
      </w:r>
      <w:r w:rsidR="00100F72">
        <w:rPr>
          <w:lang w:val="en-AU" w:eastAsia="en-AU"/>
        </w:rPr>
        <w:t xml:space="preserve"> of the PSII-HEq concentration</w:t>
      </w:r>
      <w:r>
        <w:rPr>
          <w:lang w:val="en-AU" w:eastAsia="en-AU"/>
        </w:rPr>
        <w:t xml:space="preserve">. </w:t>
      </w:r>
    </w:p>
    <w:p w14:paraId="15720FF8" w14:textId="77777777" w:rsidR="00520266" w:rsidRDefault="00520266" w:rsidP="00015606">
      <w:pPr>
        <w:spacing w:line="276" w:lineRule="auto"/>
        <w:rPr>
          <w:lang w:val="en-AU" w:eastAsia="en-AU"/>
        </w:rPr>
      </w:pPr>
    </w:p>
    <w:p w14:paraId="15720FFC" w14:textId="77B2B00C" w:rsidR="0059608E" w:rsidRPr="005C351A" w:rsidRDefault="0059608E" w:rsidP="00015606">
      <w:pPr>
        <w:spacing w:line="276" w:lineRule="auto"/>
        <w:rPr>
          <w:lang w:val="en-AU" w:eastAsia="en-AU"/>
        </w:rPr>
      </w:pPr>
      <w:r>
        <w:rPr>
          <w:lang w:val="en-AU" w:eastAsia="en-AU"/>
        </w:rPr>
        <w:t>A review o</w:t>
      </w:r>
      <w:r w:rsidR="004A447B">
        <w:rPr>
          <w:lang w:val="en-AU" w:eastAsia="en-AU"/>
        </w:rPr>
        <w:t>f</w:t>
      </w:r>
      <w:r>
        <w:rPr>
          <w:lang w:val="en-AU" w:eastAsia="en-AU"/>
        </w:rPr>
        <w:t xml:space="preserve"> the extent of the Burdekin flood plume indicate</w:t>
      </w:r>
      <w:r w:rsidR="004A447B">
        <w:rPr>
          <w:lang w:val="en-AU" w:eastAsia="en-AU"/>
        </w:rPr>
        <w:t>d</w:t>
      </w:r>
      <w:r>
        <w:rPr>
          <w:lang w:val="en-AU" w:eastAsia="en-AU"/>
        </w:rPr>
        <w:t xml:space="preserve"> that </w:t>
      </w:r>
      <w:r w:rsidR="004A447B">
        <w:rPr>
          <w:lang w:val="en-AU" w:eastAsia="en-AU"/>
        </w:rPr>
        <w:t xml:space="preserve">average flood events could reach a northward distance of approximately 200 km, and </w:t>
      </w:r>
      <w:r>
        <w:rPr>
          <w:lang w:val="en-AU" w:eastAsia="en-AU"/>
        </w:rPr>
        <w:t xml:space="preserve">the maximum for extreme large flood events </w:t>
      </w:r>
      <w:r w:rsidR="004A447B">
        <w:rPr>
          <w:lang w:val="en-AU" w:eastAsia="en-AU"/>
        </w:rPr>
        <w:t>could be approximately 500 km</w:t>
      </w:r>
      <w:r>
        <w:rPr>
          <w:lang w:val="en-AU" w:eastAsia="en-AU"/>
        </w:rPr>
        <w:t xml:space="preserve"> </w:t>
      </w:r>
      <w:r w:rsidR="00C91BF5">
        <w:rPr>
          <w:lang w:val="en-AU" w:eastAsia="en-AU"/>
        </w:rPr>
        <w:fldChar w:fldCharType="begin"/>
      </w:r>
      <w:r w:rsidR="009D4492">
        <w:rPr>
          <w:lang w:val="en-AU" w:eastAsia="en-AU"/>
        </w:rPr>
        <w:instrText xml:space="preserve"> ADDIN EN.CITE &lt;EndNote&gt;&lt;Cite&gt;&lt;Author&gt;Lewis&lt;/Author&gt;&lt;Year&gt;2006&lt;/Year&gt;&lt;RecNum&gt;43&lt;/RecNum&gt;&lt;DisplayText&gt;(Lewis et al., 2006)&lt;/DisplayText&gt;&lt;record&gt;&lt;rec-number&gt;43&lt;/rec-number&gt;&lt;foreign-keys&gt;&lt;key app="EN" db-id="vvtrt2pt4xpx5teta99vvtwg50vzve2aexae" timestamp="1493157376"&gt;43&lt;/key&gt;&lt;/foreign-keys&gt;&lt;ref-type name="Report"&gt;27&lt;/ref-type&gt;&lt;contributors&gt;&lt;authors&gt;&lt;author&gt;Lewis, S.&lt;/author&gt;&lt;author&gt;Brodie, J. E.&lt;/author&gt;&lt;author&gt;Ledee, E.&lt;/author&gt;&lt;author&gt;Alewijnse, M&lt;/author&gt;&lt;/authors&gt;&lt;/contributors&gt;&lt;titles&gt;&lt;title&gt;The Spatial Extent of Delivery of Terrestrial Materials from the Burdekin Region in the GBR Lagoon ACTFR Report No. 06/02 &lt;/title&gt;&lt;/titles&gt;&lt;dates&gt;&lt;year&gt;2006&lt;/year&gt;&lt;/dates&gt;&lt;pub-location&gt;Australian Centre for Tropical Freshwater Research,  Burdekin Dry Tropics NRM&lt;/pub-location&gt;&lt;urls&gt;&lt;/urls&gt;&lt;/record&gt;&lt;/Cite&gt;&lt;/EndNote&gt;</w:instrText>
      </w:r>
      <w:r w:rsidR="00C91BF5">
        <w:rPr>
          <w:lang w:val="en-AU" w:eastAsia="en-AU"/>
        </w:rPr>
        <w:fldChar w:fldCharType="separate"/>
      </w:r>
      <w:r w:rsidR="009D4492">
        <w:rPr>
          <w:noProof/>
          <w:lang w:val="en-AU" w:eastAsia="en-AU"/>
        </w:rPr>
        <w:t>(Lewis et al., 2006)</w:t>
      </w:r>
      <w:r w:rsidR="00C91BF5">
        <w:rPr>
          <w:lang w:val="en-AU" w:eastAsia="en-AU"/>
        </w:rPr>
        <w:fldChar w:fldCharType="end"/>
      </w:r>
      <w:r w:rsidR="00211ECA">
        <w:rPr>
          <w:lang w:val="en-AU" w:eastAsia="en-AU"/>
        </w:rPr>
        <w:t xml:space="preserve">. </w:t>
      </w:r>
      <w:r w:rsidR="004A447B">
        <w:rPr>
          <w:lang w:val="en-AU" w:eastAsia="en-AU"/>
        </w:rPr>
        <w:t xml:space="preserve">In previous dry years, sites located </w:t>
      </w:r>
      <w:r w:rsidR="00E5271A">
        <w:rPr>
          <w:lang w:val="en-AU" w:eastAsia="en-AU"/>
        </w:rPr>
        <w:t>within</w:t>
      </w:r>
      <w:r w:rsidR="004A447B">
        <w:rPr>
          <w:lang w:val="en-AU" w:eastAsia="en-AU"/>
        </w:rPr>
        <w:t xml:space="preserve"> this region have remained Category 5 on the PSII Index </w:t>
      </w:r>
      <w:r w:rsidR="00E5271A">
        <w:rPr>
          <w:lang w:val="en-AU" w:eastAsia="en-AU"/>
        </w:rPr>
        <w:t xml:space="preserve">suggesting minimal northwards transport of pesticide loads </w:t>
      </w:r>
      <w:r w:rsidR="00C91BF5">
        <w:rPr>
          <w:lang w:val="en-AU" w:eastAsia="en-AU"/>
        </w:rPr>
        <w:fldChar w:fldCharType="begin"/>
      </w:r>
      <w:r w:rsidR="009D4492">
        <w:rPr>
          <w:lang w:val="en-AU" w:eastAsia="en-AU"/>
        </w:rPr>
        <w:instrText xml:space="preserve"> ADDIN EN.CITE &lt;EndNote&gt;&lt;Cite&gt;&lt;Author&gt;Gallen&lt;/Author&gt;&lt;Year&gt;2016&lt;/Year&gt;&lt;RecNum&gt;19&lt;/RecNum&gt;&lt;DisplayText&gt;(Gallen et al., 2016)&lt;/DisplayText&gt;&lt;record&gt;&lt;rec-number&gt;19&lt;/rec-number&gt;&lt;foreign-keys&gt;&lt;key app="EN" db-id="vvtrt2pt4xpx5teta99vvtwg50vzve2aexae" timestamp="1493157347"&gt;19&lt;/key&gt;&lt;/foreign-keys&gt;&lt;ref-type name="Report"&gt;27&lt;/ref-type&gt;&lt;contributors&gt;&lt;authors&gt;&lt;author&gt;Gallen, C.&lt;/author&gt;&lt;author&gt;Thompson, K.&lt;/author&gt;&lt;author&gt;Paxman, C.&lt;/author&gt;&lt;author&gt;Devlin, M.&lt;/author&gt;&lt;author&gt;Mueller, J.&lt;/author&gt;&lt;/authors&gt;&lt;/contributors&gt;&lt;titles&gt;&lt;title&gt;Marine Monitoring Program.  Annual Report for inshore pesticide monitoring: 2014 to 2015. Report for the Great Barrier Reef Marine Park Authority&lt;/title&gt;&lt;/titles&gt;&lt;dates&gt;&lt;year&gt;2016&lt;/year&gt;&lt;/dates&gt;&lt;publisher&gt;The University of Queensland, The National Research Centre for Environmental Toxicology (Entox), Brisbane&lt;/publisher&gt;&lt;urls&gt;&lt;/urls&gt;&lt;/record&gt;&lt;/Cite&gt;&lt;/EndNote&gt;</w:instrText>
      </w:r>
      <w:r w:rsidR="00C91BF5">
        <w:rPr>
          <w:lang w:val="en-AU" w:eastAsia="en-AU"/>
        </w:rPr>
        <w:fldChar w:fldCharType="separate"/>
      </w:r>
      <w:r w:rsidR="009D4492">
        <w:rPr>
          <w:noProof/>
          <w:lang w:val="en-AU" w:eastAsia="en-AU"/>
        </w:rPr>
        <w:t>(Gallen et al., 2016)</w:t>
      </w:r>
      <w:r w:rsidR="00C91BF5">
        <w:rPr>
          <w:lang w:val="en-AU" w:eastAsia="en-AU"/>
        </w:rPr>
        <w:fldChar w:fldCharType="end"/>
      </w:r>
      <w:r w:rsidR="004A447B">
        <w:rPr>
          <w:lang w:val="en-AU" w:eastAsia="en-AU"/>
        </w:rPr>
        <w:t>. In 2015-16, although generally a</w:t>
      </w:r>
      <w:r w:rsidR="0081303E">
        <w:rPr>
          <w:lang w:val="en-AU" w:eastAsia="en-AU"/>
        </w:rPr>
        <w:t xml:space="preserve"> dry year,</w:t>
      </w:r>
      <w:r w:rsidR="004A447B">
        <w:rPr>
          <w:lang w:val="en-AU" w:eastAsia="en-AU"/>
        </w:rPr>
        <w:t xml:space="preserve"> the main rain events in early 2016 resulted in a</w:t>
      </w:r>
      <w:r w:rsidR="00F1220E">
        <w:rPr>
          <w:lang w:val="en-AU" w:eastAsia="en-AU"/>
        </w:rPr>
        <w:t xml:space="preserve"> PSII-</w:t>
      </w:r>
      <w:r w:rsidR="009D307F">
        <w:rPr>
          <w:lang w:val="en-AU" w:eastAsia="en-AU"/>
        </w:rPr>
        <w:t>HEq</w:t>
      </w:r>
      <w:r w:rsidR="00D164E2">
        <w:rPr>
          <w:lang w:val="en-AU" w:eastAsia="en-AU"/>
        </w:rPr>
        <w:t xml:space="preserve"> Max value</w:t>
      </w:r>
      <w:r w:rsidR="00F1220E">
        <w:rPr>
          <w:lang w:val="en-AU" w:eastAsia="en-AU"/>
        </w:rPr>
        <w:t xml:space="preserve"> </w:t>
      </w:r>
      <w:r w:rsidR="00D164E2">
        <w:rPr>
          <w:lang w:val="en-AU" w:eastAsia="en-AU"/>
        </w:rPr>
        <w:t>in the</w:t>
      </w:r>
      <w:r w:rsidR="004A447B">
        <w:rPr>
          <w:lang w:val="en-AU" w:eastAsia="en-AU"/>
        </w:rPr>
        <w:t xml:space="preserve"> low Category 4</w:t>
      </w:r>
      <w:r w:rsidR="00F1220E">
        <w:rPr>
          <w:lang w:val="en-AU" w:eastAsia="en-AU"/>
        </w:rPr>
        <w:t xml:space="preserve"> </w:t>
      </w:r>
      <w:r w:rsidR="00D164E2">
        <w:rPr>
          <w:lang w:val="en-AU" w:eastAsia="en-AU"/>
        </w:rPr>
        <w:t xml:space="preserve">range </w:t>
      </w:r>
      <w:r>
        <w:rPr>
          <w:lang w:val="en-AU" w:eastAsia="en-AU"/>
        </w:rPr>
        <w:t>(</w:t>
      </w:r>
      <w:r w:rsidR="002A77E1">
        <w:fldChar w:fldCharType="begin"/>
      </w:r>
      <w:r w:rsidR="002A77E1">
        <w:instrText xml:space="preserve"> REF _Ref480735691 \h  \* MERGEFORMAT </w:instrText>
      </w:r>
      <w:r w:rsidR="002A77E1">
        <w:fldChar w:fldCharType="separate"/>
      </w:r>
      <w:r w:rsidR="00D12276" w:rsidRPr="00210B7C">
        <w:t xml:space="preserve">Table </w:t>
      </w:r>
      <w:r w:rsidR="00D12276" w:rsidRPr="00D12276">
        <w:rPr>
          <w:noProof/>
        </w:rPr>
        <w:t>9</w:t>
      </w:r>
      <w:r w:rsidR="002A77E1">
        <w:fldChar w:fldCharType="end"/>
      </w:r>
      <w:r>
        <w:rPr>
          <w:lang w:val="en-AU" w:eastAsia="en-AU"/>
        </w:rPr>
        <w:t xml:space="preserve">). </w:t>
      </w:r>
    </w:p>
    <w:p w14:paraId="15720FFD" w14:textId="77777777" w:rsidR="0059608E" w:rsidRDefault="0059608E" w:rsidP="00015606">
      <w:pPr>
        <w:spacing w:line="276" w:lineRule="auto"/>
        <w:rPr>
          <w:lang w:val="en-AU" w:eastAsia="en-AU"/>
        </w:rPr>
      </w:pPr>
    </w:p>
    <w:p w14:paraId="5958C0B5" w14:textId="0B24FE64" w:rsidR="00BA1DC1" w:rsidRDefault="00BD5C81" w:rsidP="00015606">
      <w:pPr>
        <w:spacing w:line="276" w:lineRule="auto"/>
        <w:rPr>
          <w:lang w:val="en-AU"/>
        </w:rPr>
      </w:pPr>
      <w:r w:rsidRPr="00BD5C81">
        <w:rPr>
          <w:lang w:val="en-AU"/>
        </w:rPr>
        <w:t xml:space="preserve">In addition to </w:t>
      </w:r>
      <w:r>
        <w:rPr>
          <w:lang w:val="en-AU"/>
        </w:rPr>
        <w:t xml:space="preserve">deploying </w:t>
      </w:r>
      <w:r w:rsidRPr="00BD5C81">
        <w:rPr>
          <w:lang w:val="en-AU"/>
        </w:rPr>
        <w:t>passive sampl</w:t>
      </w:r>
      <w:r>
        <w:rPr>
          <w:lang w:val="en-AU"/>
        </w:rPr>
        <w:t xml:space="preserve">ers </w:t>
      </w:r>
      <w:r w:rsidRPr="00BD5C81">
        <w:rPr>
          <w:lang w:val="en-AU"/>
        </w:rPr>
        <w:t>at the B</w:t>
      </w:r>
      <w:r>
        <w:rPr>
          <w:lang w:val="en-AU"/>
        </w:rPr>
        <w:t>a</w:t>
      </w:r>
      <w:r w:rsidRPr="00BD5C81">
        <w:rPr>
          <w:lang w:val="en-AU"/>
        </w:rPr>
        <w:t xml:space="preserve">rratta Creek </w:t>
      </w:r>
      <w:r>
        <w:rPr>
          <w:lang w:val="en-AU"/>
        </w:rPr>
        <w:t>m</w:t>
      </w:r>
      <w:r w:rsidRPr="00BD5C81">
        <w:rPr>
          <w:lang w:val="en-AU"/>
        </w:rPr>
        <w:t xml:space="preserve">outh, </w:t>
      </w:r>
      <w:r>
        <w:rPr>
          <w:lang w:val="en-AU"/>
        </w:rPr>
        <w:t xml:space="preserve">grab samples were also collected from this location, as well as from several locations within the Burdekin River mouth (to the south of Barratta Creek). </w:t>
      </w:r>
      <w:r w:rsidR="00B93FA5">
        <w:rPr>
          <w:lang w:val="en-AU"/>
        </w:rPr>
        <w:t xml:space="preserve">The Burdekin River is a large river system, with river flow rates </w:t>
      </w:r>
      <w:r w:rsidR="00BA1DC1">
        <w:rPr>
          <w:lang w:val="en-AU"/>
        </w:rPr>
        <w:t xml:space="preserve">approximately </w:t>
      </w:r>
      <w:r w:rsidR="00B93FA5">
        <w:rPr>
          <w:lang w:val="en-AU"/>
        </w:rPr>
        <w:t xml:space="preserve">two orders of magnitude higher </w:t>
      </w:r>
      <w:r w:rsidR="00A311E9">
        <w:rPr>
          <w:lang w:val="en-AU"/>
        </w:rPr>
        <w:t xml:space="preserve">than Barratta Creek </w:t>
      </w:r>
      <w:r w:rsidR="00BA1DC1">
        <w:rPr>
          <w:lang w:val="en-AU"/>
        </w:rPr>
        <w:t xml:space="preserve">and a different flow event pattern </w:t>
      </w:r>
      <w:r w:rsidR="00B93FA5">
        <w:rPr>
          <w:lang w:val="en-AU"/>
        </w:rPr>
        <w:t>(</w:t>
      </w:r>
      <w:r w:rsidR="00B93FA5" w:rsidRPr="0099427D">
        <w:rPr>
          <w:lang w:val="en-AU"/>
        </w:rPr>
        <w:fldChar w:fldCharType="begin"/>
      </w:r>
      <w:r w:rsidR="00B93FA5" w:rsidRPr="0099427D">
        <w:rPr>
          <w:lang w:val="en-AU"/>
        </w:rPr>
        <w:instrText xml:space="preserve"> REF _Ref502034000 \h  \* MERGEFORMAT </w:instrText>
      </w:r>
      <w:r w:rsidR="00B93FA5" w:rsidRPr="0099427D">
        <w:rPr>
          <w:lang w:val="en-AU"/>
        </w:rPr>
      </w:r>
      <w:r w:rsidR="00B93FA5" w:rsidRPr="0099427D">
        <w:rPr>
          <w:lang w:val="en-AU"/>
        </w:rPr>
        <w:fldChar w:fldCharType="separate"/>
      </w:r>
      <w:r w:rsidR="00D12276" w:rsidRPr="00747824">
        <w:t xml:space="preserve">Figure </w:t>
      </w:r>
      <w:r w:rsidR="00D12276" w:rsidRPr="00D12276">
        <w:rPr>
          <w:noProof/>
        </w:rPr>
        <w:t>12</w:t>
      </w:r>
      <w:r w:rsidR="00B93FA5" w:rsidRPr="0099427D">
        <w:rPr>
          <w:lang w:val="en-AU"/>
        </w:rPr>
        <w:fldChar w:fldCharType="end"/>
      </w:r>
      <w:r w:rsidR="00B93FA5">
        <w:rPr>
          <w:lang w:val="en-AU"/>
        </w:rPr>
        <w:t xml:space="preserve"> B vs C). </w:t>
      </w:r>
    </w:p>
    <w:p w14:paraId="757E45FE" w14:textId="77777777" w:rsidR="00BA1DC1" w:rsidRDefault="00BA1DC1" w:rsidP="00015606">
      <w:pPr>
        <w:spacing w:line="276" w:lineRule="auto"/>
        <w:rPr>
          <w:lang w:val="en-AU"/>
        </w:rPr>
      </w:pPr>
    </w:p>
    <w:p w14:paraId="15721000" w14:textId="21748154" w:rsidR="00D164E2" w:rsidRPr="00BD5C81" w:rsidRDefault="00BA1DC1" w:rsidP="00015606">
      <w:pPr>
        <w:spacing w:line="276" w:lineRule="auto"/>
        <w:rPr>
          <w:lang w:val="en-AU"/>
        </w:rPr>
      </w:pPr>
      <w:r>
        <w:rPr>
          <w:lang w:val="en-AU"/>
        </w:rPr>
        <w:t xml:space="preserve">Whilst the 2015-16 annual load of pesticides discharged from the Burdekin River was around one third of that for Barratta Creek, the profile of pesticides was fairly similar, dominated by </w:t>
      </w:r>
      <w:r w:rsidR="00FD1251">
        <w:rPr>
          <w:lang w:val="en-AU"/>
        </w:rPr>
        <w:t>atrazine, diuron and 2,4-D (</w:t>
      </w:r>
      <w:r w:rsidR="009A7845" w:rsidRPr="009A7845">
        <w:rPr>
          <w:lang w:val="en-AU"/>
        </w:rPr>
        <w:t>Huggins et al.,</w:t>
      </w:r>
      <w:r w:rsidR="009A7845">
        <w:rPr>
          <w:i/>
          <w:lang w:val="en-AU"/>
        </w:rPr>
        <w:t xml:space="preserve"> in prep</w:t>
      </w:r>
      <w:r w:rsidR="00FD1251">
        <w:rPr>
          <w:lang w:val="en-AU"/>
        </w:rPr>
        <w:t>).</w:t>
      </w:r>
      <w:r>
        <w:rPr>
          <w:lang w:val="en-AU"/>
        </w:rPr>
        <w:t xml:space="preserve"> Tebuthiuron was, however, only discharged from</w:t>
      </w:r>
      <w:r w:rsidR="00FD1251">
        <w:rPr>
          <w:lang w:val="en-AU"/>
        </w:rPr>
        <w:t xml:space="preserve"> the </w:t>
      </w:r>
      <w:r w:rsidR="00EE1BF8">
        <w:rPr>
          <w:lang w:val="en-AU"/>
        </w:rPr>
        <w:t>Burdekin River</w:t>
      </w:r>
      <w:r>
        <w:rPr>
          <w:lang w:val="en-AU"/>
        </w:rPr>
        <w:t>,</w:t>
      </w:r>
      <w:r w:rsidR="00EE1BF8">
        <w:rPr>
          <w:lang w:val="en-AU"/>
        </w:rPr>
        <w:t xml:space="preserve"> </w:t>
      </w:r>
      <w:r>
        <w:rPr>
          <w:lang w:val="en-AU"/>
        </w:rPr>
        <w:t>and</w:t>
      </w:r>
      <w:r w:rsidR="00FD1251">
        <w:rPr>
          <w:lang w:val="en-AU"/>
        </w:rPr>
        <w:t xml:space="preserve"> was not </w:t>
      </w:r>
      <w:r w:rsidR="00903A83">
        <w:rPr>
          <w:lang w:val="en-AU"/>
        </w:rPr>
        <w:t>present</w:t>
      </w:r>
      <w:r w:rsidR="00FD1251">
        <w:rPr>
          <w:lang w:val="en-AU"/>
        </w:rPr>
        <w:t xml:space="preserve"> in the Barratta Creek</w:t>
      </w:r>
      <w:r>
        <w:rPr>
          <w:lang w:val="en-AU"/>
        </w:rPr>
        <w:t xml:space="preserve">. </w:t>
      </w:r>
      <w:r w:rsidR="00896C20">
        <w:rPr>
          <w:lang w:val="en-AU"/>
        </w:rPr>
        <w:t xml:space="preserve">Consistent with the loads </w:t>
      </w:r>
      <w:r>
        <w:rPr>
          <w:lang w:val="en-AU"/>
        </w:rPr>
        <w:t xml:space="preserve">profiles </w:t>
      </w:r>
      <w:r w:rsidR="00896C20">
        <w:rPr>
          <w:lang w:val="en-AU"/>
        </w:rPr>
        <w:t>and the passive sampling results from the Barratta Creek</w:t>
      </w:r>
      <w:r w:rsidR="00903A83">
        <w:rPr>
          <w:lang w:val="en-AU"/>
        </w:rPr>
        <w:t xml:space="preserve"> mouth</w:t>
      </w:r>
      <w:r w:rsidR="00896C20">
        <w:rPr>
          <w:lang w:val="en-AU"/>
        </w:rPr>
        <w:t xml:space="preserve">, the profiles of pesticides in the grab samples at both </w:t>
      </w:r>
      <w:r w:rsidR="00094A7B">
        <w:rPr>
          <w:lang w:val="en-AU"/>
        </w:rPr>
        <w:t>river mouths</w:t>
      </w:r>
      <w:r w:rsidR="00896C20">
        <w:rPr>
          <w:lang w:val="en-AU"/>
        </w:rPr>
        <w:t xml:space="preserve"> were dominated by atrazine (and its breakdown products), diuron and 2,4-D</w:t>
      </w:r>
      <w:r w:rsidR="00094A7B">
        <w:rPr>
          <w:lang w:val="en-AU"/>
        </w:rPr>
        <w:t>, with tebuthiuron at detectable levels only in the Burdekin samples</w:t>
      </w:r>
      <w:r w:rsidR="00896C20">
        <w:rPr>
          <w:lang w:val="en-AU"/>
        </w:rPr>
        <w:t xml:space="preserve"> </w:t>
      </w:r>
      <w:r w:rsidR="00896C20" w:rsidRPr="009308E1">
        <w:rPr>
          <w:lang w:val="en-GB" w:eastAsia="en-AU"/>
        </w:rPr>
        <w:t>(</w:t>
      </w:r>
      <w:r w:rsidR="002A77E1">
        <w:fldChar w:fldCharType="begin"/>
      </w:r>
      <w:r w:rsidR="002A77E1">
        <w:instrText xml:space="preserve"> REF _Ref480726395 \h  \* MERGEFORMAT </w:instrText>
      </w:r>
      <w:r w:rsidR="002A77E1">
        <w:fldChar w:fldCharType="separate"/>
      </w:r>
      <w:r w:rsidR="00D12276">
        <w:t xml:space="preserve">Table </w:t>
      </w:r>
      <w:r w:rsidR="00D12276">
        <w:rPr>
          <w:noProof/>
        </w:rPr>
        <w:t>G</w:t>
      </w:r>
      <w:r w:rsidR="00D12276">
        <w:rPr>
          <w:noProof/>
        </w:rPr>
        <w:noBreakHyphen/>
        <w:t>1</w:t>
      </w:r>
      <w:r w:rsidR="002A77E1">
        <w:fldChar w:fldCharType="end"/>
      </w:r>
      <w:r w:rsidR="00896C20" w:rsidRPr="009308E1">
        <w:rPr>
          <w:lang w:val="en-GB" w:eastAsia="en-AU"/>
        </w:rPr>
        <w:t>)</w:t>
      </w:r>
      <w:r w:rsidR="00896C20">
        <w:rPr>
          <w:lang w:val="en-GB" w:eastAsia="en-AU"/>
        </w:rPr>
        <w:t xml:space="preserve">. </w:t>
      </w:r>
      <w:r w:rsidR="00896C20">
        <w:rPr>
          <w:lang w:val="en-AU"/>
        </w:rPr>
        <w:t xml:space="preserve">The </w:t>
      </w:r>
      <w:r w:rsidR="00094A7B">
        <w:rPr>
          <w:lang w:val="en-AU"/>
        </w:rPr>
        <w:t>highest pesticide concentrations</w:t>
      </w:r>
      <w:r w:rsidR="00896C20">
        <w:rPr>
          <w:lang w:val="en-AU"/>
        </w:rPr>
        <w:t xml:space="preserve"> </w:t>
      </w:r>
      <w:r w:rsidR="00094A7B">
        <w:rPr>
          <w:lang w:val="en-AU"/>
        </w:rPr>
        <w:t xml:space="preserve">in passive samplers </w:t>
      </w:r>
      <w:r w:rsidR="00896C20">
        <w:rPr>
          <w:lang w:val="en-AU"/>
        </w:rPr>
        <w:t>at Barratta Creek fixed monitoring site were measured in the deployment period 5 January to 6 February</w:t>
      </w:r>
      <w:r w:rsidR="00622D25">
        <w:rPr>
          <w:lang w:val="en-AU"/>
        </w:rPr>
        <w:t xml:space="preserve">, which coincided with two high flow events </w:t>
      </w:r>
      <w:r w:rsidR="009C7BE9">
        <w:rPr>
          <w:lang w:val="en-AU"/>
        </w:rPr>
        <w:t xml:space="preserve">that occurred </w:t>
      </w:r>
      <w:r w:rsidR="00622D25">
        <w:rPr>
          <w:lang w:val="en-AU"/>
        </w:rPr>
        <w:t>in the first week of January and the first week of February</w:t>
      </w:r>
      <w:r w:rsidR="00896C20">
        <w:rPr>
          <w:lang w:val="en-AU"/>
        </w:rPr>
        <w:t xml:space="preserve">. Grab samples </w:t>
      </w:r>
      <w:r w:rsidR="00094A7B">
        <w:rPr>
          <w:lang w:val="en-AU"/>
        </w:rPr>
        <w:t xml:space="preserve">were </w:t>
      </w:r>
      <w:r w:rsidR="00896C20">
        <w:rPr>
          <w:lang w:val="en-AU"/>
        </w:rPr>
        <w:t xml:space="preserve">collected </w:t>
      </w:r>
      <w:r w:rsidR="009C7BE9">
        <w:rPr>
          <w:lang w:val="en-AU"/>
        </w:rPr>
        <w:t>during each of these high flow events</w:t>
      </w:r>
      <w:r w:rsidR="00896C20">
        <w:rPr>
          <w:lang w:val="en-AU"/>
        </w:rPr>
        <w:t xml:space="preserve">, </w:t>
      </w:r>
      <w:r w:rsidR="00094A7B">
        <w:rPr>
          <w:lang w:val="en-AU"/>
        </w:rPr>
        <w:t xml:space="preserve">and Category 4 PSII-HEq Max values in the grab samples were </w:t>
      </w:r>
      <w:r w:rsidR="00622D25">
        <w:rPr>
          <w:lang w:val="en-AU"/>
        </w:rPr>
        <w:t>reached</w:t>
      </w:r>
      <w:r w:rsidR="00094A7B">
        <w:rPr>
          <w:lang w:val="en-AU"/>
        </w:rPr>
        <w:t xml:space="preserve"> at Barratta Creek mouth on 5 January (12 ng L</w:t>
      </w:r>
      <w:r w:rsidR="00094A7B" w:rsidRPr="00094A7B">
        <w:rPr>
          <w:vertAlign w:val="superscript"/>
          <w:lang w:val="en-AU"/>
        </w:rPr>
        <w:t>-1</w:t>
      </w:r>
      <w:r w:rsidR="00094A7B">
        <w:rPr>
          <w:lang w:val="en-AU"/>
        </w:rPr>
        <w:t>) and at the Burdekin River mouth on 6 February (19 ng L</w:t>
      </w:r>
      <w:r w:rsidR="00094A7B" w:rsidRPr="00094A7B">
        <w:rPr>
          <w:vertAlign w:val="superscript"/>
          <w:lang w:val="en-AU"/>
        </w:rPr>
        <w:t>-1</w:t>
      </w:r>
      <w:r w:rsidR="00094A7B">
        <w:rPr>
          <w:lang w:val="en-AU"/>
        </w:rPr>
        <w:t>). The Burdekin River mouth sample also contained tebuthiuron</w:t>
      </w:r>
      <w:r>
        <w:rPr>
          <w:lang w:val="en-AU"/>
        </w:rPr>
        <w:t xml:space="preserve"> at detectable levels</w:t>
      </w:r>
      <w:r w:rsidR="00094A7B">
        <w:rPr>
          <w:lang w:val="en-AU"/>
        </w:rPr>
        <w:t xml:space="preserve"> </w:t>
      </w:r>
      <w:r w:rsidR="009C7BE9">
        <w:rPr>
          <w:lang w:val="en-AU"/>
        </w:rPr>
        <w:t>(7.7 ng L</w:t>
      </w:r>
      <w:r w:rsidR="009C7BE9" w:rsidRPr="00094A7B">
        <w:rPr>
          <w:vertAlign w:val="superscript"/>
          <w:lang w:val="en-AU"/>
        </w:rPr>
        <w:t>-1</w:t>
      </w:r>
      <w:r w:rsidR="009C7BE9">
        <w:rPr>
          <w:lang w:val="en-AU"/>
        </w:rPr>
        <w:t xml:space="preserve">, </w:t>
      </w:r>
      <w:r w:rsidR="002A77E1">
        <w:fldChar w:fldCharType="begin"/>
      </w:r>
      <w:r w:rsidR="002A77E1">
        <w:instrText xml:space="preserve"> REF _Ref480726395 \h  \* MERGEFORMAT </w:instrText>
      </w:r>
      <w:r w:rsidR="002A77E1">
        <w:fldChar w:fldCharType="separate"/>
      </w:r>
      <w:r w:rsidR="00D12276">
        <w:t xml:space="preserve">Table </w:t>
      </w:r>
      <w:r w:rsidR="00D12276">
        <w:rPr>
          <w:noProof/>
        </w:rPr>
        <w:t>G</w:t>
      </w:r>
      <w:r w:rsidR="00D12276">
        <w:rPr>
          <w:noProof/>
        </w:rPr>
        <w:noBreakHyphen/>
        <w:t>1</w:t>
      </w:r>
      <w:r w:rsidR="002A77E1">
        <w:fldChar w:fldCharType="end"/>
      </w:r>
      <w:r w:rsidR="00094A7B">
        <w:rPr>
          <w:lang w:val="en-AU"/>
        </w:rPr>
        <w:t xml:space="preserve">). </w:t>
      </w:r>
      <w:r w:rsidR="00903A83">
        <w:rPr>
          <w:lang w:val="en-AU"/>
        </w:rPr>
        <w:t>T</w:t>
      </w:r>
      <w:r w:rsidR="00094A7B">
        <w:rPr>
          <w:lang w:val="en-AU"/>
        </w:rPr>
        <w:t xml:space="preserve">he levels </w:t>
      </w:r>
      <w:r w:rsidR="00AF54C4">
        <w:rPr>
          <w:lang w:val="en-AU"/>
        </w:rPr>
        <w:t xml:space="preserve">of pesticide measured </w:t>
      </w:r>
      <w:r w:rsidR="00094A7B">
        <w:rPr>
          <w:lang w:val="en-AU"/>
        </w:rPr>
        <w:t xml:space="preserve">in the Burdekin River mouth were quite localised as </w:t>
      </w:r>
      <w:r w:rsidR="00622D25">
        <w:rPr>
          <w:lang w:val="en-AU"/>
        </w:rPr>
        <w:t xml:space="preserve">grab </w:t>
      </w:r>
      <w:r w:rsidR="00094A7B">
        <w:rPr>
          <w:lang w:val="en-AU"/>
        </w:rPr>
        <w:t>samples from two other positions (BUR14 and BUR15</w:t>
      </w:r>
      <w:r w:rsidR="00622D25">
        <w:rPr>
          <w:lang w:val="en-AU"/>
        </w:rPr>
        <w:t>,</w:t>
      </w:r>
      <w:r w:rsidR="008B7228">
        <w:rPr>
          <w:lang w:val="en-AU"/>
        </w:rPr>
        <w:t xml:space="preserve"> to the south</w:t>
      </w:r>
      <w:r w:rsidR="00094A7B">
        <w:rPr>
          <w:lang w:val="en-AU"/>
        </w:rPr>
        <w:t xml:space="preserve"> of the main discharge channel) </w:t>
      </w:r>
      <w:r w:rsidR="00622D25">
        <w:rPr>
          <w:lang w:val="en-AU"/>
        </w:rPr>
        <w:t>had</w:t>
      </w:r>
      <w:r w:rsidR="00094A7B">
        <w:rPr>
          <w:lang w:val="en-AU"/>
        </w:rPr>
        <w:t xml:space="preserve"> considerably lower </w:t>
      </w:r>
      <w:r w:rsidR="00622D25">
        <w:rPr>
          <w:lang w:val="en-AU"/>
        </w:rPr>
        <w:t xml:space="preserve">levels </w:t>
      </w:r>
      <w:r w:rsidR="00094A7B">
        <w:rPr>
          <w:lang w:val="en-AU"/>
        </w:rPr>
        <w:t>(</w:t>
      </w:r>
      <w:r w:rsidR="00903A83" w:rsidRPr="0099427D">
        <w:rPr>
          <w:lang w:val="en-AU"/>
        </w:rPr>
        <w:fldChar w:fldCharType="begin"/>
      </w:r>
      <w:r w:rsidR="00903A83" w:rsidRPr="0099427D">
        <w:rPr>
          <w:lang w:val="en-AU"/>
        </w:rPr>
        <w:instrText xml:space="preserve"> REF _Ref502034000 \h  \* MERGEFORMAT </w:instrText>
      </w:r>
      <w:r w:rsidR="00903A83" w:rsidRPr="0099427D">
        <w:rPr>
          <w:lang w:val="en-AU"/>
        </w:rPr>
      </w:r>
      <w:r w:rsidR="00903A83" w:rsidRPr="0099427D">
        <w:rPr>
          <w:lang w:val="en-AU"/>
        </w:rPr>
        <w:fldChar w:fldCharType="separate"/>
      </w:r>
      <w:r w:rsidR="00D12276" w:rsidRPr="00747824">
        <w:t xml:space="preserve">Figure </w:t>
      </w:r>
      <w:r w:rsidR="00D12276" w:rsidRPr="00D12276">
        <w:rPr>
          <w:noProof/>
        </w:rPr>
        <w:t>12</w:t>
      </w:r>
      <w:r w:rsidR="00903A83" w:rsidRPr="0099427D">
        <w:rPr>
          <w:lang w:val="en-AU"/>
        </w:rPr>
        <w:fldChar w:fldCharType="end"/>
      </w:r>
      <w:r w:rsidR="00903A83">
        <w:rPr>
          <w:lang w:val="en-AU"/>
        </w:rPr>
        <w:t xml:space="preserve"> C</w:t>
      </w:r>
      <w:r w:rsidR="00094A7B">
        <w:rPr>
          <w:lang w:val="en-AU"/>
        </w:rPr>
        <w:t xml:space="preserve">). </w:t>
      </w:r>
      <w:r w:rsidR="00E714D0">
        <w:rPr>
          <w:lang w:val="en-AU"/>
        </w:rPr>
        <w:t xml:space="preserve">At present, a </w:t>
      </w:r>
      <w:r w:rsidR="00A34A81">
        <w:rPr>
          <w:lang w:val="en-AU"/>
        </w:rPr>
        <w:t xml:space="preserve">fixed </w:t>
      </w:r>
      <w:r w:rsidR="00E714D0">
        <w:rPr>
          <w:lang w:val="en-AU"/>
        </w:rPr>
        <w:t xml:space="preserve">passive sampling site is located within the Barratta Creek mouth </w:t>
      </w:r>
      <w:r w:rsidR="00A34A81">
        <w:rPr>
          <w:lang w:val="en-AU"/>
        </w:rPr>
        <w:t>but</w:t>
      </w:r>
      <w:r w:rsidR="00E714D0">
        <w:rPr>
          <w:lang w:val="en-AU"/>
        </w:rPr>
        <w:t xml:space="preserve"> </w:t>
      </w:r>
      <w:r w:rsidR="00A34A81">
        <w:rPr>
          <w:lang w:val="en-AU"/>
        </w:rPr>
        <w:t>no ongoing monitoring of the</w:t>
      </w:r>
      <w:r w:rsidR="00E714D0">
        <w:rPr>
          <w:lang w:val="en-AU"/>
        </w:rPr>
        <w:t xml:space="preserve"> Burdekin River outflow</w:t>
      </w:r>
      <w:r w:rsidR="00A34A81">
        <w:rPr>
          <w:lang w:val="en-AU"/>
        </w:rPr>
        <w:t xml:space="preserve"> is taking place</w:t>
      </w:r>
      <w:r w:rsidR="00E714D0">
        <w:rPr>
          <w:lang w:val="en-AU"/>
        </w:rPr>
        <w:t xml:space="preserve">. The comparable pesticide levels in the Burdekin River and Barratta Creek grab samples, </w:t>
      </w:r>
      <w:r w:rsidR="00A34A81">
        <w:rPr>
          <w:lang w:val="en-AU"/>
        </w:rPr>
        <w:t xml:space="preserve">suggests that future assessments of passive sampling site locations </w:t>
      </w:r>
      <w:r w:rsidR="00903A83">
        <w:rPr>
          <w:lang w:val="en-AU"/>
        </w:rPr>
        <w:t>should consider</w:t>
      </w:r>
      <w:r w:rsidR="00A34A81">
        <w:rPr>
          <w:lang w:val="en-AU"/>
        </w:rPr>
        <w:t xml:space="preserve"> the </w:t>
      </w:r>
      <w:r w:rsidR="009E27D7">
        <w:rPr>
          <w:lang w:val="en-AU"/>
        </w:rPr>
        <w:t xml:space="preserve">optimal positioning of the </w:t>
      </w:r>
      <w:r w:rsidR="00A34A81">
        <w:rPr>
          <w:lang w:val="en-AU"/>
        </w:rPr>
        <w:t>fixed monitoring site in this area, particularly if there is overlap in the typical flood plume paths from these two river systems</w:t>
      </w:r>
      <w:r w:rsidR="00622D25">
        <w:rPr>
          <w:lang w:val="en-AU"/>
        </w:rPr>
        <w:t>.</w:t>
      </w:r>
      <w:r w:rsidR="00A34A81" w:rsidRPr="00A34A81">
        <w:rPr>
          <w:lang w:val="en-AU"/>
        </w:rPr>
        <w:t xml:space="preserve"> </w:t>
      </w:r>
    </w:p>
    <w:p w14:paraId="15721001" w14:textId="77777777" w:rsidR="00D164E2" w:rsidRDefault="00D164E2" w:rsidP="00015606">
      <w:pPr>
        <w:spacing w:line="276" w:lineRule="auto"/>
        <w:rPr>
          <w:sz w:val="18"/>
          <w:szCs w:val="18"/>
          <w:lang w:val="en-AU" w:eastAsia="en-AU"/>
        </w:rPr>
      </w:pPr>
    </w:p>
    <w:p w14:paraId="15721002" w14:textId="77777777" w:rsidR="0059608E" w:rsidRDefault="0059608E" w:rsidP="00220439">
      <w:pPr>
        <w:pStyle w:val="Heading30"/>
        <w:numPr>
          <w:ilvl w:val="2"/>
          <w:numId w:val="1"/>
        </w:numPr>
      </w:pPr>
      <w:bookmarkStart w:id="599" w:name="_Toc378287120"/>
      <w:bookmarkStart w:id="600" w:name="_Toc335638591"/>
      <w:bookmarkStart w:id="601" w:name="_Toc335641201"/>
      <w:bookmarkStart w:id="602" w:name="_Toc335638592"/>
      <w:bookmarkStart w:id="603" w:name="_Toc335641202"/>
      <w:bookmarkStart w:id="604" w:name="_Toc335638593"/>
      <w:bookmarkStart w:id="605" w:name="_Toc335641203"/>
      <w:bookmarkStart w:id="606" w:name="_Toc335638594"/>
      <w:bookmarkStart w:id="607" w:name="_Toc335641204"/>
      <w:bookmarkStart w:id="608" w:name="_Toc335638595"/>
      <w:bookmarkStart w:id="609" w:name="_Toc335641205"/>
      <w:bookmarkStart w:id="610" w:name="_Toc335638596"/>
      <w:bookmarkStart w:id="611" w:name="_Toc335641206"/>
      <w:bookmarkStart w:id="612" w:name="_Toc335638597"/>
      <w:bookmarkStart w:id="613" w:name="_Toc335641207"/>
      <w:bookmarkStart w:id="614" w:name="_Toc335638598"/>
      <w:bookmarkStart w:id="615" w:name="_Toc335641208"/>
      <w:bookmarkStart w:id="616" w:name="_Toc335638599"/>
      <w:bookmarkStart w:id="617" w:name="_Toc335641209"/>
      <w:bookmarkStart w:id="618" w:name="_Toc335638600"/>
      <w:bookmarkStart w:id="619" w:name="_Toc335641210"/>
      <w:bookmarkStart w:id="620" w:name="_Toc335638601"/>
      <w:bookmarkStart w:id="621" w:name="_Toc335641211"/>
      <w:bookmarkStart w:id="622" w:name="_Toc335638602"/>
      <w:bookmarkStart w:id="623" w:name="_Toc335641212"/>
      <w:bookmarkStart w:id="624" w:name="_Toc335638603"/>
      <w:bookmarkStart w:id="625" w:name="_Toc335641213"/>
      <w:bookmarkStart w:id="626" w:name="_Toc335638604"/>
      <w:bookmarkStart w:id="627" w:name="_Toc335641214"/>
      <w:bookmarkStart w:id="628" w:name="_Toc335638605"/>
      <w:bookmarkStart w:id="629" w:name="_Toc335641215"/>
      <w:bookmarkStart w:id="630" w:name="_Toc335638606"/>
      <w:bookmarkStart w:id="631" w:name="_Toc335641216"/>
      <w:bookmarkStart w:id="632" w:name="_Toc335638607"/>
      <w:bookmarkStart w:id="633" w:name="_Toc335641217"/>
      <w:bookmarkStart w:id="634" w:name="_Toc335638608"/>
      <w:bookmarkStart w:id="635" w:name="_Toc335641218"/>
      <w:bookmarkStart w:id="636" w:name="_Toc335638609"/>
      <w:bookmarkStart w:id="637" w:name="_Toc335641219"/>
      <w:bookmarkStart w:id="638" w:name="_Toc335638610"/>
      <w:bookmarkStart w:id="639" w:name="_Toc335641220"/>
      <w:bookmarkStart w:id="640" w:name="_Toc335638611"/>
      <w:bookmarkStart w:id="641" w:name="_Toc335641221"/>
      <w:bookmarkStart w:id="642" w:name="_Toc335638612"/>
      <w:bookmarkStart w:id="643" w:name="_Toc335641222"/>
      <w:bookmarkStart w:id="644" w:name="_Toc335638613"/>
      <w:bookmarkStart w:id="645" w:name="_Toc335641223"/>
      <w:bookmarkStart w:id="646" w:name="_Toc335638614"/>
      <w:bookmarkStart w:id="647" w:name="_Toc335641224"/>
      <w:bookmarkStart w:id="648" w:name="_Toc335638615"/>
      <w:bookmarkStart w:id="649" w:name="_Toc335641225"/>
      <w:bookmarkStart w:id="650" w:name="_Toc335638616"/>
      <w:bookmarkStart w:id="651" w:name="_Toc335641226"/>
      <w:bookmarkStart w:id="652" w:name="_Toc335638617"/>
      <w:bookmarkStart w:id="653" w:name="_Toc335641227"/>
      <w:bookmarkStart w:id="654" w:name="_Toc461457776"/>
      <w:bookmarkStart w:id="655" w:name="_Toc502500021"/>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r>
        <w:t>Mackay Whitsunday Region</w:t>
      </w:r>
      <w:bookmarkEnd w:id="654"/>
      <w:bookmarkEnd w:id="655"/>
    </w:p>
    <w:p w14:paraId="53EFCDB7" w14:textId="37A9051E" w:rsidR="00CE70A5" w:rsidRDefault="00AC43D1" w:rsidP="00015606">
      <w:pPr>
        <w:spacing w:line="276" w:lineRule="auto"/>
        <w:rPr>
          <w:lang w:val="en-AU"/>
        </w:rPr>
      </w:pPr>
      <w:r>
        <w:rPr>
          <w:lang w:val="en-AU"/>
        </w:rPr>
        <w:t>The Mackay Whitsunday region had the highest rainfall of all the Reef discharge catchments in 2015-16, with the maximum we</w:t>
      </w:r>
      <w:r w:rsidR="00DF62C6">
        <w:rPr>
          <w:lang w:val="en-AU"/>
        </w:rPr>
        <w:t>ekly rainfall of</w:t>
      </w:r>
      <w:r>
        <w:rPr>
          <w:lang w:val="en-AU"/>
        </w:rPr>
        <w:t xml:space="preserve"> 400 mm falling in the O’Connell catchment in early March 2016 (</w:t>
      </w:r>
      <w:r w:rsidR="002A77E1">
        <w:fldChar w:fldCharType="begin"/>
      </w:r>
      <w:r w:rsidR="002A77E1">
        <w:instrText xml:space="preserve"> REF _Ref480727419 \h  \* MERGEFORMAT </w:instrText>
      </w:r>
      <w:r w:rsidR="002A77E1">
        <w:fldChar w:fldCharType="separate"/>
      </w:r>
      <w:r w:rsidR="00D12276" w:rsidRPr="00210B7C">
        <w:t xml:space="preserve">Table </w:t>
      </w:r>
      <w:r w:rsidR="00D12276" w:rsidRPr="00D12276">
        <w:t>4</w:t>
      </w:r>
      <w:r w:rsidR="002A77E1">
        <w:fldChar w:fldCharType="end"/>
      </w:r>
      <w:r w:rsidR="00DF62C6">
        <w:rPr>
          <w:lang w:val="en-AU"/>
        </w:rPr>
        <w:t>).</w:t>
      </w:r>
      <w:r w:rsidR="00130543">
        <w:rPr>
          <w:lang w:val="en-AU"/>
        </w:rPr>
        <w:t xml:space="preserve"> </w:t>
      </w:r>
      <w:r w:rsidR="00DF62C6">
        <w:rPr>
          <w:lang w:val="en-AU"/>
        </w:rPr>
        <w:t xml:space="preserve">Despite this, the </w:t>
      </w:r>
      <w:r w:rsidR="00130543">
        <w:rPr>
          <w:lang w:val="en-AU"/>
        </w:rPr>
        <w:t xml:space="preserve">annual </w:t>
      </w:r>
      <w:r w:rsidR="00DF62C6">
        <w:rPr>
          <w:lang w:val="en-AU"/>
        </w:rPr>
        <w:t>discharge from the major rivers in the regi</w:t>
      </w:r>
      <w:r w:rsidR="00A77BB6">
        <w:rPr>
          <w:lang w:val="en-AU"/>
        </w:rPr>
        <w:t>on were all well below the long-</w:t>
      </w:r>
      <w:r w:rsidR="00DF62C6">
        <w:rPr>
          <w:lang w:val="en-AU"/>
        </w:rPr>
        <w:t xml:space="preserve">term </w:t>
      </w:r>
      <w:r w:rsidR="009E27D7">
        <w:rPr>
          <w:lang w:val="en-AU"/>
        </w:rPr>
        <w:t xml:space="preserve">(LT) </w:t>
      </w:r>
      <w:r w:rsidR="00DF62C6">
        <w:rPr>
          <w:lang w:val="en-AU"/>
        </w:rPr>
        <w:t xml:space="preserve">median (0.4 – 0.8 times the LT average; </w:t>
      </w:r>
      <w:r w:rsidR="002A77E1">
        <w:fldChar w:fldCharType="begin"/>
      </w:r>
      <w:r w:rsidR="002A77E1">
        <w:instrText xml:space="preserve"> REF _Ref480727555 \h  \* MERGEFORMAT </w:instrText>
      </w:r>
      <w:r w:rsidR="002A77E1">
        <w:fldChar w:fldCharType="separate"/>
      </w:r>
      <w:r w:rsidR="00D12276" w:rsidRPr="00210B7C">
        <w:t xml:space="preserve">Table </w:t>
      </w:r>
      <w:r w:rsidR="00D12276" w:rsidRPr="00D12276">
        <w:t>5</w:t>
      </w:r>
      <w:r w:rsidR="002A77E1">
        <w:fldChar w:fldCharType="end"/>
      </w:r>
      <w:r w:rsidR="00DF62C6">
        <w:rPr>
          <w:lang w:val="en-AU"/>
        </w:rPr>
        <w:t>).</w:t>
      </w:r>
      <w:r w:rsidR="00CE70A5">
        <w:rPr>
          <w:lang w:val="en-AU"/>
        </w:rPr>
        <w:t xml:space="preserve"> Distinct</w:t>
      </w:r>
      <w:r w:rsidR="00CE70A5" w:rsidRPr="001E47B8">
        <w:rPr>
          <w:lang w:val="en-AU" w:eastAsia="en-AU"/>
        </w:rPr>
        <w:t xml:space="preserve"> wet season high flow events characterised the river flow </w:t>
      </w:r>
      <w:r w:rsidR="00CE70A5">
        <w:rPr>
          <w:lang w:val="en-AU" w:eastAsia="en-AU"/>
        </w:rPr>
        <w:t xml:space="preserve">across the region </w:t>
      </w:r>
      <w:r w:rsidR="00CE70A5" w:rsidRPr="001E47B8">
        <w:rPr>
          <w:lang w:val="en-AU" w:eastAsia="en-AU"/>
        </w:rPr>
        <w:t>(two main events in February and March 2016)</w:t>
      </w:r>
      <w:r w:rsidR="00CE70A5">
        <w:rPr>
          <w:lang w:val="en-AU" w:eastAsia="en-AU"/>
        </w:rPr>
        <w:t xml:space="preserve">, with low or no flow typically through the rest of the year </w:t>
      </w:r>
      <w:r w:rsidR="00CE70A5">
        <w:rPr>
          <w:lang w:val="en-AU"/>
        </w:rPr>
        <w:t>(</w:t>
      </w:r>
      <w:r w:rsidR="00CE70A5" w:rsidRPr="007E7589">
        <w:rPr>
          <w:lang w:val="en-AU"/>
        </w:rPr>
        <w:fldChar w:fldCharType="begin"/>
      </w:r>
      <w:r w:rsidR="00CE70A5" w:rsidRPr="007E7589">
        <w:rPr>
          <w:lang w:val="en-AU"/>
        </w:rPr>
        <w:instrText xml:space="preserve"> REF _Ref502042203 \h  \* MERGEFORMAT </w:instrText>
      </w:r>
      <w:r w:rsidR="00CE70A5" w:rsidRPr="007E7589">
        <w:rPr>
          <w:lang w:val="en-AU"/>
        </w:rPr>
      </w:r>
      <w:r w:rsidR="00CE70A5" w:rsidRPr="007E7589">
        <w:rPr>
          <w:lang w:val="en-AU"/>
        </w:rPr>
        <w:fldChar w:fldCharType="separate"/>
      </w:r>
      <w:r w:rsidR="00D12276" w:rsidRPr="00747824">
        <w:t xml:space="preserve">Figure </w:t>
      </w:r>
      <w:r w:rsidR="00D12276" w:rsidRPr="00D12276">
        <w:rPr>
          <w:noProof/>
        </w:rPr>
        <w:t>13</w:t>
      </w:r>
      <w:r w:rsidR="00CE70A5" w:rsidRPr="007E7589">
        <w:rPr>
          <w:lang w:val="en-AU"/>
        </w:rPr>
        <w:fldChar w:fldCharType="end"/>
      </w:r>
      <w:r w:rsidR="00CE70A5">
        <w:rPr>
          <w:lang w:val="en-AU" w:eastAsia="en-AU"/>
        </w:rPr>
        <w:t>)</w:t>
      </w:r>
      <w:r w:rsidR="00CE70A5" w:rsidRPr="001E47B8">
        <w:rPr>
          <w:lang w:val="en-AU" w:eastAsia="en-AU"/>
        </w:rPr>
        <w:t xml:space="preserve">. At </w:t>
      </w:r>
      <w:r w:rsidR="00CE70A5">
        <w:rPr>
          <w:lang w:val="en-AU" w:eastAsia="en-AU"/>
        </w:rPr>
        <w:t xml:space="preserve">all </w:t>
      </w:r>
      <w:r w:rsidR="00CE70A5" w:rsidRPr="001E47B8">
        <w:rPr>
          <w:lang w:val="en-AU" w:eastAsia="en-AU"/>
        </w:rPr>
        <w:t xml:space="preserve">the fixed monitoring sites, </w:t>
      </w:r>
      <w:r w:rsidR="009E27D7">
        <w:rPr>
          <w:lang w:val="en-AU" w:eastAsia="en-AU"/>
        </w:rPr>
        <w:t xml:space="preserve">where continuous monitoring data were available, </w:t>
      </w:r>
      <w:r w:rsidR="00CE70A5" w:rsidRPr="001E47B8">
        <w:rPr>
          <w:lang w:val="en-AU" w:eastAsia="en-AU"/>
        </w:rPr>
        <w:t xml:space="preserve">highest pesticide concentrations were observed during the first of these </w:t>
      </w:r>
      <w:r w:rsidR="00CE70A5">
        <w:rPr>
          <w:lang w:val="en-AU" w:eastAsia="en-AU"/>
        </w:rPr>
        <w:t xml:space="preserve">high flow </w:t>
      </w:r>
      <w:r w:rsidR="00CE70A5" w:rsidRPr="001E47B8">
        <w:rPr>
          <w:lang w:val="en-AU" w:eastAsia="en-AU"/>
        </w:rPr>
        <w:t>events. The first flush events of the wet season, although typically at lower flow rates than the high flow</w:t>
      </w:r>
      <w:r w:rsidR="009E27D7">
        <w:rPr>
          <w:lang w:val="en-AU" w:eastAsia="en-AU"/>
        </w:rPr>
        <w:t>s</w:t>
      </w:r>
      <w:r w:rsidR="00CE70A5" w:rsidRPr="001E47B8">
        <w:rPr>
          <w:lang w:val="en-AU" w:eastAsia="en-AU"/>
        </w:rPr>
        <w:t xml:space="preserve"> </w:t>
      </w:r>
      <w:r w:rsidR="009E27D7">
        <w:rPr>
          <w:lang w:val="en-AU" w:eastAsia="en-AU"/>
        </w:rPr>
        <w:t>later in the season</w:t>
      </w:r>
      <w:r w:rsidR="00CE70A5" w:rsidRPr="001E47B8">
        <w:rPr>
          <w:lang w:val="en-AU" w:eastAsia="en-AU"/>
        </w:rPr>
        <w:t xml:space="preserve">, were also associated with </w:t>
      </w:r>
      <w:r w:rsidR="00CE70A5">
        <w:rPr>
          <w:lang w:val="en-AU" w:eastAsia="en-AU"/>
        </w:rPr>
        <w:t>elevated</w:t>
      </w:r>
      <w:r w:rsidR="00CE70A5" w:rsidRPr="001E47B8">
        <w:rPr>
          <w:lang w:val="en-AU" w:eastAsia="en-AU"/>
        </w:rPr>
        <w:t xml:space="preserve"> pesticide concentrations</w:t>
      </w:r>
      <w:r w:rsidR="00CE70A5">
        <w:rPr>
          <w:lang w:val="en-AU" w:eastAsia="en-AU"/>
        </w:rPr>
        <w:t xml:space="preserve"> </w:t>
      </w:r>
      <w:r w:rsidR="00CE70A5" w:rsidRPr="001E47B8">
        <w:rPr>
          <w:lang w:val="en-AU" w:eastAsia="en-AU"/>
        </w:rPr>
        <w:t>(</w:t>
      </w:r>
      <w:r w:rsidR="00CE70A5" w:rsidRPr="007E7589">
        <w:rPr>
          <w:lang w:val="en-AU"/>
        </w:rPr>
        <w:fldChar w:fldCharType="begin"/>
      </w:r>
      <w:r w:rsidR="00CE70A5" w:rsidRPr="007E7589">
        <w:rPr>
          <w:lang w:val="en-AU"/>
        </w:rPr>
        <w:instrText xml:space="preserve"> REF _Ref502042203 \h  \* MERGEFORMAT </w:instrText>
      </w:r>
      <w:r w:rsidR="00CE70A5" w:rsidRPr="007E7589">
        <w:rPr>
          <w:lang w:val="en-AU"/>
        </w:rPr>
      </w:r>
      <w:r w:rsidR="00CE70A5" w:rsidRPr="007E7589">
        <w:rPr>
          <w:lang w:val="en-AU"/>
        </w:rPr>
        <w:fldChar w:fldCharType="separate"/>
      </w:r>
      <w:r w:rsidR="00D12276" w:rsidRPr="00747824">
        <w:t xml:space="preserve">Figure </w:t>
      </w:r>
      <w:r w:rsidR="00D12276" w:rsidRPr="00D12276">
        <w:rPr>
          <w:noProof/>
        </w:rPr>
        <w:t>13</w:t>
      </w:r>
      <w:r w:rsidR="00CE70A5" w:rsidRPr="007E7589">
        <w:rPr>
          <w:lang w:val="en-AU"/>
        </w:rPr>
        <w:fldChar w:fldCharType="end"/>
      </w:r>
      <w:r w:rsidR="00CE70A5" w:rsidRPr="001E47B8">
        <w:rPr>
          <w:lang w:val="en-AU" w:eastAsia="en-AU"/>
        </w:rPr>
        <w:t>).</w:t>
      </w:r>
    </w:p>
    <w:p w14:paraId="1ED6721C" w14:textId="77777777" w:rsidR="00CE70A5" w:rsidRDefault="00CE70A5" w:rsidP="00015606">
      <w:pPr>
        <w:spacing w:line="276" w:lineRule="auto"/>
        <w:rPr>
          <w:lang w:val="en-AU"/>
        </w:rPr>
      </w:pPr>
    </w:p>
    <w:p w14:paraId="06F182FE" w14:textId="77777777" w:rsidR="003A752C" w:rsidRDefault="003A752C" w:rsidP="003A752C">
      <w:r w:rsidRPr="007E7589">
        <w:rPr>
          <w:noProof/>
          <w:lang w:val="en-AU" w:eastAsia="en-AU" w:bidi="ar-SA"/>
        </w:rPr>
        <w:drawing>
          <wp:inline distT="0" distB="0" distL="0" distR="0" wp14:anchorId="42651499" wp14:editId="395D94FF">
            <wp:extent cx="6660000" cy="3996000"/>
            <wp:effectExtent l="0" t="0" r="0" b="5080"/>
            <wp:docPr id="22" name="Picture 22" descr="Figure 13: The graphs plot both river flow (in megaliters per day)  influencing the Mackay Whistsundays sampling sites and the measured PSII-HEq concentrations in the passive samples for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660000" cy="3996000"/>
                    </a:xfrm>
                    <a:prstGeom prst="rect">
                      <a:avLst/>
                    </a:prstGeom>
                    <a:noFill/>
                    <a:ln>
                      <a:noFill/>
                    </a:ln>
                  </pic:spPr>
                </pic:pic>
              </a:graphicData>
            </a:graphic>
          </wp:inline>
        </w:drawing>
      </w:r>
    </w:p>
    <w:p w14:paraId="7A3AF20F" w14:textId="451D4E0A" w:rsidR="003A752C" w:rsidRPr="009A7845" w:rsidRDefault="003A752C" w:rsidP="003A752C">
      <w:pPr>
        <w:pStyle w:val="Caption"/>
        <w:keepNext/>
        <w:spacing w:line="276" w:lineRule="auto"/>
        <w:rPr>
          <w:b w:val="0"/>
        </w:rPr>
      </w:pPr>
      <w:bookmarkStart w:id="656" w:name="_Ref502042203"/>
      <w:bookmarkStart w:id="657" w:name="_Toc502499943"/>
      <w:r w:rsidRPr="00747824">
        <w:rPr>
          <w:b w:val="0"/>
        </w:rPr>
        <w:t xml:space="preserve">Figure </w:t>
      </w:r>
      <w:r w:rsidRPr="00747824">
        <w:rPr>
          <w:b w:val="0"/>
        </w:rPr>
        <w:fldChar w:fldCharType="begin"/>
      </w:r>
      <w:r w:rsidRPr="00747824">
        <w:rPr>
          <w:b w:val="0"/>
        </w:rPr>
        <w:instrText xml:space="preserve"> SEQ Figure \* ARABIC </w:instrText>
      </w:r>
      <w:r w:rsidRPr="00747824">
        <w:rPr>
          <w:b w:val="0"/>
        </w:rPr>
        <w:fldChar w:fldCharType="separate"/>
      </w:r>
      <w:r w:rsidR="00D12276">
        <w:rPr>
          <w:b w:val="0"/>
          <w:noProof/>
        </w:rPr>
        <w:t>13</w:t>
      </w:r>
      <w:r w:rsidRPr="00747824">
        <w:rPr>
          <w:b w:val="0"/>
        </w:rPr>
        <w:fldChar w:fldCharType="end"/>
      </w:r>
      <w:bookmarkEnd w:id="656"/>
      <w:r w:rsidRPr="009A7845">
        <w:rPr>
          <w:b w:val="0"/>
        </w:rPr>
        <w:t xml:space="preserve">: Temporal trends in PSII-HEq </w:t>
      </w:r>
      <w:r>
        <w:rPr>
          <w:b w:val="0"/>
        </w:rPr>
        <w:t>in 2015-16, relative to the</w:t>
      </w:r>
      <w:r w:rsidRPr="009A7845">
        <w:rPr>
          <w:b w:val="0"/>
        </w:rPr>
        <w:t xml:space="preserve"> flow rate of rivers influencing the </w:t>
      </w:r>
      <w:r>
        <w:rPr>
          <w:b w:val="0"/>
        </w:rPr>
        <w:t>four Mackay Whitsunday</w:t>
      </w:r>
      <w:r w:rsidRPr="009A7845">
        <w:rPr>
          <w:b w:val="0"/>
        </w:rPr>
        <w:t xml:space="preserve"> fixed passive sampler sites. Flow data provided by Department of Environment and Resource Management, Stream Gauging Network</w:t>
      </w:r>
      <w:r>
        <w:rPr>
          <w:b w:val="0"/>
        </w:rPr>
        <w:t>.</w:t>
      </w:r>
      <w:bookmarkEnd w:id="657"/>
    </w:p>
    <w:p w14:paraId="657B8380" w14:textId="77777777" w:rsidR="003A752C" w:rsidRDefault="003A752C" w:rsidP="00015606">
      <w:pPr>
        <w:spacing w:line="276" w:lineRule="auto"/>
        <w:rPr>
          <w:lang w:val="en-AU"/>
        </w:rPr>
      </w:pPr>
    </w:p>
    <w:p w14:paraId="15721003" w14:textId="4610C512" w:rsidR="00DF62C6" w:rsidRDefault="00DF62C6" w:rsidP="00015606">
      <w:pPr>
        <w:spacing w:line="276" w:lineRule="auto"/>
        <w:rPr>
          <w:lang w:val="en-AU"/>
        </w:rPr>
      </w:pPr>
      <w:r>
        <w:rPr>
          <w:lang w:val="en-AU"/>
        </w:rPr>
        <w:lastRenderedPageBreak/>
        <w:t>C</w:t>
      </w:r>
      <w:r w:rsidR="005006B0">
        <w:rPr>
          <w:lang w:val="en-AU"/>
        </w:rPr>
        <w:t xml:space="preserve">oncentrations of PSII herbicides during the wet season </w:t>
      </w:r>
      <w:r>
        <w:rPr>
          <w:lang w:val="en-AU"/>
        </w:rPr>
        <w:t xml:space="preserve">at </w:t>
      </w:r>
      <w:r w:rsidR="005A19C8">
        <w:rPr>
          <w:lang w:val="en-AU"/>
        </w:rPr>
        <w:t>Round</w:t>
      </w:r>
      <w:r>
        <w:rPr>
          <w:lang w:val="en-AU"/>
        </w:rPr>
        <w:t xml:space="preserve"> Top </w:t>
      </w:r>
      <w:r w:rsidR="003024DC">
        <w:rPr>
          <w:lang w:val="en-AU"/>
        </w:rPr>
        <w:t xml:space="preserve">Island </w:t>
      </w:r>
      <w:r w:rsidR="005006B0">
        <w:rPr>
          <w:lang w:val="en-AU"/>
        </w:rPr>
        <w:t xml:space="preserve">were </w:t>
      </w:r>
      <w:r>
        <w:rPr>
          <w:lang w:val="en-AU"/>
        </w:rPr>
        <w:t xml:space="preserve">the highest reported in ED samplers </w:t>
      </w:r>
      <w:r w:rsidR="00F63A17">
        <w:rPr>
          <w:lang w:val="en-AU"/>
        </w:rPr>
        <w:t>at the sites currently being monitored</w:t>
      </w:r>
      <w:r w:rsidR="00D875E1">
        <w:rPr>
          <w:lang w:val="en-AU"/>
        </w:rPr>
        <w:t>, compared to both current year and all historically reported levels</w:t>
      </w:r>
      <w:r>
        <w:rPr>
          <w:lang w:val="en-AU"/>
        </w:rPr>
        <w:t xml:space="preserve">. </w:t>
      </w:r>
      <w:r w:rsidR="003024DC">
        <w:rPr>
          <w:lang w:val="en-AU"/>
        </w:rPr>
        <w:t>Elevated</w:t>
      </w:r>
      <w:r w:rsidR="009C7BE9">
        <w:rPr>
          <w:lang w:val="en-AU"/>
        </w:rPr>
        <w:t xml:space="preserve"> pesticide levels at Round Top</w:t>
      </w:r>
      <w:r>
        <w:rPr>
          <w:lang w:val="en-AU"/>
        </w:rPr>
        <w:t xml:space="preserve"> were associated </w:t>
      </w:r>
      <w:r w:rsidR="007E7589">
        <w:rPr>
          <w:lang w:val="en-AU"/>
        </w:rPr>
        <w:t xml:space="preserve">with a small first flush event at the beginning of the wet season and </w:t>
      </w:r>
      <w:r>
        <w:rPr>
          <w:lang w:val="en-AU"/>
        </w:rPr>
        <w:t>two high flow events</w:t>
      </w:r>
      <w:r w:rsidR="009C7BE9">
        <w:rPr>
          <w:lang w:val="en-AU"/>
        </w:rPr>
        <w:t xml:space="preserve"> in the Pioneer River </w:t>
      </w:r>
      <w:r w:rsidR="007E7589">
        <w:rPr>
          <w:lang w:val="en-AU"/>
        </w:rPr>
        <w:t>(</w:t>
      </w:r>
      <w:r w:rsidR="007E7589" w:rsidRPr="007E7589">
        <w:rPr>
          <w:lang w:val="en-AU"/>
        </w:rPr>
        <w:fldChar w:fldCharType="begin"/>
      </w:r>
      <w:r w:rsidR="007E7589" w:rsidRPr="007E7589">
        <w:rPr>
          <w:lang w:val="en-AU"/>
        </w:rPr>
        <w:instrText xml:space="preserve"> REF _Ref502042203 \h  \* MERGEFORMAT </w:instrText>
      </w:r>
      <w:r w:rsidR="007E7589" w:rsidRPr="007E7589">
        <w:rPr>
          <w:lang w:val="en-AU"/>
        </w:rPr>
      </w:r>
      <w:r w:rsidR="007E7589" w:rsidRPr="007E7589">
        <w:rPr>
          <w:lang w:val="en-AU"/>
        </w:rPr>
        <w:fldChar w:fldCharType="separate"/>
      </w:r>
      <w:r w:rsidR="00D12276" w:rsidRPr="00747824">
        <w:t xml:space="preserve">Figure </w:t>
      </w:r>
      <w:r w:rsidR="00D12276" w:rsidRPr="00D12276">
        <w:rPr>
          <w:noProof/>
        </w:rPr>
        <w:t>13</w:t>
      </w:r>
      <w:r w:rsidR="007E7589" w:rsidRPr="007E7589">
        <w:rPr>
          <w:lang w:val="en-AU"/>
        </w:rPr>
        <w:fldChar w:fldCharType="end"/>
      </w:r>
      <w:r w:rsidR="007E7589">
        <w:rPr>
          <w:lang w:val="en-AU"/>
        </w:rPr>
        <w:t xml:space="preserve"> B</w:t>
      </w:r>
      <w:r w:rsidR="007E7589" w:rsidRPr="007E7589">
        <w:rPr>
          <w:lang w:val="en-AU"/>
        </w:rPr>
        <w:t>).</w:t>
      </w:r>
      <w:r w:rsidR="007E7589">
        <w:rPr>
          <w:lang w:val="en-AU"/>
        </w:rPr>
        <w:t xml:space="preserve"> </w:t>
      </w:r>
      <w:r w:rsidR="00130543">
        <w:rPr>
          <w:lang w:val="en-AU"/>
        </w:rPr>
        <w:t xml:space="preserve">Pesticide levels </w:t>
      </w:r>
      <w:r w:rsidR="00A77BB6">
        <w:rPr>
          <w:lang w:val="en-AU"/>
        </w:rPr>
        <w:t xml:space="preserve">in the available samples </w:t>
      </w:r>
      <w:r w:rsidR="00130543">
        <w:rPr>
          <w:lang w:val="en-AU"/>
        </w:rPr>
        <w:t>at the other fixed monitoring sites in this region were</w:t>
      </w:r>
      <w:r w:rsidR="003A752C">
        <w:rPr>
          <w:lang w:val="en-AU"/>
        </w:rPr>
        <w:t xml:space="preserve"> </w:t>
      </w:r>
      <w:r w:rsidR="00130543">
        <w:rPr>
          <w:lang w:val="en-AU"/>
        </w:rPr>
        <w:t>not</w:t>
      </w:r>
      <w:r w:rsidR="00A77BB6">
        <w:rPr>
          <w:lang w:val="en-AU"/>
        </w:rPr>
        <w:t xml:space="preserve"> </w:t>
      </w:r>
      <w:r w:rsidR="009C7BE9">
        <w:rPr>
          <w:lang w:val="en-AU"/>
        </w:rPr>
        <w:t xml:space="preserve">as </w:t>
      </w:r>
      <w:r w:rsidR="00A77BB6">
        <w:rPr>
          <w:lang w:val="en-AU"/>
        </w:rPr>
        <w:t xml:space="preserve">elevated as </w:t>
      </w:r>
      <w:r w:rsidR="008E06CC">
        <w:rPr>
          <w:lang w:val="en-AU"/>
        </w:rPr>
        <w:t>at</w:t>
      </w:r>
      <w:r w:rsidR="00A77BB6">
        <w:rPr>
          <w:lang w:val="en-AU"/>
        </w:rPr>
        <w:t xml:space="preserve"> </w:t>
      </w:r>
      <w:r w:rsidR="005A19C8">
        <w:rPr>
          <w:lang w:val="en-AU"/>
        </w:rPr>
        <w:t>Round</w:t>
      </w:r>
      <w:r w:rsidR="00A77BB6">
        <w:rPr>
          <w:lang w:val="en-AU"/>
        </w:rPr>
        <w:t xml:space="preserve"> Top;</w:t>
      </w:r>
      <w:r w:rsidR="00130543">
        <w:rPr>
          <w:lang w:val="en-AU"/>
        </w:rPr>
        <w:t xml:space="preserve"> </w:t>
      </w:r>
      <w:r w:rsidR="009C7BE9">
        <w:rPr>
          <w:lang w:val="en-AU"/>
        </w:rPr>
        <w:t xml:space="preserve">for example, </w:t>
      </w:r>
      <w:r w:rsidR="00130543">
        <w:rPr>
          <w:lang w:val="en-AU"/>
        </w:rPr>
        <w:t xml:space="preserve">levels at Sandy Creek </w:t>
      </w:r>
      <w:r w:rsidR="009C7BE9">
        <w:rPr>
          <w:lang w:val="en-AU"/>
        </w:rPr>
        <w:t xml:space="preserve">were almost identical to 2014-15 with a PSII-HEq Max value </w:t>
      </w:r>
      <w:r w:rsidR="005A098C">
        <w:rPr>
          <w:lang w:val="en-AU"/>
        </w:rPr>
        <w:t>at a low Category 3</w:t>
      </w:r>
      <w:r w:rsidR="009C7BE9">
        <w:rPr>
          <w:lang w:val="en-AU"/>
        </w:rPr>
        <w:t xml:space="preserve"> (</w:t>
      </w:r>
      <w:r w:rsidR="002A77E1">
        <w:fldChar w:fldCharType="begin"/>
      </w:r>
      <w:r w:rsidR="002A77E1">
        <w:instrText xml:space="preserve"> REF _Ref480752407 \h  \* MERGEFORMAT </w:instrText>
      </w:r>
      <w:r w:rsidR="002A77E1">
        <w:fldChar w:fldCharType="separate"/>
      </w:r>
      <w:r w:rsidR="00D12276" w:rsidRPr="00210B7C">
        <w:t xml:space="preserve">Table </w:t>
      </w:r>
      <w:r w:rsidR="00D12276" w:rsidRPr="00D12276">
        <w:rPr>
          <w:noProof/>
        </w:rPr>
        <w:t>10</w:t>
      </w:r>
      <w:r w:rsidR="002A77E1">
        <w:fldChar w:fldCharType="end"/>
      </w:r>
      <w:r w:rsidR="009C7BE9">
        <w:rPr>
          <w:lang w:val="en-AU"/>
        </w:rPr>
        <w:t>). T</w:t>
      </w:r>
      <w:r w:rsidR="00130543">
        <w:rPr>
          <w:lang w:val="en-AU"/>
        </w:rPr>
        <w:t xml:space="preserve">rend comparisons at the other two sites (Sarina </w:t>
      </w:r>
      <w:r w:rsidR="005A098C">
        <w:rPr>
          <w:lang w:val="en-AU"/>
        </w:rPr>
        <w:t>Inlet and Repulse Bay) we</w:t>
      </w:r>
      <w:r w:rsidR="00130543">
        <w:rPr>
          <w:lang w:val="en-AU"/>
        </w:rPr>
        <w:t xml:space="preserve">re not possible as only </w:t>
      </w:r>
      <w:r w:rsidR="00130543" w:rsidRPr="00A77BB6">
        <w:rPr>
          <w:lang w:val="en-AU"/>
        </w:rPr>
        <w:t>one wet season sampler was successfully deployed in the 2015-16 wet season at both these sites</w:t>
      </w:r>
      <w:r w:rsidR="00A77BB6" w:rsidRPr="00A77BB6">
        <w:rPr>
          <w:lang w:val="en-AU"/>
        </w:rPr>
        <w:t xml:space="preserve"> </w:t>
      </w:r>
      <w:r w:rsidR="005006B0" w:rsidRPr="00A77BB6">
        <w:rPr>
          <w:lang w:val="en-AU"/>
        </w:rPr>
        <w:t>(</w:t>
      </w:r>
      <w:r w:rsidR="002A77E1">
        <w:fldChar w:fldCharType="begin"/>
      </w:r>
      <w:r w:rsidR="002A77E1">
        <w:instrText xml:space="preserve"> REF _Ref480752407 \h  \* MERGEFORMAT </w:instrText>
      </w:r>
      <w:r w:rsidR="002A77E1">
        <w:fldChar w:fldCharType="separate"/>
      </w:r>
      <w:r w:rsidR="00D12276" w:rsidRPr="00210B7C">
        <w:t xml:space="preserve">Table </w:t>
      </w:r>
      <w:r w:rsidR="00D12276" w:rsidRPr="00D12276">
        <w:rPr>
          <w:noProof/>
        </w:rPr>
        <w:t>10</w:t>
      </w:r>
      <w:r w:rsidR="002A77E1">
        <w:fldChar w:fldCharType="end"/>
      </w:r>
      <w:r w:rsidR="005006B0">
        <w:rPr>
          <w:lang w:val="en-AU"/>
        </w:rPr>
        <w:t xml:space="preserve">; for historical data, see </w:t>
      </w:r>
      <w:r w:rsidR="00C91BF5">
        <w:rPr>
          <w:lang w:val="en-AU"/>
        </w:rPr>
        <w:fldChar w:fldCharType="begin"/>
      </w:r>
      <w:r w:rsidR="00A77BB6">
        <w:rPr>
          <w:lang w:val="en-AU"/>
        </w:rPr>
        <w:instrText xml:space="preserve"> REF _Ref480752451 \n \h </w:instrText>
      </w:r>
      <w:r w:rsidR="00C91BF5">
        <w:rPr>
          <w:lang w:val="en-AU"/>
        </w:rPr>
      </w:r>
      <w:r w:rsidR="00C91BF5">
        <w:rPr>
          <w:lang w:val="en-AU"/>
        </w:rPr>
        <w:fldChar w:fldCharType="separate"/>
      </w:r>
      <w:r w:rsidR="00D12276">
        <w:rPr>
          <w:lang w:val="en-AU"/>
        </w:rPr>
        <w:t xml:space="preserve">Appendix I </w:t>
      </w:r>
      <w:r w:rsidR="00C91BF5">
        <w:rPr>
          <w:lang w:val="en-AU"/>
        </w:rPr>
        <w:fldChar w:fldCharType="end"/>
      </w:r>
      <w:r w:rsidR="00C91BF5">
        <w:rPr>
          <w:lang w:val="en-AU"/>
        </w:rPr>
        <w:fldChar w:fldCharType="begin"/>
      </w:r>
      <w:r w:rsidR="00A77BB6">
        <w:rPr>
          <w:lang w:val="en-AU"/>
        </w:rPr>
        <w:instrText xml:space="preserve"> REF _Ref480752479 \h </w:instrText>
      </w:r>
      <w:r w:rsidR="00C91BF5">
        <w:rPr>
          <w:lang w:val="en-AU"/>
        </w:rPr>
      </w:r>
      <w:r w:rsidR="00C91BF5">
        <w:rPr>
          <w:lang w:val="en-AU"/>
        </w:rPr>
        <w:fldChar w:fldCharType="separate"/>
      </w:r>
      <w:r w:rsidR="00D12276">
        <w:t xml:space="preserve">Figure </w:t>
      </w:r>
      <w:r w:rsidR="00D12276">
        <w:rPr>
          <w:noProof/>
        </w:rPr>
        <w:t>I</w:t>
      </w:r>
      <w:r w:rsidR="00D12276">
        <w:noBreakHyphen/>
      </w:r>
      <w:r w:rsidR="00D12276">
        <w:rPr>
          <w:noProof/>
        </w:rPr>
        <w:t>7</w:t>
      </w:r>
      <w:r w:rsidR="00C91BF5">
        <w:rPr>
          <w:lang w:val="en-AU"/>
        </w:rPr>
        <w:fldChar w:fldCharType="end"/>
      </w:r>
      <w:r w:rsidR="00A77BB6">
        <w:rPr>
          <w:lang w:val="en-AU"/>
        </w:rPr>
        <w:t xml:space="preserve"> to </w:t>
      </w:r>
      <w:r w:rsidR="00C91BF5">
        <w:rPr>
          <w:lang w:val="en-AU"/>
        </w:rPr>
        <w:fldChar w:fldCharType="begin"/>
      </w:r>
      <w:r w:rsidR="00A77BB6">
        <w:rPr>
          <w:lang w:val="en-AU"/>
        </w:rPr>
        <w:instrText xml:space="preserve"> REF _Ref480752484 \h </w:instrText>
      </w:r>
      <w:r w:rsidR="00C91BF5">
        <w:rPr>
          <w:lang w:val="en-AU"/>
        </w:rPr>
      </w:r>
      <w:r w:rsidR="00C91BF5">
        <w:rPr>
          <w:lang w:val="en-AU"/>
        </w:rPr>
        <w:fldChar w:fldCharType="separate"/>
      </w:r>
      <w:r w:rsidR="00D12276">
        <w:t xml:space="preserve">Figure </w:t>
      </w:r>
      <w:r w:rsidR="00D12276">
        <w:rPr>
          <w:noProof/>
        </w:rPr>
        <w:t>I</w:t>
      </w:r>
      <w:r w:rsidR="00D12276">
        <w:noBreakHyphen/>
      </w:r>
      <w:r w:rsidR="00D12276">
        <w:rPr>
          <w:noProof/>
        </w:rPr>
        <w:t>10</w:t>
      </w:r>
      <w:r w:rsidR="00C91BF5">
        <w:rPr>
          <w:lang w:val="en-AU"/>
        </w:rPr>
        <w:fldChar w:fldCharType="end"/>
      </w:r>
      <w:r w:rsidR="005006B0">
        <w:rPr>
          <w:lang w:val="en-AU"/>
        </w:rPr>
        <w:t>).</w:t>
      </w:r>
    </w:p>
    <w:p w14:paraId="481727F7" w14:textId="4DD48CE7" w:rsidR="00CE70A5" w:rsidRDefault="00CE70A5" w:rsidP="00015606">
      <w:pPr>
        <w:spacing w:line="276" w:lineRule="auto"/>
        <w:rPr>
          <w:lang w:val="en-AU"/>
        </w:rPr>
      </w:pPr>
    </w:p>
    <w:p w14:paraId="68C66925" w14:textId="38D20893" w:rsidR="003A752C" w:rsidRDefault="003A752C" w:rsidP="003A752C">
      <w:pPr>
        <w:spacing w:line="276" w:lineRule="auto"/>
        <w:rPr>
          <w:lang w:val="en-AU" w:eastAsia="en-AU"/>
        </w:rPr>
      </w:pPr>
      <w:r>
        <w:rPr>
          <w:lang w:val="en-AU" w:eastAsia="en-AU"/>
        </w:rPr>
        <w:t>PSII-HEq Max values at sites located in this region have been consistently higher than sites located in other regions (</w:t>
      </w:r>
      <w:r>
        <w:fldChar w:fldCharType="begin"/>
      </w:r>
      <w:r>
        <w:instrText xml:space="preserve"> REF _Ref480727969 \h  \* MERGEFORMAT </w:instrText>
      </w:r>
      <w:r>
        <w:fldChar w:fldCharType="separate"/>
      </w:r>
      <w:r w:rsidR="00D12276" w:rsidRPr="00210B7C">
        <w:t xml:space="preserve">Table </w:t>
      </w:r>
      <w:r w:rsidR="00D12276" w:rsidRPr="00D12276">
        <w:t>7</w:t>
      </w:r>
      <w:r>
        <w:fldChar w:fldCharType="end"/>
      </w:r>
      <w:r w:rsidRPr="00A77BB6">
        <w:rPr>
          <w:lang w:val="en-AU" w:eastAsia="en-AU"/>
        </w:rPr>
        <w:t>)</w:t>
      </w:r>
      <w:r>
        <w:rPr>
          <w:lang w:val="en-AU" w:eastAsia="en-AU"/>
        </w:rPr>
        <w:t>. This is the seventh</w:t>
      </w:r>
      <w:r>
        <w:t xml:space="preserve"> consecutive year that the Mackay Whitsunday region had the site with the highest PSII-HEq Max concentration. Since monitoring commenced, 24 per cent of PSII-HEq Max values in the Mackay Whitsunday region have been classified as Category 5, 38 per cent of values have been Category 4 and a further 38 per cent as either Category 2 or 3 (</w:t>
      </w:r>
      <w:r>
        <w:fldChar w:fldCharType="begin"/>
      </w:r>
      <w:r>
        <w:instrText xml:space="preserve"> REF _Ref480752407 \h  \* MERGEFORMAT </w:instrText>
      </w:r>
      <w:r>
        <w:fldChar w:fldCharType="separate"/>
      </w:r>
      <w:r w:rsidR="00D12276" w:rsidRPr="00210B7C">
        <w:t xml:space="preserve">Table </w:t>
      </w:r>
      <w:r w:rsidR="00D12276" w:rsidRPr="00D12276">
        <w:rPr>
          <w:noProof/>
        </w:rPr>
        <w:t>10</w:t>
      </w:r>
      <w:r>
        <w:fldChar w:fldCharType="end"/>
      </w:r>
      <w:r>
        <w:t xml:space="preserve">). </w:t>
      </w:r>
      <w:r>
        <w:rPr>
          <w:lang w:val="en-AU" w:eastAsia="en-AU"/>
        </w:rPr>
        <w:t>Th</w:t>
      </w:r>
      <w:r w:rsidR="003024DC">
        <w:rPr>
          <w:lang w:val="en-AU" w:eastAsia="en-AU"/>
        </w:rPr>
        <w:t>ese comparatively higher concentrations</w:t>
      </w:r>
      <w:r>
        <w:rPr>
          <w:lang w:val="en-AU" w:eastAsia="en-AU"/>
        </w:rPr>
        <w:t xml:space="preserve"> may reflect both the land use, pesticide usage and land management practices of the adjacent catchment</w:t>
      </w:r>
      <w:r w:rsidR="003024DC">
        <w:rPr>
          <w:lang w:val="en-AU" w:eastAsia="en-AU"/>
        </w:rPr>
        <w:t>.</w:t>
      </w:r>
      <w:r>
        <w:rPr>
          <w:lang w:val="en-AU" w:eastAsia="en-AU"/>
        </w:rPr>
        <w:t xml:space="preserve"> as well as the ideal positioning of the</w:t>
      </w:r>
      <w:r w:rsidR="003024DC">
        <w:rPr>
          <w:lang w:val="en-AU" w:eastAsia="en-AU"/>
        </w:rPr>
        <w:t xml:space="preserve"> monitoring</w:t>
      </w:r>
      <w:r>
        <w:rPr>
          <w:lang w:val="en-AU" w:eastAsia="en-AU"/>
        </w:rPr>
        <w:t xml:space="preserve"> sites to intercept flood plumes from nearby rivers.</w:t>
      </w:r>
    </w:p>
    <w:p w14:paraId="1EBCA75B" w14:textId="593713E0" w:rsidR="003A752C" w:rsidRDefault="003A752C" w:rsidP="003A752C">
      <w:pPr>
        <w:spacing w:line="276" w:lineRule="auto"/>
        <w:rPr>
          <w:lang w:val="en-AU"/>
        </w:rPr>
      </w:pPr>
    </w:p>
    <w:p w14:paraId="20465E08" w14:textId="749E6FA8" w:rsidR="003A752C" w:rsidRDefault="003A752C" w:rsidP="003A752C">
      <w:pPr>
        <w:spacing w:line="276" w:lineRule="auto"/>
        <w:rPr>
          <w:lang w:val="en-AU" w:eastAsia="en-AU"/>
        </w:rPr>
      </w:pPr>
      <w:r>
        <w:rPr>
          <w:lang w:val="en-AU" w:eastAsia="en-AU"/>
        </w:rPr>
        <w:t xml:space="preserve">PSII herbicides (and </w:t>
      </w:r>
      <w:r w:rsidRPr="00755AEF">
        <w:rPr>
          <w:lang w:val="en-AU"/>
        </w:rPr>
        <w:t>metabolites</w:t>
      </w:r>
      <w:r>
        <w:rPr>
          <w:lang w:val="en-AU" w:eastAsia="en-AU"/>
        </w:rPr>
        <w:t xml:space="preserve">) detected at sites in this region include ametryn, atrazine (and DE/DI atrazine), diuron, hexazinone, simazine and tebuthiuron, as well as trace levels of metribuzin and propazine </w:t>
      </w:r>
      <w:r w:rsidRPr="00460D9F">
        <w:rPr>
          <w:lang w:val="en-AU" w:eastAsia="en-AU"/>
        </w:rPr>
        <w:t>(</w:t>
      </w:r>
      <w:r>
        <w:rPr>
          <w:lang w:val="en-AU" w:eastAsia="en-AU"/>
        </w:rPr>
        <w:fldChar w:fldCharType="begin"/>
      </w:r>
      <w:r>
        <w:rPr>
          <w:lang w:val="en-AU" w:eastAsia="en-AU"/>
        </w:rPr>
        <w:instrText xml:space="preserve"> REF _Ref480910600 \h </w:instrText>
      </w:r>
      <w:r>
        <w:rPr>
          <w:lang w:val="en-AU" w:eastAsia="en-AU"/>
        </w:rPr>
      </w:r>
      <w:r>
        <w:rPr>
          <w:lang w:val="en-AU" w:eastAsia="en-AU"/>
        </w:rPr>
        <w:fldChar w:fldCharType="separate"/>
      </w:r>
      <w:r w:rsidR="00D12276">
        <w:t xml:space="preserve">Table </w:t>
      </w:r>
      <w:r w:rsidR="00D12276">
        <w:rPr>
          <w:noProof/>
        </w:rPr>
        <w:t>F</w:t>
      </w:r>
      <w:r w:rsidR="00D12276">
        <w:noBreakHyphen/>
      </w:r>
      <w:r w:rsidR="00D12276">
        <w:rPr>
          <w:noProof/>
        </w:rPr>
        <w:t>8</w:t>
      </w:r>
      <w:r>
        <w:rPr>
          <w:lang w:val="en-AU" w:eastAsia="en-AU"/>
        </w:rPr>
        <w:fldChar w:fldCharType="end"/>
      </w:r>
      <w:r>
        <w:rPr>
          <w:lang w:val="en-AU" w:eastAsia="en-AU"/>
        </w:rPr>
        <w:t xml:space="preserve"> to </w:t>
      </w:r>
      <w:r>
        <w:rPr>
          <w:lang w:val="en-AU" w:eastAsia="en-AU"/>
        </w:rPr>
        <w:fldChar w:fldCharType="begin"/>
      </w:r>
      <w:r>
        <w:rPr>
          <w:lang w:val="en-AU" w:eastAsia="en-AU"/>
        </w:rPr>
        <w:instrText xml:space="preserve"> REF _Ref480910605 \h </w:instrText>
      </w:r>
      <w:r>
        <w:rPr>
          <w:lang w:val="en-AU" w:eastAsia="en-AU"/>
        </w:rPr>
      </w:r>
      <w:r>
        <w:rPr>
          <w:lang w:val="en-AU" w:eastAsia="en-AU"/>
        </w:rPr>
        <w:fldChar w:fldCharType="separate"/>
      </w:r>
      <w:r w:rsidR="00D12276">
        <w:t xml:space="preserve">Table </w:t>
      </w:r>
      <w:r w:rsidR="00D12276">
        <w:rPr>
          <w:noProof/>
        </w:rPr>
        <w:t>F</w:t>
      </w:r>
      <w:r w:rsidR="00D12276">
        <w:noBreakHyphen/>
      </w:r>
      <w:r w:rsidR="00D12276">
        <w:rPr>
          <w:noProof/>
        </w:rPr>
        <w:t>11</w:t>
      </w:r>
      <w:r>
        <w:rPr>
          <w:lang w:val="en-AU" w:eastAsia="en-AU"/>
        </w:rPr>
        <w:fldChar w:fldCharType="end"/>
      </w:r>
      <w:r w:rsidRPr="00460D9F">
        <w:rPr>
          <w:lang w:val="en-AU" w:eastAsia="en-AU"/>
        </w:rPr>
        <w:t>)</w:t>
      </w:r>
      <w:r>
        <w:rPr>
          <w:lang w:val="en-AU" w:eastAsia="en-AU"/>
        </w:rPr>
        <w:t>. Atrazine, diuron, hexazinone and tebuthiuron were detected in every sample from this region. Other herbicides imidacloprid, 2,4-D and metolachlor were regularly detected, and metsulfuron-methyl and metribuzin were detected in this region only. Using PDMS samplers, propazine and pendimethalin were detected at low concentrations, whilst chlorpyrifos (marginally) exceeded the marine guideline value for one sampling period at Round Top</w:t>
      </w:r>
      <w:r w:rsidR="003024DC">
        <w:rPr>
          <w:lang w:val="en-AU" w:eastAsia="en-AU"/>
        </w:rPr>
        <w:t xml:space="preserve"> Island</w:t>
      </w:r>
      <w:r>
        <w:rPr>
          <w:lang w:val="en-AU" w:eastAsia="en-AU"/>
        </w:rPr>
        <w:t>.</w:t>
      </w:r>
      <w:r w:rsidRPr="007E7589">
        <w:t xml:space="preserve"> </w:t>
      </w:r>
      <w:r w:rsidRPr="007E7589">
        <w:rPr>
          <w:lang w:val="en-AU" w:eastAsia="en-AU"/>
        </w:rPr>
        <w:t>It should be noted that the concentrations of 2,4-D, imidacloprid, metolachlor</w:t>
      </w:r>
      <w:r>
        <w:rPr>
          <w:lang w:val="en-AU" w:eastAsia="en-AU"/>
        </w:rPr>
        <w:t>,</w:t>
      </w:r>
      <w:r w:rsidRPr="007E7589">
        <w:rPr>
          <w:lang w:val="en-AU" w:eastAsia="en-AU"/>
        </w:rPr>
        <w:t xml:space="preserve"> </w:t>
      </w:r>
      <w:r>
        <w:rPr>
          <w:lang w:val="en-AU" w:eastAsia="en-AU"/>
        </w:rPr>
        <w:t xml:space="preserve">metsulfuron-methyl, metribuzin and chlorpyrifos </w:t>
      </w:r>
      <w:r w:rsidRPr="007E7589">
        <w:rPr>
          <w:lang w:val="en-AU" w:eastAsia="en-AU"/>
        </w:rPr>
        <w:t>were not included in the calculation of the risk category, and therefore the risk from all pesticides could be higher in this region than what is reported here.</w:t>
      </w:r>
    </w:p>
    <w:p w14:paraId="31024CBF" w14:textId="77777777" w:rsidR="003A752C" w:rsidRDefault="003A752C" w:rsidP="003A752C">
      <w:pPr>
        <w:spacing w:line="276" w:lineRule="auto"/>
        <w:rPr>
          <w:lang w:val="en-AU"/>
        </w:rPr>
      </w:pPr>
    </w:p>
    <w:p w14:paraId="23D8F2D4" w14:textId="12C800E0" w:rsidR="00CE70A5" w:rsidRPr="00747824" w:rsidRDefault="00CE70A5" w:rsidP="00CE70A5">
      <w:pPr>
        <w:pStyle w:val="Caption"/>
        <w:keepNext/>
        <w:rPr>
          <w:b w:val="0"/>
        </w:rPr>
      </w:pPr>
      <w:bookmarkStart w:id="658" w:name="_Ref480752407"/>
      <w:bookmarkStart w:id="659" w:name="_Toc502499868"/>
      <w:r w:rsidRPr="00210B7C">
        <w:rPr>
          <w:b w:val="0"/>
        </w:rPr>
        <w:t xml:space="preserve">Table </w:t>
      </w:r>
      <w:r w:rsidRPr="00210B7C">
        <w:rPr>
          <w:b w:val="0"/>
        </w:rPr>
        <w:fldChar w:fldCharType="begin"/>
      </w:r>
      <w:r w:rsidRPr="00210B7C">
        <w:rPr>
          <w:b w:val="0"/>
        </w:rPr>
        <w:instrText xml:space="preserve"> SEQ Table \* ARABIC </w:instrText>
      </w:r>
      <w:r w:rsidRPr="00210B7C">
        <w:rPr>
          <w:b w:val="0"/>
        </w:rPr>
        <w:fldChar w:fldCharType="separate"/>
      </w:r>
      <w:r w:rsidR="00D12276">
        <w:rPr>
          <w:b w:val="0"/>
          <w:noProof/>
        </w:rPr>
        <w:t>10</w:t>
      </w:r>
      <w:r w:rsidRPr="00210B7C">
        <w:rPr>
          <w:b w:val="0"/>
        </w:rPr>
        <w:fldChar w:fldCharType="end"/>
      </w:r>
      <w:bookmarkEnd w:id="658"/>
      <w:r>
        <w:t>:</w:t>
      </w:r>
      <w:r>
        <w:rPr>
          <w:b w:val="0"/>
        </w:rPr>
        <w:t xml:space="preserve"> </w:t>
      </w:r>
      <w:r w:rsidRPr="00747824">
        <w:rPr>
          <w:b w:val="0"/>
        </w:rPr>
        <w:t xml:space="preserve">Summary statistics for the </w:t>
      </w:r>
      <w:r>
        <w:rPr>
          <w:b w:val="0"/>
        </w:rPr>
        <w:t xml:space="preserve">maximum </w:t>
      </w:r>
      <w:r w:rsidRPr="00747824">
        <w:rPr>
          <w:b w:val="0"/>
        </w:rPr>
        <w:t xml:space="preserve">and Wet </w:t>
      </w:r>
      <w:r>
        <w:rPr>
          <w:b w:val="0"/>
        </w:rPr>
        <w:t>and Dry Season a</w:t>
      </w:r>
      <w:r w:rsidRPr="00747824">
        <w:rPr>
          <w:b w:val="0"/>
        </w:rPr>
        <w:t>v</w:t>
      </w:r>
      <w:r>
        <w:rPr>
          <w:b w:val="0"/>
        </w:rPr>
        <w:t>erage</w:t>
      </w:r>
      <w:r w:rsidRPr="00747824">
        <w:rPr>
          <w:b w:val="0"/>
        </w:rPr>
        <w:t xml:space="preserve"> PSII-</w:t>
      </w:r>
      <w:r>
        <w:rPr>
          <w:b w:val="0"/>
        </w:rPr>
        <w:t>HEq</w:t>
      </w:r>
      <w:r w:rsidRPr="00747824">
        <w:rPr>
          <w:b w:val="0"/>
        </w:rPr>
        <w:t xml:space="preserve"> </w:t>
      </w:r>
      <w:r>
        <w:rPr>
          <w:b w:val="0"/>
        </w:rPr>
        <w:t xml:space="preserve">concentrations </w:t>
      </w:r>
      <w:r w:rsidRPr="00747824">
        <w:rPr>
          <w:b w:val="0"/>
        </w:rPr>
        <w:t>(ng L</w:t>
      </w:r>
      <w:r w:rsidRPr="00224A32">
        <w:rPr>
          <w:b w:val="0"/>
          <w:vertAlign w:val="superscript"/>
        </w:rPr>
        <w:t>-1</w:t>
      </w:r>
      <w:r w:rsidRPr="00747824">
        <w:rPr>
          <w:b w:val="0"/>
        </w:rPr>
        <w:t>) since monitoring commenced in the Mackay Whitsunday region</w:t>
      </w:r>
      <w:r>
        <w:rPr>
          <w:b w:val="0"/>
        </w:rPr>
        <w:t>.</w:t>
      </w:r>
      <w:r w:rsidRPr="00DB6662">
        <w:t xml:space="preserve"> </w:t>
      </w:r>
      <w:r w:rsidRPr="00DB6662">
        <w:rPr>
          <w:b w:val="0"/>
        </w:rPr>
        <w:t>Block colours indicate the maximum PSII-HEq Index category for that year</w:t>
      </w:r>
      <w:r w:rsidR="003024DC">
        <w:rPr>
          <w:b w:val="0"/>
        </w:rPr>
        <w:t>.</w:t>
      </w:r>
      <w:bookmarkEnd w:id="659"/>
    </w:p>
    <w:p w14:paraId="54E874B3" w14:textId="1D497D2D" w:rsidR="00CE70A5" w:rsidRDefault="002E3726" w:rsidP="00CE70A5">
      <w:pPr>
        <w:spacing w:line="276" w:lineRule="auto"/>
        <w:jc w:val="center"/>
      </w:pPr>
      <w:r w:rsidRPr="002E3726">
        <w:rPr>
          <w:noProof/>
          <w:lang w:val="en-AU" w:eastAsia="en-AU" w:bidi="ar-SA"/>
        </w:rPr>
        <w:drawing>
          <wp:inline distT="0" distB="0" distL="0" distR="0" wp14:anchorId="0B3B6B60" wp14:editId="492BC283">
            <wp:extent cx="6646545" cy="2863671"/>
            <wp:effectExtent l="0" t="0" r="1905" b="0"/>
            <wp:docPr id="34" name="Picture 34" descr="Table 11: Summary statistics for the maximum and Wet and Dry Season average PSII-HEq concentrations since monitoring commenced in the Mackay Whitsundays. All values have ranged from cateogry 5 to category 2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646545" cy="2863671"/>
                    </a:xfrm>
                    <a:prstGeom prst="rect">
                      <a:avLst/>
                    </a:prstGeom>
                    <a:noFill/>
                    <a:ln>
                      <a:noFill/>
                    </a:ln>
                  </pic:spPr>
                </pic:pic>
              </a:graphicData>
            </a:graphic>
          </wp:inline>
        </w:drawing>
      </w:r>
    </w:p>
    <w:p w14:paraId="2A75226D" w14:textId="77777777" w:rsidR="00CE70A5" w:rsidRDefault="00CE70A5" w:rsidP="00015606">
      <w:pPr>
        <w:spacing w:line="276" w:lineRule="auto"/>
        <w:rPr>
          <w:lang w:val="en-AU"/>
        </w:rPr>
      </w:pPr>
    </w:p>
    <w:p w14:paraId="5D920279" w14:textId="68A39EA8" w:rsidR="00AF79B6" w:rsidRPr="00AF79B6" w:rsidRDefault="005A19C8" w:rsidP="00AF79B6">
      <w:pPr>
        <w:spacing w:line="276" w:lineRule="auto"/>
        <w:rPr>
          <w:lang w:val="en-AU" w:eastAsia="en-AU"/>
        </w:rPr>
      </w:pPr>
      <w:r>
        <w:rPr>
          <w:lang w:val="en-AU" w:eastAsia="en-AU"/>
        </w:rPr>
        <w:t>Round Top Island</w:t>
      </w:r>
      <w:r w:rsidR="00F63A17">
        <w:rPr>
          <w:lang w:val="en-AU" w:eastAsia="en-AU"/>
        </w:rPr>
        <w:t xml:space="preserve"> site</w:t>
      </w:r>
      <w:r w:rsidR="0059608E">
        <w:rPr>
          <w:lang w:val="en-AU" w:eastAsia="en-AU"/>
        </w:rPr>
        <w:t xml:space="preserve"> ha</w:t>
      </w:r>
      <w:r w:rsidR="00F63A17">
        <w:rPr>
          <w:lang w:val="en-AU" w:eastAsia="en-AU"/>
        </w:rPr>
        <w:t>d</w:t>
      </w:r>
      <w:r w:rsidR="0059608E">
        <w:rPr>
          <w:lang w:val="en-AU" w:eastAsia="en-AU"/>
        </w:rPr>
        <w:t xml:space="preserve"> the highest concentration of diuron </w:t>
      </w:r>
      <w:r w:rsidR="003024DC">
        <w:rPr>
          <w:lang w:val="en-AU" w:eastAsia="en-AU"/>
        </w:rPr>
        <w:t>compared to</w:t>
      </w:r>
      <w:r w:rsidR="0059608E">
        <w:rPr>
          <w:lang w:val="en-AU" w:eastAsia="en-AU"/>
        </w:rPr>
        <w:t xml:space="preserve"> any other site and </w:t>
      </w:r>
      <w:r w:rsidR="003024DC">
        <w:rPr>
          <w:lang w:val="en-AU" w:eastAsia="en-AU"/>
        </w:rPr>
        <w:t>consequently</w:t>
      </w:r>
      <w:r w:rsidR="0059608E">
        <w:rPr>
          <w:lang w:val="en-AU" w:eastAsia="en-AU"/>
        </w:rPr>
        <w:t>, it also ha</w:t>
      </w:r>
      <w:r w:rsidR="003024DC">
        <w:rPr>
          <w:lang w:val="en-AU" w:eastAsia="en-AU"/>
        </w:rPr>
        <w:t>d</w:t>
      </w:r>
      <w:r w:rsidR="0059608E">
        <w:rPr>
          <w:lang w:val="en-AU" w:eastAsia="en-AU"/>
        </w:rPr>
        <w:t xml:space="preserve"> the highest PSII-</w:t>
      </w:r>
      <w:r w:rsidR="009D307F">
        <w:rPr>
          <w:lang w:val="en-AU" w:eastAsia="en-AU"/>
        </w:rPr>
        <w:t>HEq</w:t>
      </w:r>
      <w:r w:rsidR="0059608E">
        <w:rPr>
          <w:lang w:val="en-AU" w:eastAsia="en-AU"/>
        </w:rPr>
        <w:t xml:space="preserve"> Max of </w:t>
      </w:r>
      <w:r w:rsidR="00F63A17">
        <w:rPr>
          <w:lang w:val="en-AU" w:eastAsia="en-AU"/>
        </w:rPr>
        <w:t>533</w:t>
      </w:r>
      <w:r w:rsidR="0059608E">
        <w:rPr>
          <w:lang w:val="en-AU" w:eastAsia="en-AU"/>
        </w:rPr>
        <w:t xml:space="preserve"> ng L</w:t>
      </w:r>
      <w:r w:rsidR="0059608E" w:rsidRPr="00744F6B">
        <w:rPr>
          <w:vertAlign w:val="superscript"/>
          <w:lang w:val="en-AU" w:eastAsia="en-AU"/>
        </w:rPr>
        <w:t>-1</w:t>
      </w:r>
      <w:r w:rsidR="0059608E">
        <w:rPr>
          <w:lang w:val="en-AU" w:eastAsia="en-AU"/>
        </w:rPr>
        <w:t xml:space="preserve">, which is a Category </w:t>
      </w:r>
      <w:r w:rsidR="00F63A17">
        <w:rPr>
          <w:lang w:val="en-AU" w:eastAsia="en-AU"/>
        </w:rPr>
        <w:t>2</w:t>
      </w:r>
      <w:r w:rsidR="0059608E">
        <w:rPr>
          <w:lang w:val="en-AU" w:eastAsia="en-AU"/>
        </w:rPr>
        <w:t xml:space="preserve"> risk of herbicide exposure on the PSII-</w:t>
      </w:r>
      <w:r w:rsidR="009D307F">
        <w:rPr>
          <w:lang w:val="en-AU" w:eastAsia="en-AU"/>
        </w:rPr>
        <w:t>HEq</w:t>
      </w:r>
      <w:r w:rsidR="0059608E">
        <w:rPr>
          <w:lang w:val="en-AU" w:eastAsia="en-AU"/>
        </w:rPr>
        <w:t xml:space="preserve"> Index (</w:t>
      </w:r>
      <w:r w:rsidR="002A77E1">
        <w:fldChar w:fldCharType="begin"/>
      </w:r>
      <w:r w:rsidR="002A77E1">
        <w:instrText xml:space="preserve"> REF _Ref480752407 \h  \* MERGEFORMAT </w:instrText>
      </w:r>
      <w:r w:rsidR="002A77E1">
        <w:fldChar w:fldCharType="separate"/>
      </w:r>
      <w:r w:rsidR="00D12276" w:rsidRPr="00210B7C">
        <w:t xml:space="preserve">Table </w:t>
      </w:r>
      <w:r w:rsidR="00D12276" w:rsidRPr="00D12276">
        <w:rPr>
          <w:noProof/>
        </w:rPr>
        <w:t>10</w:t>
      </w:r>
      <w:r w:rsidR="002A77E1">
        <w:fldChar w:fldCharType="end"/>
      </w:r>
      <w:r w:rsidR="0059608E">
        <w:rPr>
          <w:lang w:val="en-AU" w:eastAsia="en-AU"/>
        </w:rPr>
        <w:t xml:space="preserve">). </w:t>
      </w:r>
      <w:r w:rsidR="003A2650" w:rsidRPr="003A752C">
        <w:rPr>
          <w:lang w:val="en-AU"/>
        </w:rPr>
        <w:t>The current year maximum concentrations were of a similar magnitude to levels measured at Sarina Creek in 2009-10.</w:t>
      </w:r>
      <w:r w:rsidR="003A2650">
        <w:rPr>
          <w:lang w:val="en-AU"/>
        </w:rPr>
        <w:t xml:space="preserve"> </w:t>
      </w:r>
      <w:r w:rsidR="00AF79B6" w:rsidRPr="00AF79B6">
        <w:rPr>
          <w:lang w:val="en-AU" w:eastAsia="en-AU"/>
        </w:rPr>
        <w:t xml:space="preserve">As the samplers record a time-averaged concentration, it is not known exactly how long </w:t>
      </w:r>
      <w:r w:rsidR="00AF79B6">
        <w:rPr>
          <w:lang w:val="en-AU" w:eastAsia="en-AU"/>
        </w:rPr>
        <w:t>these elevated concentrations were maintained</w:t>
      </w:r>
      <w:r w:rsidR="00AF79B6" w:rsidRPr="00AF79B6">
        <w:rPr>
          <w:lang w:val="en-AU" w:eastAsia="en-AU"/>
        </w:rPr>
        <w:t xml:space="preserve"> at Round Top. However, </w:t>
      </w:r>
      <w:r w:rsidR="00AF79B6">
        <w:rPr>
          <w:lang w:val="en-AU" w:eastAsia="en-AU"/>
        </w:rPr>
        <w:t xml:space="preserve">Category 2 </w:t>
      </w:r>
      <w:r w:rsidR="00AF79B6" w:rsidRPr="00AF79B6">
        <w:rPr>
          <w:lang w:val="en-AU" w:eastAsia="en-AU"/>
        </w:rPr>
        <w:t xml:space="preserve">concentrations </w:t>
      </w:r>
      <w:r w:rsidR="00AF79B6">
        <w:rPr>
          <w:lang w:val="en-AU" w:eastAsia="en-AU"/>
        </w:rPr>
        <w:t xml:space="preserve">were experienced for, at most, </w:t>
      </w:r>
      <w:r w:rsidR="00AF79B6" w:rsidRPr="00AF79B6">
        <w:rPr>
          <w:lang w:val="en-AU" w:eastAsia="en-AU"/>
        </w:rPr>
        <w:t>one month (consistent with the sampler deployment period), after which the time-average concentrations dropped to Category 3. A minimum Category 3 risk was</w:t>
      </w:r>
      <w:r w:rsidR="00AF79B6">
        <w:rPr>
          <w:lang w:val="en-AU" w:eastAsia="en-AU"/>
        </w:rPr>
        <w:t xml:space="preserve"> </w:t>
      </w:r>
      <w:r w:rsidR="00AF79B6" w:rsidRPr="00AF79B6">
        <w:rPr>
          <w:lang w:val="en-AU" w:eastAsia="en-AU"/>
        </w:rPr>
        <w:t xml:space="preserve">maintained at Round Top for a four-consecutive month period (early </w:t>
      </w:r>
      <w:r w:rsidR="003024DC" w:rsidRPr="00AF79B6">
        <w:rPr>
          <w:lang w:val="en-AU" w:eastAsia="en-AU"/>
        </w:rPr>
        <w:lastRenderedPageBreak/>
        <w:t>Dec</w:t>
      </w:r>
      <w:r w:rsidR="003024DC">
        <w:rPr>
          <w:lang w:val="en-AU" w:eastAsia="en-AU"/>
        </w:rPr>
        <w:t>ember</w:t>
      </w:r>
      <w:r w:rsidR="00AF79B6" w:rsidRPr="00AF79B6">
        <w:rPr>
          <w:lang w:val="en-AU" w:eastAsia="en-AU"/>
        </w:rPr>
        <w:t xml:space="preserve"> 2015 to mid-April 2016) and this could increase the risk of reduced photosynthesis in diatom and seagrass species during this period. Round Top Island </w:t>
      </w:r>
      <w:r w:rsidR="00AF79B6">
        <w:rPr>
          <w:lang w:val="en-AU" w:eastAsia="en-AU"/>
        </w:rPr>
        <w:t>is</w:t>
      </w:r>
      <w:r w:rsidR="00AF79B6" w:rsidRPr="00AF79B6">
        <w:rPr>
          <w:lang w:val="en-AU" w:eastAsia="en-AU"/>
        </w:rPr>
        <w:t xml:space="preserve"> not currently a monitoring site for either coral or seagrass under the MMP.</w:t>
      </w:r>
    </w:p>
    <w:p w14:paraId="292D168C" w14:textId="77777777" w:rsidR="00AF79B6" w:rsidRDefault="00AF79B6" w:rsidP="00AF79B6">
      <w:pPr>
        <w:spacing w:line="276" w:lineRule="auto"/>
        <w:rPr>
          <w:lang w:val="en-AU" w:eastAsia="en-AU"/>
        </w:rPr>
      </w:pPr>
    </w:p>
    <w:p w14:paraId="21C82E6F" w14:textId="2F69F2C4" w:rsidR="00C77453" w:rsidRPr="00C77453" w:rsidRDefault="003A752C" w:rsidP="003A2650">
      <w:pPr>
        <w:spacing w:line="276" w:lineRule="auto"/>
        <w:rPr>
          <w:lang w:val="en-AU"/>
        </w:rPr>
      </w:pPr>
      <w:r>
        <w:rPr>
          <w:lang w:val="en-AU" w:eastAsia="en-AU"/>
        </w:rPr>
        <w:t xml:space="preserve">As discussed above, </w:t>
      </w:r>
      <w:r w:rsidR="003A2650">
        <w:rPr>
          <w:lang w:val="en-AU" w:eastAsia="en-AU"/>
        </w:rPr>
        <w:t xml:space="preserve">consistent with the high pesticide concentrations observed at Round Top Island </w:t>
      </w:r>
      <w:r w:rsidR="003A2650" w:rsidRPr="003A752C">
        <w:rPr>
          <w:lang w:val="en-AU"/>
        </w:rPr>
        <w:t>(</w:t>
      </w:r>
      <w:r w:rsidR="003A2650" w:rsidRPr="00AF79B6">
        <w:rPr>
          <w:lang w:val="en-AU"/>
        </w:rPr>
        <w:fldChar w:fldCharType="begin"/>
      </w:r>
      <w:r w:rsidR="003A2650" w:rsidRPr="00AF79B6">
        <w:rPr>
          <w:lang w:val="en-AU"/>
        </w:rPr>
        <w:instrText xml:space="preserve"> REF _Ref502042203 \h  \* MERGEFORMAT </w:instrText>
      </w:r>
      <w:r w:rsidR="003A2650" w:rsidRPr="00AF79B6">
        <w:rPr>
          <w:lang w:val="en-AU"/>
        </w:rPr>
      </w:r>
      <w:r w:rsidR="003A2650" w:rsidRPr="00AF79B6">
        <w:rPr>
          <w:lang w:val="en-AU"/>
        </w:rPr>
        <w:fldChar w:fldCharType="separate"/>
      </w:r>
      <w:r w:rsidR="00D12276" w:rsidRPr="00747824">
        <w:t xml:space="preserve">Figure </w:t>
      </w:r>
      <w:r w:rsidR="00D12276" w:rsidRPr="00D12276">
        <w:rPr>
          <w:noProof/>
        </w:rPr>
        <w:t>13</w:t>
      </w:r>
      <w:r w:rsidR="003A2650" w:rsidRPr="00AF79B6">
        <w:rPr>
          <w:lang w:val="en-AU"/>
        </w:rPr>
        <w:fldChar w:fldCharType="end"/>
      </w:r>
      <w:r w:rsidR="003A2650" w:rsidRPr="00AF79B6">
        <w:rPr>
          <w:lang w:val="en-AU"/>
        </w:rPr>
        <w:t>;</w:t>
      </w:r>
      <w:r w:rsidR="003A2650">
        <w:rPr>
          <w:lang w:val="en-AU"/>
        </w:rPr>
        <w:t xml:space="preserve"> </w:t>
      </w:r>
      <w:r w:rsidR="003A2650" w:rsidRPr="003A752C">
        <w:rPr>
          <w:lang w:val="en-AU"/>
        </w:rPr>
        <w:fldChar w:fldCharType="begin"/>
      </w:r>
      <w:r w:rsidR="003A2650" w:rsidRPr="003A752C">
        <w:rPr>
          <w:lang w:val="en-AU"/>
        </w:rPr>
        <w:instrText xml:space="preserve"> REF _Ref335637596 \n \h  \* MERGEFORMAT </w:instrText>
      </w:r>
      <w:r w:rsidR="003A2650" w:rsidRPr="003A752C">
        <w:rPr>
          <w:lang w:val="en-AU"/>
        </w:rPr>
      </w:r>
      <w:r w:rsidR="003A2650" w:rsidRPr="003A752C">
        <w:rPr>
          <w:lang w:val="en-AU"/>
        </w:rPr>
        <w:fldChar w:fldCharType="separate"/>
      </w:r>
      <w:r w:rsidR="00D12276">
        <w:rPr>
          <w:lang w:val="en-AU"/>
        </w:rPr>
        <w:t xml:space="preserve">Appendix F </w:t>
      </w:r>
      <w:r w:rsidR="003A2650" w:rsidRPr="003A752C">
        <w:rPr>
          <w:lang w:val="en-AU"/>
        </w:rPr>
        <w:fldChar w:fldCharType="end"/>
      </w:r>
      <w:r w:rsidR="003A2650" w:rsidRPr="003A752C">
        <w:rPr>
          <w:lang w:val="en-AU"/>
        </w:rPr>
        <w:fldChar w:fldCharType="begin"/>
      </w:r>
      <w:r w:rsidR="003A2650" w:rsidRPr="003A752C">
        <w:rPr>
          <w:lang w:val="en-AU"/>
        </w:rPr>
        <w:instrText xml:space="preserve"> REF _Ref480728187 \h  \* MERGEFORMAT </w:instrText>
      </w:r>
      <w:r w:rsidR="003A2650" w:rsidRPr="003A752C">
        <w:rPr>
          <w:lang w:val="en-AU"/>
        </w:rPr>
      </w:r>
      <w:r w:rsidR="003A2650" w:rsidRPr="003A752C">
        <w:rPr>
          <w:lang w:val="en-AU"/>
        </w:rPr>
        <w:fldChar w:fldCharType="separate"/>
      </w:r>
      <w:r w:rsidR="00D12276">
        <w:t xml:space="preserve">Table </w:t>
      </w:r>
      <w:r w:rsidR="00D12276">
        <w:rPr>
          <w:noProof/>
        </w:rPr>
        <w:t>F</w:t>
      </w:r>
      <w:r w:rsidR="00D12276">
        <w:rPr>
          <w:noProof/>
        </w:rPr>
        <w:noBreakHyphen/>
        <w:t>9</w:t>
      </w:r>
      <w:r w:rsidR="003A2650" w:rsidRPr="003A752C">
        <w:rPr>
          <w:lang w:val="en-AU"/>
        </w:rPr>
        <w:fldChar w:fldCharType="end"/>
      </w:r>
      <w:r w:rsidR="003A2650">
        <w:rPr>
          <w:lang w:val="en-AU"/>
        </w:rPr>
        <w:t>)</w:t>
      </w:r>
      <w:r w:rsidR="003A2650">
        <w:rPr>
          <w:lang w:val="en-AU" w:eastAsia="en-AU"/>
        </w:rPr>
        <w:t xml:space="preserve">, </w:t>
      </w:r>
      <w:r>
        <w:rPr>
          <w:lang w:val="en-AU" w:eastAsia="en-AU"/>
        </w:rPr>
        <w:t>there were three (minor) GV exceedances in 2015-16</w:t>
      </w:r>
      <w:r w:rsidR="00AF79B6">
        <w:rPr>
          <w:lang w:val="en-AU" w:eastAsia="en-AU"/>
        </w:rPr>
        <w:t xml:space="preserve"> (diuron, imidacloprid and chlorpyrifos)</w:t>
      </w:r>
      <w:r>
        <w:rPr>
          <w:lang w:val="en-AU" w:eastAsia="en-AU"/>
        </w:rPr>
        <w:t>.</w:t>
      </w:r>
      <w:r w:rsidR="003A2650">
        <w:rPr>
          <w:lang w:val="en-AU" w:eastAsia="en-AU"/>
        </w:rPr>
        <w:t xml:space="preserve"> Comparative historical data are lacking for this site as sampling only commenced in</w:t>
      </w:r>
      <w:r w:rsidR="003A2650" w:rsidRPr="003A2650">
        <w:rPr>
          <w:lang w:val="en-AU"/>
        </w:rPr>
        <w:t xml:space="preserve"> 2014-15</w:t>
      </w:r>
      <w:r w:rsidR="003A2650">
        <w:rPr>
          <w:lang w:val="en-AU"/>
        </w:rPr>
        <w:t xml:space="preserve">, and the </w:t>
      </w:r>
      <w:r w:rsidR="003A2650" w:rsidRPr="003A2650">
        <w:rPr>
          <w:lang w:val="en-AU"/>
        </w:rPr>
        <w:t>maximum concentration in that year is likely understated due to gaps in wet season deployments</w:t>
      </w:r>
      <w:r w:rsidR="003A2650">
        <w:rPr>
          <w:lang w:val="en-AU"/>
        </w:rPr>
        <w:t xml:space="preserve">. Thus, ongoing monitoring at this site is necessary to understand whether these exceedances are </w:t>
      </w:r>
      <w:r w:rsidR="003024DC">
        <w:rPr>
          <w:lang w:val="en-AU"/>
        </w:rPr>
        <w:t xml:space="preserve">an </w:t>
      </w:r>
      <w:r w:rsidR="003A2650">
        <w:rPr>
          <w:lang w:val="en-AU"/>
        </w:rPr>
        <w:t xml:space="preserve">isolated incidence or </w:t>
      </w:r>
      <w:r w:rsidR="00C77453">
        <w:rPr>
          <w:lang w:val="en-AU"/>
        </w:rPr>
        <w:t>will be</w:t>
      </w:r>
      <w:r w:rsidR="003A2650">
        <w:rPr>
          <w:lang w:val="en-AU"/>
        </w:rPr>
        <w:t xml:space="preserve"> regular occurrences. </w:t>
      </w:r>
      <w:r w:rsidR="00C77453">
        <w:rPr>
          <w:lang w:val="en-AU"/>
        </w:rPr>
        <w:t>H</w:t>
      </w:r>
      <w:r w:rsidR="003A2650">
        <w:rPr>
          <w:lang w:val="en-AU"/>
        </w:rPr>
        <w:t>istorical data from all MMP monitoring sites</w:t>
      </w:r>
      <w:r w:rsidR="00C77453">
        <w:rPr>
          <w:lang w:val="en-AU"/>
        </w:rPr>
        <w:t xml:space="preserve"> (see</w:t>
      </w:r>
      <w:r w:rsidR="003A2650">
        <w:rPr>
          <w:lang w:val="en-AU"/>
        </w:rPr>
        <w:t xml:space="preserve"> </w:t>
      </w:r>
      <w:r w:rsidR="00C77453">
        <w:rPr>
          <w:lang w:val="en-AU"/>
        </w:rPr>
        <w:fldChar w:fldCharType="begin"/>
      </w:r>
      <w:r w:rsidR="00C77453">
        <w:rPr>
          <w:lang w:val="en-AU"/>
        </w:rPr>
        <w:instrText xml:space="preserve"> REF _Ref502045028 \n \h </w:instrText>
      </w:r>
      <w:r w:rsidR="00C77453">
        <w:rPr>
          <w:lang w:val="en-AU"/>
        </w:rPr>
      </w:r>
      <w:r w:rsidR="00C77453">
        <w:rPr>
          <w:lang w:val="en-AU"/>
        </w:rPr>
        <w:fldChar w:fldCharType="separate"/>
      </w:r>
      <w:r w:rsidR="00D12276">
        <w:rPr>
          <w:lang w:val="en-AU"/>
        </w:rPr>
        <w:t xml:space="preserve">Appendix H </w:t>
      </w:r>
      <w:r w:rsidR="00C77453">
        <w:rPr>
          <w:lang w:val="en-AU"/>
        </w:rPr>
        <w:fldChar w:fldCharType="end"/>
      </w:r>
      <w:r w:rsidR="00C77453">
        <w:rPr>
          <w:lang w:val="en-AU"/>
        </w:rPr>
        <w:t>)</w:t>
      </w:r>
      <w:r w:rsidR="00C77453" w:rsidRPr="00C77453">
        <w:rPr>
          <w:lang w:val="en-AU"/>
        </w:rPr>
        <w:t xml:space="preserve"> indicate that high </w:t>
      </w:r>
      <w:r w:rsidR="003A3DAD">
        <w:rPr>
          <w:lang w:val="en-AU"/>
        </w:rPr>
        <w:t xml:space="preserve">pesticide </w:t>
      </w:r>
      <w:r w:rsidR="00C77453" w:rsidRPr="00C77453">
        <w:rPr>
          <w:lang w:val="en-AU"/>
        </w:rPr>
        <w:t xml:space="preserve">concentrations </w:t>
      </w:r>
      <w:r w:rsidR="00C77453">
        <w:rPr>
          <w:lang w:val="en-AU"/>
        </w:rPr>
        <w:t xml:space="preserve">(and guideline exceedances) </w:t>
      </w:r>
      <w:r w:rsidR="00C77453" w:rsidRPr="00C77453">
        <w:rPr>
          <w:lang w:val="en-AU"/>
        </w:rPr>
        <w:t>are</w:t>
      </w:r>
      <w:r w:rsidR="00C77453">
        <w:rPr>
          <w:lang w:val="en-AU"/>
        </w:rPr>
        <w:t xml:space="preserve"> </w:t>
      </w:r>
      <w:r w:rsidR="00C77453" w:rsidRPr="00C77453">
        <w:rPr>
          <w:lang w:val="en-AU"/>
        </w:rPr>
        <w:t xml:space="preserve">not </w:t>
      </w:r>
      <w:r w:rsidR="003A3DAD">
        <w:rPr>
          <w:lang w:val="en-AU"/>
        </w:rPr>
        <w:t xml:space="preserve">necessarily </w:t>
      </w:r>
      <w:r w:rsidR="00C77453" w:rsidRPr="00C77453">
        <w:rPr>
          <w:lang w:val="en-AU"/>
        </w:rPr>
        <w:t>correlated with large</w:t>
      </w:r>
      <w:r w:rsidR="003024DC">
        <w:rPr>
          <w:lang w:val="en-AU"/>
        </w:rPr>
        <w:t xml:space="preserve"> flow</w:t>
      </w:r>
      <w:r w:rsidR="00C77453" w:rsidRPr="00C77453">
        <w:rPr>
          <w:lang w:val="en-AU"/>
        </w:rPr>
        <w:t xml:space="preserve"> events </w:t>
      </w:r>
      <w:r w:rsidR="00C77453">
        <w:rPr>
          <w:lang w:val="en-AU"/>
        </w:rPr>
        <w:t xml:space="preserve">possibly due to dilution effects associated with </w:t>
      </w:r>
      <w:r w:rsidR="003024DC">
        <w:rPr>
          <w:lang w:val="en-AU"/>
        </w:rPr>
        <w:t xml:space="preserve">the </w:t>
      </w:r>
      <w:r w:rsidR="00C77453">
        <w:rPr>
          <w:lang w:val="en-AU"/>
        </w:rPr>
        <w:t xml:space="preserve">high volume </w:t>
      </w:r>
      <w:r w:rsidR="003024DC">
        <w:rPr>
          <w:lang w:val="en-AU"/>
        </w:rPr>
        <w:t xml:space="preserve">of water </w:t>
      </w:r>
      <w:r w:rsidR="00C77453">
        <w:rPr>
          <w:lang w:val="en-AU"/>
        </w:rPr>
        <w:t>discharged during these events.</w:t>
      </w:r>
      <w:r w:rsidR="003A2650">
        <w:rPr>
          <w:lang w:val="en-AU"/>
        </w:rPr>
        <w:t xml:space="preserve"> </w:t>
      </w:r>
      <w:r w:rsidR="00EB55B1">
        <w:t>Pesticide c</w:t>
      </w:r>
      <w:r w:rsidR="00C77453" w:rsidRPr="00C77453">
        <w:t xml:space="preserve">oncentrations </w:t>
      </w:r>
      <w:r w:rsidR="00EB55B1">
        <w:t>in river discharge</w:t>
      </w:r>
      <w:r w:rsidR="003024DC">
        <w:t>s</w:t>
      </w:r>
      <w:r w:rsidR="00EB55B1">
        <w:t xml:space="preserve"> </w:t>
      </w:r>
      <w:r w:rsidR="00C77453">
        <w:t>may therefore be</w:t>
      </w:r>
      <w:r w:rsidR="00C77453" w:rsidRPr="00C77453">
        <w:t xml:space="preserve"> higher in drier years because there is less dilution. </w:t>
      </w:r>
      <w:r w:rsidR="003A3DAD">
        <w:t xml:space="preserve">However, in dry years, sufficient discharge is required for pesticides to reach monitoring sites that are not close </w:t>
      </w:r>
      <w:r w:rsidR="003024DC">
        <w:t xml:space="preserve">to </w:t>
      </w:r>
      <w:r w:rsidR="003A3DAD">
        <w:t>the river mouth. The Round Top Island monitoring site is</w:t>
      </w:r>
      <w:r w:rsidR="009A79D6">
        <w:t xml:space="preserve"> approximately 5 km off-shore</w:t>
      </w:r>
      <w:r w:rsidR="003024DC">
        <w:t xml:space="preserve"> from the Pioneer River mouth</w:t>
      </w:r>
      <w:r w:rsidR="009A79D6">
        <w:t xml:space="preserve"> and has a flood plume frequency of 1</w:t>
      </w:r>
      <w:r w:rsidR="005625D6">
        <w:t xml:space="preserve"> (</w:t>
      </w:r>
      <w:r w:rsidR="003024DC">
        <w:t xml:space="preserve">Appendix E </w:t>
      </w:r>
      <w:r w:rsidR="005625D6" w:rsidRPr="009A79D6">
        <w:t>Table E</w:t>
      </w:r>
      <w:r w:rsidR="005625D6">
        <w:t>-</w:t>
      </w:r>
      <w:r w:rsidR="005625D6" w:rsidRPr="009A79D6">
        <w:t>2</w:t>
      </w:r>
      <w:r w:rsidR="005625D6">
        <w:t>)</w:t>
      </w:r>
      <w:r w:rsidR="009A79D6">
        <w:t>, suggesting</w:t>
      </w:r>
      <w:r w:rsidR="005625D6">
        <w:t xml:space="preserve"> a high potential for </w:t>
      </w:r>
      <w:r w:rsidR="009A79D6">
        <w:t xml:space="preserve">plume waters </w:t>
      </w:r>
      <w:r w:rsidR="005625D6">
        <w:t>to</w:t>
      </w:r>
      <w:r w:rsidR="009A79D6">
        <w:t xml:space="preserve"> reach this monitoring site</w:t>
      </w:r>
      <w:r w:rsidR="005625D6">
        <w:t>. T</w:t>
      </w:r>
      <w:r w:rsidR="003024DC">
        <w:t>he low dilution effects associated with drier years</w:t>
      </w:r>
      <w:r w:rsidR="005625D6">
        <w:t xml:space="preserve"> may explain the high </w:t>
      </w:r>
      <w:r w:rsidR="003024DC">
        <w:t xml:space="preserve">pesticide </w:t>
      </w:r>
      <w:r w:rsidR="005625D6">
        <w:t>concentrations observed at Round Top Island</w:t>
      </w:r>
      <w:r w:rsidR="003024DC">
        <w:t xml:space="preserve"> in 2015-16</w:t>
      </w:r>
      <w:r w:rsidR="005625D6">
        <w:t>, although</w:t>
      </w:r>
      <w:r w:rsidR="00EB55B1">
        <w:t xml:space="preserve"> </w:t>
      </w:r>
      <w:r w:rsidR="003024DC">
        <w:t xml:space="preserve">longer-term data </w:t>
      </w:r>
      <w:r w:rsidR="00B90DC9">
        <w:t>to include</w:t>
      </w:r>
      <w:r w:rsidR="003024DC">
        <w:t xml:space="preserve"> wetter years would </w:t>
      </w:r>
      <w:r w:rsidR="00B90DC9">
        <w:t xml:space="preserve">be necessary to </w:t>
      </w:r>
      <w:r w:rsidR="003024DC">
        <w:t>confirm this. M</w:t>
      </w:r>
      <w:r w:rsidR="00CC7D1F">
        <w:t>odelling the</w:t>
      </w:r>
      <w:r w:rsidR="00EB55B1">
        <w:t xml:space="preserve"> pesticide movement from the Pioneer River into the nearshore environment would </w:t>
      </w:r>
      <w:r w:rsidR="00B90DC9">
        <w:t xml:space="preserve">also </w:t>
      </w:r>
      <w:r w:rsidR="00EB55B1">
        <w:t xml:space="preserve">be </w:t>
      </w:r>
      <w:r w:rsidR="00B90DC9">
        <w:t>an option</w:t>
      </w:r>
      <w:r w:rsidR="00EB55B1">
        <w:t xml:space="preserve"> to </w:t>
      </w:r>
      <w:r w:rsidR="00333388">
        <w:t>better</w:t>
      </w:r>
      <w:r w:rsidR="00EB55B1">
        <w:t xml:space="preserve"> understand the observed high levels.</w:t>
      </w:r>
      <w:r w:rsidR="005625D6">
        <w:t xml:space="preserve"> </w:t>
      </w:r>
      <w:r w:rsidR="00EB55B1">
        <w:t>This may be achieved in the future u</w:t>
      </w:r>
      <w:r w:rsidR="005625D6">
        <w:t xml:space="preserve">sing the eReefs hydrodynamic model </w:t>
      </w:r>
      <w:r w:rsidR="00333388">
        <w:t>using</w:t>
      </w:r>
      <w:r w:rsidR="005625D6">
        <w:t xml:space="preserve"> the temporal end-of-catchment pesticide level</w:t>
      </w:r>
      <w:r w:rsidR="00EB55B1">
        <w:t>s</w:t>
      </w:r>
      <w:r w:rsidR="00333388">
        <w:t xml:space="preserve"> as input data</w:t>
      </w:r>
      <w:r w:rsidR="00EB55B1">
        <w:t>.</w:t>
      </w:r>
    </w:p>
    <w:p w14:paraId="5AACA5E3" w14:textId="77777777" w:rsidR="00BD1693" w:rsidRPr="00E21B4D" w:rsidRDefault="00BD1693" w:rsidP="00E21B4D"/>
    <w:p w14:paraId="1572100E" w14:textId="77777777" w:rsidR="0059608E" w:rsidRDefault="0059608E" w:rsidP="00220439">
      <w:pPr>
        <w:pStyle w:val="Heading30"/>
        <w:numPr>
          <w:ilvl w:val="2"/>
          <w:numId w:val="1"/>
        </w:numPr>
      </w:pPr>
      <w:bookmarkStart w:id="660" w:name="_Toc335638619"/>
      <w:bookmarkStart w:id="661" w:name="_Toc335641229"/>
      <w:bookmarkStart w:id="662" w:name="_Toc335638620"/>
      <w:bookmarkStart w:id="663" w:name="_Toc335641230"/>
      <w:bookmarkStart w:id="664" w:name="_Toc335638621"/>
      <w:bookmarkStart w:id="665" w:name="_Toc335641231"/>
      <w:bookmarkStart w:id="666" w:name="_Toc335638622"/>
      <w:bookmarkStart w:id="667" w:name="_Toc335641232"/>
      <w:bookmarkStart w:id="668" w:name="_Toc335638623"/>
      <w:bookmarkStart w:id="669" w:name="_Toc335641233"/>
      <w:bookmarkStart w:id="670" w:name="_Toc335638624"/>
      <w:bookmarkStart w:id="671" w:name="_Toc335641234"/>
      <w:bookmarkStart w:id="672" w:name="_Toc461457777"/>
      <w:bookmarkStart w:id="673" w:name="_Toc502500022"/>
      <w:bookmarkEnd w:id="660"/>
      <w:bookmarkEnd w:id="661"/>
      <w:bookmarkEnd w:id="662"/>
      <w:bookmarkEnd w:id="663"/>
      <w:bookmarkEnd w:id="664"/>
      <w:bookmarkEnd w:id="665"/>
      <w:bookmarkEnd w:id="666"/>
      <w:bookmarkEnd w:id="667"/>
      <w:bookmarkEnd w:id="668"/>
      <w:bookmarkEnd w:id="669"/>
      <w:bookmarkEnd w:id="670"/>
      <w:bookmarkEnd w:id="671"/>
      <w:r>
        <w:t>Fitzroy Region</w:t>
      </w:r>
      <w:bookmarkEnd w:id="672"/>
      <w:bookmarkEnd w:id="673"/>
    </w:p>
    <w:p w14:paraId="530EC538" w14:textId="1E2FCF29" w:rsidR="001D227D" w:rsidRDefault="00C0725A" w:rsidP="00015606">
      <w:pPr>
        <w:spacing w:line="276" w:lineRule="auto"/>
        <w:rPr>
          <w:lang w:val="en-AU"/>
        </w:rPr>
      </w:pPr>
      <w:r>
        <w:rPr>
          <w:lang w:val="en-AU"/>
        </w:rPr>
        <w:t>A</w:t>
      </w:r>
      <w:r w:rsidR="0076060C">
        <w:rPr>
          <w:lang w:val="en-AU"/>
        </w:rPr>
        <w:t xml:space="preserve">lthough discharge from the Fitzroy River was slightly higher </w:t>
      </w:r>
      <w:r>
        <w:rPr>
          <w:lang w:val="en-AU"/>
        </w:rPr>
        <w:t xml:space="preserve">in 2015-16 </w:t>
      </w:r>
      <w:r w:rsidR="0076060C">
        <w:rPr>
          <w:lang w:val="en-AU"/>
        </w:rPr>
        <w:t>than the long term average (</w:t>
      </w:r>
      <w:r w:rsidR="005A098C">
        <w:rPr>
          <w:lang w:val="en-AU"/>
        </w:rPr>
        <w:t xml:space="preserve">1.3 times the LT average; </w:t>
      </w:r>
      <w:r w:rsidR="002A77E1">
        <w:fldChar w:fldCharType="begin"/>
      </w:r>
      <w:r w:rsidR="002A77E1">
        <w:instrText xml:space="preserve"> REF _Ref480727555 \h  \* MERGEFORMAT </w:instrText>
      </w:r>
      <w:r w:rsidR="002A77E1">
        <w:fldChar w:fldCharType="separate"/>
      </w:r>
      <w:r w:rsidR="00D12276" w:rsidRPr="00210B7C">
        <w:t xml:space="preserve">Table </w:t>
      </w:r>
      <w:r w:rsidR="00D12276" w:rsidRPr="00D12276">
        <w:t>5</w:t>
      </w:r>
      <w:r w:rsidR="002A77E1">
        <w:fldChar w:fldCharType="end"/>
      </w:r>
      <w:r w:rsidR="0076060C">
        <w:rPr>
          <w:lang w:val="en-AU"/>
        </w:rPr>
        <w:t xml:space="preserve">), </w:t>
      </w:r>
      <w:r w:rsidR="00EB55B1">
        <w:rPr>
          <w:lang w:val="en-AU"/>
        </w:rPr>
        <w:t xml:space="preserve">river </w:t>
      </w:r>
      <w:r w:rsidR="0076060C">
        <w:rPr>
          <w:lang w:val="en-AU"/>
        </w:rPr>
        <w:t xml:space="preserve">flow was relatively low for most of the wet season with </w:t>
      </w:r>
      <w:r w:rsidR="00EB55B1">
        <w:rPr>
          <w:lang w:val="en-AU"/>
        </w:rPr>
        <w:t>one major high flow event occurring</w:t>
      </w:r>
      <w:r w:rsidR="0076060C">
        <w:rPr>
          <w:lang w:val="en-AU"/>
        </w:rPr>
        <w:t xml:space="preserve"> in </w:t>
      </w:r>
      <w:r w:rsidR="00A405F0">
        <w:rPr>
          <w:lang w:val="en-AU"/>
        </w:rPr>
        <w:t>January/</w:t>
      </w:r>
      <w:r w:rsidR="0076060C">
        <w:rPr>
          <w:lang w:val="en-AU"/>
        </w:rPr>
        <w:t>February 2016</w:t>
      </w:r>
      <w:r w:rsidR="001D227D">
        <w:rPr>
          <w:lang w:val="en-AU"/>
        </w:rPr>
        <w:t xml:space="preserve"> followed by a smaller event in March </w:t>
      </w:r>
      <w:r w:rsidR="0076060C">
        <w:rPr>
          <w:lang w:val="en-AU"/>
        </w:rPr>
        <w:t>(</w:t>
      </w:r>
      <w:r w:rsidR="00EB55B1" w:rsidRPr="00EB55B1">
        <w:rPr>
          <w:lang w:val="en-AU"/>
        </w:rPr>
        <w:fldChar w:fldCharType="begin"/>
      </w:r>
      <w:r w:rsidR="00EB55B1" w:rsidRPr="00EB55B1">
        <w:rPr>
          <w:lang w:val="en-AU"/>
        </w:rPr>
        <w:instrText xml:space="preserve"> REF _Ref480898443 \h  \* MERGEFORMAT </w:instrText>
      </w:r>
      <w:r w:rsidR="00EB55B1" w:rsidRPr="00EB55B1">
        <w:rPr>
          <w:lang w:val="en-AU"/>
        </w:rPr>
      </w:r>
      <w:r w:rsidR="00EB55B1" w:rsidRPr="00EB55B1">
        <w:rPr>
          <w:lang w:val="en-AU"/>
        </w:rPr>
        <w:fldChar w:fldCharType="separate"/>
      </w:r>
      <w:r w:rsidR="00D12276" w:rsidRPr="00C15D0D">
        <w:t xml:space="preserve">Figure </w:t>
      </w:r>
      <w:r w:rsidR="00D12276" w:rsidRPr="00D12276">
        <w:rPr>
          <w:noProof/>
        </w:rPr>
        <w:t>16</w:t>
      </w:r>
      <w:r w:rsidR="00EB55B1" w:rsidRPr="00EB55B1">
        <w:rPr>
          <w:lang w:val="en-AU"/>
        </w:rPr>
        <w:fldChar w:fldCharType="end"/>
      </w:r>
      <w:r w:rsidR="00EB55B1">
        <w:rPr>
          <w:lang w:val="en-AU"/>
        </w:rPr>
        <w:t>)</w:t>
      </w:r>
      <w:r w:rsidR="0076060C">
        <w:rPr>
          <w:lang w:val="en-AU"/>
        </w:rPr>
        <w:t xml:space="preserve">. </w:t>
      </w:r>
      <w:r w:rsidR="00EB55B1">
        <w:t>Flow</w:t>
      </w:r>
      <w:r w:rsidR="003A1DE2">
        <w:t xml:space="preserve"> conditions were similar to those during the </w:t>
      </w:r>
      <w:r w:rsidR="003A1DE2">
        <w:rPr>
          <w:lang w:val="en-AU"/>
        </w:rPr>
        <w:t>previous two monitoring years</w:t>
      </w:r>
      <w:r w:rsidR="00EB55B1">
        <w:rPr>
          <w:lang w:val="en-AU"/>
        </w:rPr>
        <w:t xml:space="preserve"> (</w:t>
      </w:r>
      <w:r w:rsidR="00EB55B1">
        <w:rPr>
          <w:lang w:val="en-AU"/>
        </w:rPr>
        <w:fldChar w:fldCharType="begin"/>
      </w:r>
      <w:r w:rsidR="00EB55B1">
        <w:rPr>
          <w:lang w:val="en-AU"/>
        </w:rPr>
        <w:instrText xml:space="preserve"> REF _Ref480728581 \h </w:instrText>
      </w:r>
      <w:r w:rsidR="00EB55B1">
        <w:rPr>
          <w:lang w:val="en-AU"/>
        </w:rPr>
      </w:r>
      <w:r w:rsidR="00EB55B1">
        <w:rPr>
          <w:lang w:val="en-AU"/>
        </w:rPr>
        <w:fldChar w:fldCharType="separate"/>
      </w:r>
      <w:r w:rsidR="00D12276">
        <w:t xml:space="preserve">Figure </w:t>
      </w:r>
      <w:r w:rsidR="00D12276">
        <w:rPr>
          <w:noProof/>
        </w:rPr>
        <w:t>H</w:t>
      </w:r>
      <w:r w:rsidR="00D12276">
        <w:noBreakHyphen/>
      </w:r>
      <w:r w:rsidR="00D12276">
        <w:rPr>
          <w:noProof/>
        </w:rPr>
        <w:t>11</w:t>
      </w:r>
      <w:r w:rsidR="00EB55B1">
        <w:rPr>
          <w:lang w:val="en-AU"/>
        </w:rPr>
        <w:fldChar w:fldCharType="end"/>
      </w:r>
      <w:r w:rsidR="00EB55B1">
        <w:rPr>
          <w:lang w:val="en-AU"/>
        </w:rPr>
        <w:t>)</w:t>
      </w:r>
      <w:r w:rsidR="003A1DE2">
        <w:rPr>
          <w:lang w:val="en-AU"/>
        </w:rPr>
        <w:t xml:space="preserve">, and concentrations </w:t>
      </w:r>
      <w:r w:rsidR="00DE2258">
        <w:rPr>
          <w:lang w:val="en-AU"/>
        </w:rPr>
        <w:t xml:space="preserve">of PSII herbicides </w:t>
      </w:r>
      <w:r w:rsidR="0076060C">
        <w:rPr>
          <w:lang w:val="en-AU"/>
        </w:rPr>
        <w:t xml:space="preserve">during the wet season at North Keppel Island </w:t>
      </w:r>
      <w:r w:rsidR="00DE2258">
        <w:rPr>
          <w:lang w:val="en-AU"/>
        </w:rPr>
        <w:t xml:space="preserve">were </w:t>
      </w:r>
      <w:r w:rsidR="003664EA">
        <w:rPr>
          <w:lang w:val="en-AU"/>
        </w:rPr>
        <w:t xml:space="preserve">low and </w:t>
      </w:r>
      <w:r w:rsidR="003A1DE2">
        <w:rPr>
          <w:lang w:val="en-AU"/>
        </w:rPr>
        <w:t>consistent with</w:t>
      </w:r>
      <w:r w:rsidR="00DE2258">
        <w:rPr>
          <w:lang w:val="en-AU"/>
        </w:rPr>
        <w:t xml:space="preserve"> concentrations detected in </w:t>
      </w:r>
      <w:r w:rsidR="003A1DE2">
        <w:rPr>
          <w:lang w:val="en-AU"/>
        </w:rPr>
        <w:t>2013-14 and 2014-15</w:t>
      </w:r>
      <w:r w:rsidR="00C80DA2">
        <w:rPr>
          <w:lang w:val="en-AU"/>
        </w:rPr>
        <w:t xml:space="preserve"> </w:t>
      </w:r>
      <w:r w:rsidR="00C80DA2" w:rsidRPr="003664EA">
        <w:rPr>
          <w:lang w:val="en-AU"/>
        </w:rPr>
        <w:t>(</w:t>
      </w:r>
      <w:r w:rsidR="002A77E1">
        <w:fldChar w:fldCharType="begin"/>
      </w:r>
      <w:r w:rsidR="002A77E1">
        <w:instrText xml:space="preserve"> REF _Ref480693029 \h  \* MERGEFORMAT </w:instrText>
      </w:r>
      <w:r w:rsidR="002A77E1">
        <w:fldChar w:fldCharType="separate"/>
      </w:r>
      <w:r w:rsidR="00D12276" w:rsidRPr="00210B7C">
        <w:t xml:space="preserve">Table </w:t>
      </w:r>
      <w:r w:rsidR="00D12276" w:rsidRPr="00D12276">
        <w:rPr>
          <w:noProof/>
        </w:rPr>
        <w:t>11</w:t>
      </w:r>
      <w:r w:rsidR="00D12276">
        <w:t>:</w:t>
      </w:r>
      <w:r w:rsidR="002A77E1">
        <w:fldChar w:fldCharType="end"/>
      </w:r>
      <w:r w:rsidR="00C80DA2" w:rsidRPr="003664EA">
        <w:rPr>
          <w:lang w:val="en-AU"/>
        </w:rPr>
        <w:t>;</w:t>
      </w:r>
      <w:r w:rsidR="00C80DA2">
        <w:rPr>
          <w:lang w:val="en-AU"/>
        </w:rPr>
        <w:t xml:space="preserve"> for historical data see</w:t>
      </w:r>
      <w:r w:rsidR="003A1DE2">
        <w:rPr>
          <w:lang w:val="en-AU"/>
        </w:rPr>
        <w:t xml:space="preserve"> </w:t>
      </w:r>
      <w:r w:rsidR="00A311E9">
        <w:rPr>
          <w:highlight w:val="yellow"/>
          <w:lang w:val="en-AU"/>
        </w:rPr>
        <w:fldChar w:fldCharType="begin"/>
      </w:r>
      <w:r w:rsidR="00A311E9">
        <w:rPr>
          <w:lang w:val="en-AU"/>
        </w:rPr>
        <w:instrText xml:space="preserve"> REF _Ref480728528 \n \h </w:instrText>
      </w:r>
      <w:r w:rsidR="00A311E9">
        <w:rPr>
          <w:highlight w:val="yellow"/>
          <w:lang w:val="en-AU"/>
        </w:rPr>
      </w:r>
      <w:r w:rsidR="00A311E9">
        <w:rPr>
          <w:highlight w:val="yellow"/>
          <w:lang w:val="en-AU"/>
        </w:rPr>
        <w:fldChar w:fldCharType="separate"/>
      </w:r>
      <w:r w:rsidR="00D12276">
        <w:rPr>
          <w:lang w:val="en-AU"/>
        </w:rPr>
        <w:t xml:space="preserve">Appendix I </w:t>
      </w:r>
      <w:r w:rsidR="00A311E9">
        <w:rPr>
          <w:highlight w:val="yellow"/>
          <w:lang w:val="en-AU"/>
        </w:rPr>
        <w:fldChar w:fldCharType="end"/>
      </w:r>
      <w:r w:rsidR="00C91BF5">
        <w:rPr>
          <w:highlight w:val="yellow"/>
          <w:lang w:val="en-AU"/>
        </w:rPr>
        <w:fldChar w:fldCharType="begin"/>
      </w:r>
      <w:r w:rsidR="00810DB1">
        <w:rPr>
          <w:highlight w:val="yellow"/>
          <w:lang w:val="en-AU"/>
        </w:rPr>
        <w:instrText xml:space="preserve"> REF _Ref480728568 \h </w:instrText>
      </w:r>
      <w:r w:rsidR="00C91BF5">
        <w:rPr>
          <w:highlight w:val="yellow"/>
          <w:lang w:val="en-AU"/>
        </w:rPr>
      </w:r>
      <w:r w:rsidR="00C91BF5">
        <w:rPr>
          <w:highlight w:val="yellow"/>
          <w:lang w:val="en-AU"/>
        </w:rPr>
        <w:fldChar w:fldCharType="separate"/>
      </w:r>
      <w:r w:rsidR="00D12276">
        <w:t xml:space="preserve">Figure </w:t>
      </w:r>
      <w:r w:rsidR="00D12276">
        <w:rPr>
          <w:noProof/>
        </w:rPr>
        <w:t>I</w:t>
      </w:r>
      <w:r w:rsidR="00D12276">
        <w:noBreakHyphen/>
      </w:r>
      <w:r w:rsidR="00D12276">
        <w:rPr>
          <w:noProof/>
        </w:rPr>
        <w:t>11</w:t>
      </w:r>
      <w:r w:rsidR="00C91BF5">
        <w:rPr>
          <w:highlight w:val="yellow"/>
          <w:lang w:val="en-AU"/>
        </w:rPr>
        <w:fldChar w:fldCharType="end"/>
      </w:r>
      <w:r w:rsidR="008D661E">
        <w:rPr>
          <w:lang w:val="en-AU"/>
        </w:rPr>
        <w:t>)</w:t>
      </w:r>
      <w:r w:rsidR="0076060C">
        <w:rPr>
          <w:lang w:val="en-AU"/>
        </w:rPr>
        <w:t>.</w:t>
      </w:r>
      <w:r w:rsidR="00DE2258">
        <w:rPr>
          <w:lang w:val="en-AU"/>
        </w:rPr>
        <w:t xml:space="preserve"> </w:t>
      </w:r>
    </w:p>
    <w:p w14:paraId="4D3B3276" w14:textId="77777777" w:rsidR="001D227D" w:rsidRDefault="001D227D" w:rsidP="00015606">
      <w:pPr>
        <w:spacing w:line="276" w:lineRule="auto"/>
      </w:pPr>
    </w:p>
    <w:p w14:paraId="1572100F" w14:textId="144ACA84" w:rsidR="0059608E" w:rsidRDefault="0059608E" w:rsidP="00015606">
      <w:pPr>
        <w:spacing w:line="276" w:lineRule="auto"/>
        <w:rPr>
          <w:lang w:val="en-AU" w:eastAsia="en-AU"/>
        </w:rPr>
      </w:pPr>
      <w:r>
        <w:t xml:space="preserve">PSII herbicides detected at </w:t>
      </w:r>
      <w:r w:rsidR="001D227D">
        <w:t>North Keppel Island</w:t>
      </w:r>
      <w:r>
        <w:t xml:space="preserve"> in 201</w:t>
      </w:r>
      <w:r w:rsidR="00E21B4D">
        <w:t>5</w:t>
      </w:r>
      <w:r>
        <w:t>-</w:t>
      </w:r>
      <w:r w:rsidR="00E21B4D">
        <w:t>16</w:t>
      </w:r>
      <w:r>
        <w:t xml:space="preserve"> include</w:t>
      </w:r>
      <w:r w:rsidR="005A098C">
        <w:t>d</w:t>
      </w:r>
      <w:r>
        <w:t xml:space="preserve"> atrazine, diuron, hexazinone and </w:t>
      </w:r>
      <w:r w:rsidR="00C0725A">
        <w:t>tebuthiuron</w:t>
      </w:r>
      <w:r>
        <w:t xml:space="preserve"> (</w:t>
      </w:r>
      <w:r w:rsidR="00C91BF5">
        <w:fldChar w:fldCharType="begin"/>
      </w:r>
      <w:r w:rsidR="00810DB1">
        <w:instrText xml:space="preserve"> REF _Ref480725602 \h </w:instrText>
      </w:r>
      <w:r w:rsidR="00C91BF5">
        <w:fldChar w:fldCharType="separate"/>
      </w:r>
      <w:r w:rsidR="00D12276">
        <w:t xml:space="preserve">Table </w:t>
      </w:r>
      <w:r w:rsidR="00D12276">
        <w:rPr>
          <w:noProof/>
        </w:rPr>
        <w:t>F</w:t>
      </w:r>
      <w:r w:rsidR="00D12276">
        <w:noBreakHyphen/>
      </w:r>
      <w:r w:rsidR="00D12276">
        <w:rPr>
          <w:noProof/>
        </w:rPr>
        <w:t>12</w:t>
      </w:r>
      <w:r w:rsidR="00C91BF5">
        <w:fldChar w:fldCharType="end"/>
      </w:r>
      <w:r>
        <w:t xml:space="preserve">). </w:t>
      </w:r>
      <w:r w:rsidR="00C0725A">
        <w:t>A</w:t>
      </w:r>
      <w:r>
        <w:t>trazine (maximum concentration 0.</w:t>
      </w:r>
      <w:r w:rsidR="00C0725A">
        <w:t>46</w:t>
      </w:r>
      <w:r>
        <w:t xml:space="preserve"> ng L</w:t>
      </w:r>
      <w:r>
        <w:rPr>
          <w:vertAlign w:val="superscript"/>
        </w:rPr>
        <w:t>-1</w:t>
      </w:r>
      <w:r>
        <w:t>)</w:t>
      </w:r>
      <w:r w:rsidR="00C0725A">
        <w:t xml:space="preserve"> and</w:t>
      </w:r>
      <w:r>
        <w:t xml:space="preserve"> diuron (maximum concentration 0.</w:t>
      </w:r>
      <w:r w:rsidR="00C0725A">
        <w:t>1</w:t>
      </w:r>
      <w:r>
        <w:t>1 ng L</w:t>
      </w:r>
      <w:r>
        <w:rPr>
          <w:vertAlign w:val="superscript"/>
        </w:rPr>
        <w:t>-1</w:t>
      </w:r>
      <w:r>
        <w:t xml:space="preserve">) </w:t>
      </w:r>
      <w:r w:rsidR="00C0725A">
        <w:t>were detected most frequently at this site (89 and 78 per cent of samplers, respectively)</w:t>
      </w:r>
      <w:r w:rsidR="00A405F0">
        <w:t xml:space="preserve"> but at </w:t>
      </w:r>
      <w:r w:rsidR="00B90DC9">
        <w:t xml:space="preserve">very </w:t>
      </w:r>
      <w:r w:rsidR="00A405F0">
        <w:t>low concentrations</w:t>
      </w:r>
      <w:r w:rsidR="00C0725A">
        <w:t>. Tebuthiuron t</w:t>
      </w:r>
      <w:r>
        <w:t xml:space="preserve">ypically dominates the PSII herbicide profile at </w:t>
      </w:r>
      <w:r w:rsidR="009C3792">
        <w:t>North Keppel Island</w:t>
      </w:r>
      <w:r w:rsidR="00720890">
        <w:t xml:space="preserve"> (</w:t>
      </w:r>
      <w:r w:rsidR="00C91BF5">
        <w:rPr>
          <w:highlight w:val="yellow"/>
          <w:lang w:val="en-AU"/>
        </w:rPr>
        <w:fldChar w:fldCharType="begin"/>
      </w:r>
      <w:r w:rsidR="00810DB1">
        <w:rPr>
          <w:lang w:val="en-AU"/>
        </w:rPr>
        <w:instrText xml:space="preserve"> REF _Ref480728528 \n \h </w:instrText>
      </w:r>
      <w:r w:rsidR="00C91BF5">
        <w:rPr>
          <w:highlight w:val="yellow"/>
          <w:lang w:val="en-AU"/>
        </w:rPr>
      </w:r>
      <w:r w:rsidR="00C91BF5">
        <w:rPr>
          <w:highlight w:val="yellow"/>
          <w:lang w:val="en-AU"/>
        </w:rPr>
        <w:fldChar w:fldCharType="separate"/>
      </w:r>
      <w:r w:rsidR="00D12276">
        <w:rPr>
          <w:lang w:val="en-AU"/>
        </w:rPr>
        <w:t xml:space="preserve">Appendix I </w:t>
      </w:r>
      <w:r w:rsidR="00C91BF5">
        <w:rPr>
          <w:highlight w:val="yellow"/>
          <w:lang w:val="en-AU"/>
        </w:rPr>
        <w:fldChar w:fldCharType="end"/>
      </w:r>
      <w:r w:rsidR="00C91BF5">
        <w:rPr>
          <w:highlight w:val="yellow"/>
          <w:lang w:val="en-AU"/>
        </w:rPr>
        <w:fldChar w:fldCharType="begin"/>
      </w:r>
      <w:r w:rsidR="00810DB1">
        <w:rPr>
          <w:highlight w:val="yellow"/>
          <w:lang w:val="en-AU"/>
        </w:rPr>
        <w:instrText xml:space="preserve"> REF _Ref480728568 \h </w:instrText>
      </w:r>
      <w:r w:rsidR="00C91BF5">
        <w:rPr>
          <w:highlight w:val="yellow"/>
          <w:lang w:val="en-AU"/>
        </w:rPr>
      </w:r>
      <w:r w:rsidR="00C91BF5">
        <w:rPr>
          <w:highlight w:val="yellow"/>
          <w:lang w:val="en-AU"/>
        </w:rPr>
        <w:fldChar w:fldCharType="separate"/>
      </w:r>
      <w:r w:rsidR="00D12276">
        <w:t xml:space="preserve">Figure </w:t>
      </w:r>
      <w:r w:rsidR="00D12276">
        <w:rPr>
          <w:noProof/>
        </w:rPr>
        <w:t>I</w:t>
      </w:r>
      <w:r w:rsidR="00D12276">
        <w:noBreakHyphen/>
      </w:r>
      <w:r w:rsidR="00D12276">
        <w:rPr>
          <w:noProof/>
        </w:rPr>
        <w:t>11</w:t>
      </w:r>
      <w:r w:rsidR="00C91BF5">
        <w:rPr>
          <w:highlight w:val="yellow"/>
          <w:lang w:val="en-AU"/>
        </w:rPr>
        <w:fldChar w:fldCharType="end"/>
      </w:r>
      <w:r w:rsidR="00720890">
        <w:t>)</w:t>
      </w:r>
      <w:r w:rsidR="00A405F0">
        <w:t xml:space="preserve"> </w:t>
      </w:r>
      <w:r w:rsidR="00C0725A">
        <w:t xml:space="preserve">and </w:t>
      </w:r>
      <w:r w:rsidR="001D227D">
        <w:t>elevated</w:t>
      </w:r>
      <w:r w:rsidR="00C0725A">
        <w:t xml:space="preserve"> concentration</w:t>
      </w:r>
      <w:r w:rsidR="00A405F0">
        <w:t>s (2.0 – 2.6 ng L</w:t>
      </w:r>
      <w:r w:rsidR="00A405F0" w:rsidRPr="00A405F0">
        <w:rPr>
          <w:vertAlign w:val="superscript"/>
        </w:rPr>
        <w:t>-1</w:t>
      </w:r>
      <w:r w:rsidR="00A405F0">
        <w:t xml:space="preserve">) were observed in the </w:t>
      </w:r>
      <w:r w:rsidR="001D227D">
        <w:rPr>
          <w:lang w:val="en-AU"/>
        </w:rPr>
        <w:t xml:space="preserve">January/February </w:t>
      </w:r>
      <w:r w:rsidR="00C0725A">
        <w:t>2016 sampler</w:t>
      </w:r>
      <w:r w:rsidR="00A405F0">
        <w:t>s</w:t>
      </w:r>
      <w:r w:rsidR="00C0725A">
        <w:t xml:space="preserve"> when </w:t>
      </w:r>
      <w:r w:rsidR="00A405F0">
        <w:t xml:space="preserve">the first </w:t>
      </w:r>
      <w:r w:rsidR="009C27AB">
        <w:t>and only significant rain</w:t>
      </w:r>
      <w:r w:rsidR="00A405F0">
        <w:t xml:space="preserve"> of the year fell (</w:t>
      </w:r>
      <w:r w:rsidR="001D227D" w:rsidRPr="00EB55B1">
        <w:rPr>
          <w:lang w:val="en-AU"/>
        </w:rPr>
        <w:fldChar w:fldCharType="begin"/>
      </w:r>
      <w:r w:rsidR="001D227D" w:rsidRPr="00EB55B1">
        <w:rPr>
          <w:lang w:val="en-AU"/>
        </w:rPr>
        <w:instrText xml:space="preserve"> REF _Ref480898443 \h  \* MERGEFORMAT </w:instrText>
      </w:r>
      <w:r w:rsidR="001D227D" w:rsidRPr="00EB55B1">
        <w:rPr>
          <w:lang w:val="en-AU"/>
        </w:rPr>
      </w:r>
      <w:r w:rsidR="001D227D" w:rsidRPr="00EB55B1">
        <w:rPr>
          <w:lang w:val="en-AU"/>
        </w:rPr>
        <w:fldChar w:fldCharType="separate"/>
      </w:r>
      <w:r w:rsidR="00D12276" w:rsidRPr="00C15D0D">
        <w:t xml:space="preserve">Figure </w:t>
      </w:r>
      <w:r w:rsidR="00D12276" w:rsidRPr="00D12276">
        <w:rPr>
          <w:noProof/>
        </w:rPr>
        <w:t>16</w:t>
      </w:r>
      <w:r w:rsidR="001D227D" w:rsidRPr="00EB55B1">
        <w:rPr>
          <w:lang w:val="en-AU"/>
        </w:rPr>
        <w:fldChar w:fldCharType="end"/>
      </w:r>
      <w:r w:rsidR="001D227D">
        <w:rPr>
          <w:lang w:val="en-AU"/>
        </w:rPr>
        <w:t xml:space="preserve">; </w:t>
      </w:r>
      <w:r w:rsidR="00C91BF5">
        <w:fldChar w:fldCharType="begin"/>
      </w:r>
      <w:r w:rsidR="009C27AB">
        <w:instrText xml:space="preserve"> REF _Ref480725602 \h </w:instrText>
      </w:r>
      <w:r w:rsidR="00C91BF5">
        <w:fldChar w:fldCharType="separate"/>
      </w:r>
      <w:r w:rsidR="00D12276">
        <w:t xml:space="preserve">Table </w:t>
      </w:r>
      <w:r w:rsidR="00D12276">
        <w:rPr>
          <w:noProof/>
        </w:rPr>
        <w:t>F</w:t>
      </w:r>
      <w:r w:rsidR="00D12276">
        <w:noBreakHyphen/>
      </w:r>
      <w:r w:rsidR="00D12276">
        <w:rPr>
          <w:noProof/>
        </w:rPr>
        <w:t>12</w:t>
      </w:r>
      <w:r w:rsidR="00C91BF5">
        <w:fldChar w:fldCharType="end"/>
      </w:r>
      <w:r w:rsidR="00A405F0">
        <w:rPr>
          <w:lang w:val="en-AU"/>
        </w:rPr>
        <w:t>)</w:t>
      </w:r>
      <w:r>
        <w:t>.</w:t>
      </w:r>
    </w:p>
    <w:p w14:paraId="68860C18" w14:textId="77777777" w:rsidR="00EB55B1" w:rsidRDefault="00EB55B1" w:rsidP="00015606">
      <w:pPr>
        <w:spacing w:line="276" w:lineRule="auto"/>
      </w:pPr>
    </w:p>
    <w:p w14:paraId="3419A45C" w14:textId="77777777" w:rsidR="00EB55B1" w:rsidRDefault="00EB55B1" w:rsidP="00EB55B1">
      <w:pPr>
        <w:spacing w:line="276" w:lineRule="auto"/>
        <w:jc w:val="center"/>
        <w:rPr>
          <w:lang w:val="en-AU" w:eastAsia="en-AU"/>
        </w:rPr>
      </w:pPr>
      <w:r w:rsidRPr="00BD1693">
        <w:rPr>
          <w:noProof/>
          <w:lang w:val="en-AU" w:eastAsia="en-AU" w:bidi="ar-SA"/>
        </w:rPr>
        <w:drawing>
          <wp:inline distT="0" distB="0" distL="0" distR="0" wp14:anchorId="1B1D4C27" wp14:editId="44926915">
            <wp:extent cx="3600000" cy="2169231"/>
            <wp:effectExtent l="0" t="0" r="0" b="0"/>
            <wp:docPr id="32" name="Picture 32" descr="Figure 14: The graph plots both river flow (in megaliters per day)  influencing the Fitzroy sampling site and the measured PSII-HEq concentrations in the passive samples for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00000" cy="2169231"/>
                    </a:xfrm>
                    <a:prstGeom prst="rect">
                      <a:avLst/>
                    </a:prstGeom>
                    <a:noFill/>
                    <a:ln>
                      <a:noFill/>
                    </a:ln>
                  </pic:spPr>
                </pic:pic>
              </a:graphicData>
            </a:graphic>
          </wp:inline>
        </w:drawing>
      </w:r>
    </w:p>
    <w:p w14:paraId="56C33D8E" w14:textId="404FC261" w:rsidR="00EB55B1" w:rsidRPr="009A7845" w:rsidRDefault="00EB55B1" w:rsidP="00EB55B1">
      <w:pPr>
        <w:pStyle w:val="Caption"/>
        <w:keepNext/>
        <w:spacing w:line="276" w:lineRule="auto"/>
        <w:rPr>
          <w:b w:val="0"/>
        </w:rPr>
      </w:pPr>
      <w:bookmarkStart w:id="674" w:name="_Toc335638626"/>
      <w:bookmarkStart w:id="675" w:name="_Toc335641236"/>
      <w:bookmarkStart w:id="676" w:name="_Toc335638627"/>
      <w:bookmarkStart w:id="677" w:name="_Toc335641237"/>
      <w:bookmarkStart w:id="678" w:name="_Toc335638628"/>
      <w:bookmarkStart w:id="679" w:name="_Toc335641238"/>
      <w:bookmarkStart w:id="680" w:name="_Toc335638629"/>
      <w:bookmarkStart w:id="681" w:name="_Toc335641239"/>
      <w:bookmarkStart w:id="682" w:name="_Toc335638630"/>
      <w:bookmarkStart w:id="683" w:name="_Toc335641240"/>
      <w:bookmarkStart w:id="684" w:name="_Toc335638631"/>
      <w:bookmarkStart w:id="685" w:name="_Toc335641241"/>
      <w:bookmarkStart w:id="686" w:name="_Toc502499944"/>
      <w:bookmarkEnd w:id="674"/>
      <w:bookmarkEnd w:id="675"/>
      <w:bookmarkEnd w:id="676"/>
      <w:bookmarkEnd w:id="677"/>
      <w:bookmarkEnd w:id="678"/>
      <w:bookmarkEnd w:id="679"/>
      <w:bookmarkEnd w:id="680"/>
      <w:bookmarkEnd w:id="681"/>
      <w:bookmarkEnd w:id="682"/>
      <w:bookmarkEnd w:id="683"/>
      <w:bookmarkEnd w:id="684"/>
      <w:bookmarkEnd w:id="685"/>
      <w:r w:rsidRPr="00747824">
        <w:rPr>
          <w:b w:val="0"/>
        </w:rPr>
        <w:t xml:space="preserve">Figure </w:t>
      </w:r>
      <w:r w:rsidRPr="00747824">
        <w:rPr>
          <w:b w:val="0"/>
        </w:rPr>
        <w:fldChar w:fldCharType="begin"/>
      </w:r>
      <w:r w:rsidRPr="00747824">
        <w:rPr>
          <w:b w:val="0"/>
        </w:rPr>
        <w:instrText xml:space="preserve"> SEQ Figure \* ARABIC </w:instrText>
      </w:r>
      <w:r w:rsidRPr="00747824">
        <w:rPr>
          <w:b w:val="0"/>
        </w:rPr>
        <w:fldChar w:fldCharType="separate"/>
      </w:r>
      <w:r w:rsidR="00D12276">
        <w:rPr>
          <w:b w:val="0"/>
          <w:noProof/>
        </w:rPr>
        <w:t>14</w:t>
      </w:r>
      <w:r w:rsidRPr="00747824">
        <w:rPr>
          <w:b w:val="0"/>
        </w:rPr>
        <w:fldChar w:fldCharType="end"/>
      </w:r>
      <w:r w:rsidRPr="009A7845">
        <w:rPr>
          <w:b w:val="0"/>
        </w:rPr>
        <w:t xml:space="preserve">: Temporal trends in PSII-HEq </w:t>
      </w:r>
      <w:r>
        <w:rPr>
          <w:b w:val="0"/>
        </w:rPr>
        <w:t>in 2015-16, relative to the</w:t>
      </w:r>
      <w:r w:rsidRPr="009A7845">
        <w:rPr>
          <w:b w:val="0"/>
        </w:rPr>
        <w:t xml:space="preserve"> flow rate of </w:t>
      </w:r>
      <w:r>
        <w:rPr>
          <w:b w:val="0"/>
        </w:rPr>
        <w:t>the Fitzroy River</w:t>
      </w:r>
      <w:r w:rsidRPr="009A7845">
        <w:rPr>
          <w:b w:val="0"/>
        </w:rPr>
        <w:t xml:space="preserve"> influencing </w:t>
      </w:r>
      <w:r>
        <w:rPr>
          <w:b w:val="0"/>
        </w:rPr>
        <w:t>N Keppel Island</w:t>
      </w:r>
      <w:r w:rsidR="001D227D">
        <w:rPr>
          <w:b w:val="0"/>
        </w:rPr>
        <w:t>’s</w:t>
      </w:r>
      <w:r w:rsidRPr="009A7845">
        <w:rPr>
          <w:b w:val="0"/>
        </w:rPr>
        <w:t xml:space="preserve"> fixed passive sampler sit</w:t>
      </w:r>
      <w:r>
        <w:rPr>
          <w:b w:val="0"/>
        </w:rPr>
        <w:t>e</w:t>
      </w:r>
      <w:r w:rsidRPr="009A7845">
        <w:rPr>
          <w:b w:val="0"/>
        </w:rPr>
        <w:t>. Flow data provided by Department of Environment and Resource Management, Stream Gauging Network</w:t>
      </w:r>
      <w:r>
        <w:rPr>
          <w:b w:val="0"/>
        </w:rPr>
        <w:t>.</w:t>
      </w:r>
      <w:bookmarkEnd w:id="686"/>
    </w:p>
    <w:p w14:paraId="15721012" w14:textId="77777777" w:rsidR="0059608E" w:rsidRDefault="0059608E" w:rsidP="00015606">
      <w:pPr>
        <w:spacing w:line="276" w:lineRule="auto"/>
      </w:pPr>
    </w:p>
    <w:p w14:paraId="15721013" w14:textId="132338A5" w:rsidR="0059608E" w:rsidRPr="00747824" w:rsidRDefault="00210B7C" w:rsidP="009C3792">
      <w:pPr>
        <w:pStyle w:val="Caption"/>
        <w:keepNext/>
        <w:spacing w:after="120"/>
        <w:rPr>
          <w:b w:val="0"/>
        </w:rPr>
      </w:pPr>
      <w:bookmarkStart w:id="687" w:name="_Ref480728709"/>
      <w:bookmarkStart w:id="688" w:name="_Ref480693029"/>
      <w:bookmarkStart w:id="689" w:name="_Toc502499869"/>
      <w:r w:rsidRPr="00210B7C">
        <w:rPr>
          <w:b w:val="0"/>
        </w:rPr>
        <w:lastRenderedPageBreak/>
        <w:t xml:space="preserve">Table </w:t>
      </w:r>
      <w:r w:rsidR="00C91BF5" w:rsidRPr="00210B7C">
        <w:rPr>
          <w:b w:val="0"/>
        </w:rPr>
        <w:fldChar w:fldCharType="begin"/>
      </w:r>
      <w:r w:rsidRPr="00210B7C">
        <w:rPr>
          <w:b w:val="0"/>
        </w:rPr>
        <w:instrText xml:space="preserve"> SEQ Table \* ARABIC </w:instrText>
      </w:r>
      <w:r w:rsidR="00C91BF5" w:rsidRPr="00210B7C">
        <w:rPr>
          <w:b w:val="0"/>
        </w:rPr>
        <w:fldChar w:fldCharType="separate"/>
      </w:r>
      <w:r w:rsidR="00D12276">
        <w:rPr>
          <w:b w:val="0"/>
          <w:noProof/>
        </w:rPr>
        <w:t>11</w:t>
      </w:r>
      <w:r w:rsidR="00C91BF5" w:rsidRPr="00210B7C">
        <w:rPr>
          <w:b w:val="0"/>
        </w:rPr>
        <w:fldChar w:fldCharType="end"/>
      </w:r>
      <w:bookmarkEnd w:id="687"/>
      <w:r w:rsidR="00330793">
        <w:t>:</w:t>
      </w:r>
      <w:bookmarkEnd w:id="688"/>
      <w:r w:rsidR="00747824">
        <w:rPr>
          <w:b w:val="0"/>
        </w:rPr>
        <w:t xml:space="preserve"> </w:t>
      </w:r>
      <w:r w:rsidR="00706A03" w:rsidRPr="00706A03">
        <w:rPr>
          <w:b w:val="0"/>
        </w:rPr>
        <w:t>Summary statistics for the maximum and Wet and Dry Season average PSII-HEq concentrations (ng L</w:t>
      </w:r>
      <w:r w:rsidR="00706A03" w:rsidRPr="00706A03">
        <w:rPr>
          <w:b w:val="0"/>
          <w:vertAlign w:val="superscript"/>
        </w:rPr>
        <w:t>-1</w:t>
      </w:r>
      <w:r w:rsidR="00706A03" w:rsidRPr="00706A03">
        <w:rPr>
          <w:b w:val="0"/>
        </w:rPr>
        <w:t xml:space="preserve">) since monitoring commenced in the </w:t>
      </w:r>
      <w:r w:rsidR="00706A03">
        <w:rPr>
          <w:b w:val="0"/>
        </w:rPr>
        <w:t>Fitzroy</w:t>
      </w:r>
      <w:r w:rsidR="00706A03" w:rsidRPr="00706A03">
        <w:rPr>
          <w:b w:val="0"/>
        </w:rPr>
        <w:t xml:space="preserve"> region. Block colours indicate the maximum PSII-HEq Index category for that year</w:t>
      </w:r>
      <w:bookmarkEnd w:id="689"/>
    </w:p>
    <w:p w14:paraId="15721014" w14:textId="77777777" w:rsidR="0059608E" w:rsidRDefault="00706A03" w:rsidP="00015606">
      <w:pPr>
        <w:spacing w:line="276" w:lineRule="auto"/>
        <w:jc w:val="center"/>
        <w:rPr>
          <w:sz w:val="18"/>
          <w:szCs w:val="18"/>
          <w:vertAlign w:val="superscript"/>
          <w:lang w:val="en-AU" w:eastAsia="en-AU"/>
        </w:rPr>
      </w:pPr>
      <w:r w:rsidRPr="00706A03">
        <w:rPr>
          <w:noProof/>
          <w:lang w:val="en-AU" w:eastAsia="en-AU" w:bidi="ar-SA"/>
        </w:rPr>
        <w:drawing>
          <wp:inline distT="0" distB="0" distL="0" distR="0" wp14:anchorId="15721A7A" wp14:editId="0BA94024">
            <wp:extent cx="6646545" cy="1426745"/>
            <wp:effectExtent l="0" t="0" r="1905" b="2540"/>
            <wp:docPr id="48" name="Picture 48" descr="Table 11: Summary statistics for the maximum and Wet and Dry Season average PSII-HEq concentrations since monitoring commenced in the Fitzroy. All values have been cateogry 4 or 5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646545" cy="1426745"/>
                    </a:xfrm>
                    <a:prstGeom prst="rect">
                      <a:avLst/>
                    </a:prstGeom>
                    <a:noFill/>
                    <a:ln>
                      <a:noFill/>
                    </a:ln>
                  </pic:spPr>
                </pic:pic>
              </a:graphicData>
            </a:graphic>
          </wp:inline>
        </w:drawing>
      </w:r>
    </w:p>
    <w:p w14:paraId="15721015" w14:textId="54D5DF87" w:rsidR="0059608E" w:rsidRDefault="0059608E" w:rsidP="00015606">
      <w:pPr>
        <w:spacing w:line="276" w:lineRule="auto"/>
        <w:rPr>
          <w:lang w:val="en-AU" w:eastAsia="en-AU"/>
        </w:rPr>
      </w:pPr>
    </w:p>
    <w:p w14:paraId="15E0558B" w14:textId="2C85254A" w:rsidR="001D227D" w:rsidRDefault="001D227D" w:rsidP="001D227D">
      <w:pPr>
        <w:tabs>
          <w:tab w:val="left" w:pos="1985"/>
        </w:tabs>
        <w:spacing w:line="276" w:lineRule="auto"/>
        <w:rPr>
          <w:lang w:val="en-AU" w:eastAsia="en-AU"/>
        </w:rPr>
      </w:pPr>
      <w:r>
        <w:t>The PSII-HEq Max value at North Keppel Island in the Fitzroy region has been consistently a low Category 4 or 5 since monitoring commenced in 2005 (</w:t>
      </w:r>
      <w:r>
        <w:fldChar w:fldCharType="begin"/>
      </w:r>
      <w:r>
        <w:instrText xml:space="preserve"> REF _Ref480728709 \h  \* MERGEFORMAT </w:instrText>
      </w:r>
      <w:r>
        <w:fldChar w:fldCharType="separate"/>
      </w:r>
      <w:r w:rsidR="00D12276" w:rsidRPr="00210B7C">
        <w:t xml:space="preserve">Table </w:t>
      </w:r>
      <w:r w:rsidR="00D12276" w:rsidRPr="00D12276">
        <w:rPr>
          <w:noProof/>
        </w:rPr>
        <w:t>11</w:t>
      </w:r>
      <w:r>
        <w:fldChar w:fldCharType="end"/>
      </w:r>
      <w:r>
        <w:t xml:space="preserve">), with the majority (eight out of the eleven years or 85 per cent) being Category 5 on the PSII-HEq Index. The 2015-16 PSII-HEq Max at this site was the second lowest of all fixed monitoring sites. </w:t>
      </w:r>
      <w:r>
        <w:rPr>
          <w:lang w:val="en-AU" w:eastAsia="en-AU"/>
        </w:rPr>
        <w:t>The seasonal differences in maximum concentrations between wet and dry seasons are consistently small at this site (</w:t>
      </w:r>
      <w:r w:rsidR="00333388">
        <w:fldChar w:fldCharType="begin"/>
      </w:r>
      <w:r w:rsidR="00333388">
        <w:instrText xml:space="preserve"> REF _Ref480728709 \h  \* MERGEFORMAT </w:instrText>
      </w:r>
      <w:r w:rsidR="00333388">
        <w:fldChar w:fldCharType="separate"/>
      </w:r>
      <w:r w:rsidR="00D12276" w:rsidRPr="00210B7C">
        <w:t xml:space="preserve">Table </w:t>
      </w:r>
      <w:r w:rsidR="00D12276" w:rsidRPr="00D12276">
        <w:rPr>
          <w:noProof/>
        </w:rPr>
        <w:t>11</w:t>
      </w:r>
      <w:r w:rsidR="00333388">
        <w:fldChar w:fldCharType="end"/>
      </w:r>
      <w:r w:rsidR="00333388">
        <w:t xml:space="preserve">; </w:t>
      </w:r>
      <w:r w:rsidRPr="001D227D">
        <w:fldChar w:fldCharType="begin"/>
      </w:r>
      <w:r w:rsidRPr="001D227D">
        <w:rPr>
          <w:lang w:val="en-AU" w:eastAsia="en-AU"/>
        </w:rPr>
        <w:instrText xml:space="preserve"> REF _Ref480898443 \h </w:instrText>
      </w:r>
      <w:r w:rsidRPr="001D227D">
        <w:instrText xml:space="preserve"> \* MERGEFORMAT </w:instrText>
      </w:r>
      <w:r w:rsidRPr="001D227D">
        <w:fldChar w:fldCharType="separate"/>
      </w:r>
      <w:r w:rsidR="00D12276" w:rsidRPr="00C15D0D">
        <w:t xml:space="preserve">Figure </w:t>
      </w:r>
      <w:r w:rsidR="00D12276" w:rsidRPr="00D12276">
        <w:rPr>
          <w:noProof/>
        </w:rPr>
        <w:t>16</w:t>
      </w:r>
      <w:r w:rsidRPr="001D227D">
        <w:fldChar w:fldCharType="end"/>
      </w:r>
      <w:r>
        <w:rPr>
          <w:lang w:val="en-AU" w:eastAsia="en-AU"/>
        </w:rPr>
        <w:t>).</w:t>
      </w:r>
    </w:p>
    <w:p w14:paraId="15721017" w14:textId="12D8BA62" w:rsidR="0059608E" w:rsidRPr="004E0EF8" w:rsidRDefault="0059608E" w:rsidP="00220439">
      <w:pPr>
        <w:pStyle w:val="Heading1"/>
        <w:keepNext/>
        <w:numPr>
          <w:ilvl w:val="0"/>
          <w:numId w:val="1"/>
        </w:numPr>
        <w:spacing w:before="120" w:after="480" w:line="240" w:lineRule="auto"/>
        <w:ind w:left="574"/>
        <w:jc w:val="both"/>
        <w:rPr>
          <w:rFonts w:eastAsia="Times New Roman" w:cs="Arial"/>
          <w:bCs w:val="0"/>
          <w:caps w:val="0"/>
          <w:kern w:val="28"/>
          <w:sz w:val="36"/>
          <w:szCs w:val="28"/>
          <w:lang w:eastAsia="en-US" w:bidi="ar-SA"/>
        </w:rPr>
      </w:pPr>
      <w:bookmarkStart w:id="690" w:name="_Toc461457778"/>
      <w:bookmarkStart w:id="691" w:name="_Toc502500023"/>
      <w:r w:rsidRPr="004E0EF8">
        <w:rPr>
          <w:rFonts w:eastAsia="Times New Roman" w:cs="Arial"/>
          <w:bCs w:val="0"/>
          <w:caps w:val="0"/>
          <w:kern w:val="28"/>
          <w:sz w:val="36"/>
          <w:szCs w:val="28"/>
          <w:lang w:eastAsia="en-US" w:bidi="ar-SA"/>
        </w:rPr>
        <w:t>Discussion</w:t>
      </w:r>
      <w:bookmarkEnd w:id="690"/>
      <w:bookmarkEnd w:id="691"/>
    </w:p>
    <w:p w14:paraId="15721018" w14:textId="7F8F01FE" w:rsidR="00EA1B29" w:rsidRDefault="007864F8" w:rsidP="00EA1B29">
      <w:pPr>
        <w:tabs>
          <w:tab w:val="left" w:pos="10065"/>
        </w:tabs>
        <w:spacing w:line="276" w:lineRule="auto"/>
      </w:pPr>
      <w:bookmarkStart w:id="692" w:name="_Hlk481006447"/>
      <w:bookmarkStart w:id="693" w:name="_Hlk481475764"/>
      <w:r>
        <w:rPr>
          <w:b/>
        </w:rPr>
        <w:t>P</w:t>
      </w:r>
      <w:r w:rsidR="00EA1B29" w:rsidRPr="00EA1B29">
        <w:rPr>
          <w:b/>
        </w:rPr>
        <w:t xml:space="preserve">ressures </w:t>
      </w:r>
      <w:r w:rsidR="0086754F">
        <w:rPr>
          <w:b/>
        </w:rPr>
        <w:t>and overall trends in pesticide level</w:t>
      </w:r>
      <w:r w:rsidR="006B667F">
        <w:rPr>
          <w:b/>
        </w:rPr>
        <w:t>s at fixed monitoring sites</w:t>
      </w:r>
      <w:r w:rsidR="00EA1B29">
        <w:rPr>
          <w:b/>
        </w:rPr>
        <w:t>.</w:t>
      </w:r>
      <w:r w:rsidR="00EA1B29">
        <w:t xml:space="preserve"> </w:t>
      </w:r>
      <w:r w:rsidR="00472A6B">
        <w:t>T</w:t>
      </w:r>
      <w:r w:rsidR="00EA1B29" w:rsidRPr="00EA1B29">
        <w:t>he</w:t>
      </w:r>
      <w:r w:rsidR="00AC52D3">
        <w:t xml:space="preserve"> current monitoring year</w:t>
      </w:r>
      <w:r w:rsidR="00EA1B29">
        <w:t xml:space="preserve"> </w:t>
      </w:r>
      <w:r w:rsidR="00AC52D3">
        <w:t>experienced</w:t>
      </w:r>
      <w:r w:rsidR="00EA1B29">
        <w:t xml:space="preserve"> relatively </w:t>
      </w:r>
      <w:r w:rsidR="00FA7257">
        <w:t>low-level</w:t>
      </w:r>
      <w:r w:rsidR="00EA1B29">
        <w:t xml:space="preserve"> pressures </w:t>
      </w:r>
      <w:r w:rsidR="00236F45">
        <w:t>govern</w:t>
      </w:r>
      <w:r>
        <w:t>ing</w:t>
      </w:r>
      <w:r w:rsidR="008B67E0">
        <w:t xml:space="preserve"> the release of</w:t>
      </w:r>
      <w:r w:rsidR="00EA1B29">
        <w:t xml:space="preserve"> pesticide</w:t>
      </w:r>
      <w:r w:rsidR="008B67E0">
        <w:t>s</w:t>
      </w:r>
      <w:r w:rsidR="00EA1B29">
        <w:t xml:space="preserve"> into the Reef lagoon. </w:t>
      </w:r>
      <w:r>
        <w:t xml:space="preserve">Overall, </w:t>
      </w:r>
      <w:r w:rsidR="00EA1B29">
        <w:t xml:space="preserve">2015-16 was </w:t>
      </w:r>
      <w:r w:rsidR="00AC52D3">
        <w:t>a dry year compared to long term averages (rainfall ranged from average to well below average across all catchments</w:t>
      </w:r>
      <w:r w:rsidR="008B67E0">
        <w:t xml:space="preserve"> and there was no cyclone activity</w:t>
      </w:r>
      <w:r w:rsidR="00AC52D3">
        <w:t>) and river discharges were generally lower</w:t>
      </w:r>
      <w:r>
        <w:t xml:space="preserve"> than their long-term averages. </w:t>
      </w:r>
      <w:r w:rsidR="0021010D">
        <w:t>Although there were some minor exceptions, t</w:t>
      </w:r>
      <w:r w:rsidR="008B67E0">
        <w:t>otal catchment runoff, quantified as p</w:t>
      </w:r>
      <w:r w:rsidR="00AC52D3">
        <w:t xml:space="preserve">esticide </w:t>
      </w:r>
      <w:r w:rsidR="008B67E0">
        <w:t xml:space="preserve">end-of-catchment </w:t>
      </w:r>
      <w:r w:rsidR="00AC52D3">
        <w:t xml:space="preserve">loads, </w:t>
      </w:r>
      <w:r w:rsidR="008B67E0">
        <w:t>was</w:t>
      </w:r>
      <w:r w:rsidR="00AC52D3">
        <w:t xml:space="preserve"> similar to 2014-15 levels across most catchments</w:t>
      </w:r>
      <w:r w:rsidR="007C5AB4">
        <w:t xml:space="preserve"> and were generally at the lower end of reported annual runoff since monitoring began.</w:t>
      </w:r>
      <w:r w:rsidR="008B67E0">
        <w:t xml:space="preserve"> Likewise, the profiles of pesticid</w:t>
      </w:r>
      <w:r>
        <w:t xml:space="preserve">es in the discharged loads were broadly in line </w:t>
      </w:r>
      <w:r w:rsidR="0021010D">
        <w:t>with recent years with no major changes except a marginal shift in profile towards higher tebuthiuron loads in the Fitzroy catchment in the current monitoring year</w:t>
      </w:r>
      <w:r w:rsidR="00163671">
        <w:t xml:space="preserve"> compared to the previous two years</w:t>
      </w:r>
      <w:r w:rsidR="008B67E0">
        <w:t>.</w:t>
      </w:r>
    </w:p>
    <w:p w14:paraId="15721019" w14:textId="77777777" w:rsidR="007864F8" w:rsidRDefault="007864F8" w:rsidP="00EA1B29">
      <w:pPr>
        <w:tabs>
          <w:tab w:val="left" w:pos="10065"/>
        </w:tabs>
        <w:spacing w:line="276" w:lineRule="auto"/>
      </w:pPr>
    </w:p>
    <w:p w14:paraId="1572101A" w14:textId="3DF6B334" w:rsidR="0056147F" w:rsidRDefault="007864F8" w:rsidP="0056147F">
      <w:pPr>
        <w:tabs>
          <w:tab w:val="left" w:pos="10065"/>
        </w:tabs>
        <w:spacing w:line="276" w:lineRule="auto"/>
      </w:pPr>
      <w:r>
        <w:t xml:space="preserve">Consistent with low level pressures, pesticide </w:t>
      </w:r>
      <w:r w:rsidRPr="007864F8">
        <w:t>concentrations</w:t>
      </w:r>
      <w:r>
        <w:t xml:space="preserve"> </w:t>
      </w:r>
      <w:r w:rsidR="0056147F">
        <w:t xml:space="preserve">at fixed monitoring sites </w:t>
      </w:r>
      <w:r>
        <w:t>were</w:t>
      </w:r>
      <w:r w:rsidR="0056147F">
        <w:t>, at most sites,</w:t>
      </w:r>
      <w:r>
        <w:t xml:space="preserve"> similar to the previous monitoring year, and overall were lower than levels </w:t>
      </w:r>
      <w:r w:rsidR="0056147F">
        <w:t xml:space="preserve">during past ‘high’ pressure </w:t>
      </w:r>
      <w:r w:rsidR="0056147F" w:rsidRPr="006A23A2">
        <w:t xml:space="preserve">La Niña </w:t>
      </w:r>
      <w:r w:rsidR="0056147F">
        <w:t xml:space="preserve">years when rainfall and cyclonic activity were considerably above </w:t>
      </w:r>
      <w:r w:rsidR="00F32785">
        <w:t>long-term</w:t>
      </w:r>
      <w:r w:rsidR="0056147F">
        <w:t xml:space="preserve"> averages. There was one significant exception to this trend and </w:t>
      </w:r>
      <w:r w:rsidR="0056147F" w:rsidRPr="0056147F">
        <w:t xml:space="preserve">at </w:t>
      </w:r>
      <w:r w:rsidR="005A19C8">
        <w:t>Round</w:t>
      </w:r>
      <w:r w:rsidR="0056147F" w:rsidRPr="0056147F">
        <w:t xml:space="preserve"> Top Island</w:t>
      </w:r>
      <w:r w:rsidR="0056147F">
        <w:t xml:space="preserve"> </w:t>
      </w:r>
      <w:r w:rsidR="0056147F" w:rsidRPr="0056147F">
        <w:t>in</w:t>
      </w:r>
      <w:r w:rsidR="0056147F">
        <w:t xml:space="preserve"> the Mackay Whitsunday region, pesticide levels were elevated across most of the wet season and the maximum concentrations were the highest since monitoring began for the sites currently monitored. Concomitant with these high pesticide levels, there were minor guideline value exceedances for three pesticides, diuron, imidacloprid and chlorpyrifos.</w:t>
      </w:r>
      <w:r w:rsidR="00CC7D1F" w:rsidRPr="00CC7D1F">
        <w:t xml:space="preserve"> </w:t>
      </w:r>
      <w:r w:rsidR="00CC7D1F">
        <w:t>Comparative data are lacking for this site (</w:t>
      </w:r>
      <w:r w:rsidR="00894618">
        <w:t>sampling</w:t>
      </w:r>
      <w:r w:rsidR="00CC7D1F">
        <w:t xml:space="preserve"> commenced 2014-15), and o</w:t>
      </w:r>
      <w:r w:rsidR="00CC7D1F" w:rsidRPr="00CC7D1F">
        <w:t xml:space="preserve">ngoing monitoring is necessary to understand whether these exceedances </w:t>
      </w:r>
      <w:r w:rsidR="00CC7D1F">
        <w:t>we</w:t>
      </w:r>
      <w:r w:rsidR="00CC7D1F" w:rsidRPr="00CC7D1F">
        <w:t xml:space="preserve">re isolated incidences or </w:t>
      </w:r>
      <w:r w:rsidR="00CC7D1F">
        <w:t>are typical of this catchment and this is a higher risk site.</w:t>
      </w:r>
      <w:r w:rsidR="0056147F">
        <w:t xml:space="preserve"> The interpretation of th</w:t>
      </w:r>
      <w:r w:rsidR="0021010D">
        <w:t>ese</w:t>
      </w:r>
      <w:r w:rsidR="0056147F">
        <w:t xml:space="preserve"> high 2015-16 </w:t>
      </w:r>
      <w:r w:rsidR="0021010D">
        <w:t xml:space="preserve">pesticide </w:t>
      </w:r>
      <w:r w:rsidR="0056147F">
        <w:t>level</w:t>
      </w:r>
      <w:r w:rsidR="0021010D">
        <w:t>s</w:t>
      </w:r>
      <w:r w:rsidR="0056147F">
        <w:t xml:space="preserve"> was </w:t>
      </w:r>
      <w:r w:rsidR="00163671">
        <w:t xml:space="preserve">complicated </w:t>
      </w:r>
      <w:r w:rsidR="0056147F">
        <w:t xml:space="preserve">by incomplete </w:t>
      </w:r>
      <w:r w:rsidR="00163671">
        <w:t xml:space="preserve">comparative </w:t>
      </w:r>
      <w:r w:rsidR="0056147F">
        <w:t>monitoring data from the previous year</w:t>
      </w:r>
      <w:r w:rsidR="00163671">
        <w:t>. A</w:t>
      </w:r>
      <w:r w:rsidR="0056147F">
        <w:t xml:space="preserve"> particular focus going forward will be to develop strategies to reduce sampler thefts, damage and other avoidable losses to improve trend analyses.</w:t>
      </w:r>
    </w:p>
    <w:p w14:paraId="1572101B" w14:textId="77777777" w:rsidR="00EA1B29" w:rsidRDefault="00EA1B29" w:rsidP="00EA1B29">
      <w:pPr>
        <w:tabs>
          <w:tab w:val="left" w:pos="10065"/>
        </w:tabs>
        <w:spacing w:line="276" w:lineRule="auto"/>
      </w:pPr>
    </w:p>
    <w:p w14:paraId="1572101C" w14:textId="3280DFB4" w:rsidR="00EA1B29" w:rsidRDefault="0021010D" w:rsidP="00186F38">
      <w:pPr>
        <w:tabs>
          <w:tab w:val="left" w:pos="10065"/>
        </w:tabs>
        <w:spacing w:line="276" w:lineRule="auto"/>
      </w:pPr>
      <w:r>
        <w:t>Even when complete monitoring data sets are available, i</w:t>
      </w:r>
      <w:r w:rsidR="00EA1B29" w:rsidRPr="00EA1B29">
        <w:t xml:space="preserve">t can </w:t>
      </w:r>
      <w:r>
        <w:t xml:space="preserve">still </w:t>
      </w:r>
      <w:r w:rsidR="00EA1B29" w:rsidRPr="00EA1B29">
        <w:t xml:space="preserve">be </w:t>
      </w:r>
      <w:r w:rsidR="006B17D9">
        <w:t>challenging</w:t>
      </w:r>
      <w:r w:rsidR="00EA1B29" w:rsidRPr="00EA1B29">
        <w:t xml:space="preserve"> to elucidate </w:t>
      </w:r>
      <w:r>
        <w:t xml:space="preserve">the reasons </w:t>
      </w:r>
      <w:r w:rsidR="006B17D9">
        <w:t>behind observed</w:t>
      </w:r>
      <w:r>
        <w:t xml:space="preserve"> </w:t>
      </w:r>
      <w:r w:rsidR="00EA1B29" w:rsidRPr="00EA1B29">
        <w:t xml:space="preserve">trends </w:t>
      </w:r>
      <w:r w:rsidR="006B17D9">
        <w:t xml:space="preserve">in monitored offshore pesticide data, especially </w:t>
      </w:r>
      <w:r w:rsidR="006B17D9" w:rsidRPr="00EA1B29">
        <w:t>when changes to pressures occur simultaneously</w:t>
      </w:r>
      <w:r w:rsidR="006B17D9">
        <w:t>.</w:t>
      </w:r>
      <w:r w:rsidR="006B17D9" w:rsidRPr="00EA1B29">
        <w:t xml:space="preserve"> </w:t>
      </w:r>
      <w:r w:rsidR="006B17D9">
        <w:t xml:space="preserve">Whether a reduction in pesticide detections at offshore </w:t>
      </w:r>
      <w:r w:rsidR="00237998">
        <w:t xml:space="preserve">monitoring </w:t>
      </w:r>
      <w:r w:rsidR="006B17D9">
        <w:t>sites is due to, for example, climatic variabilities influencing pesticide transport potential from catchment to Reef or better land management practices reducing pesticide usage and runoff, or both, requires a detailed understanding of all the factors driving these changes</w:t>
      </w:r>
      <w:r w:rsidR="00EA1B29" w:rsidRPr="00EA1B29">
        <w:t>. Quite often, the necessary data needed to interpret these changes (particularly pesticide usage and application rates) are either not available or only updated periodically. All these factors</w:t>
      </w:r>
      <w:r w:rsidR="00894618">
        <w:t xml:space="preserve">, as well as the </w:t>
      </w:r>
      <w:r w:rsidR="00CB7C97">
        <w:t>overall</w:t>
      </w:r>
      <w:r w:rsidR="00894618">
        <w:t xml:space="preserve"> small number of fixed passive sampling sites,</w:t>
      </w:r>
      <w:r w:rsidR="00EA1B29" w:rsidRPr="00EA1B29">
        <w:t xml:space="preserve"> make it difficult to quantitatively assess the link between </w:t>
      </w:r>
      <w:r w:rsidR="00EA1B29" w:rsidRPr="00EA1B29">
        <w:lastRenderedPageBreak/>
        <w:t xml:space="preserve">improved land management </w:t>
      </w:r>
      <w:r w:rsidR="0056147F" w:rsidRPr="00EA1B29">
        <w:t>practices</w:t>
      </w:r>
      <w:r w:rsidR="00EA1B29" w:rsidRPr="00EA1B29">
        <w:t xml:space="preserve"> as a direct result of Reef Plan initiatives and changes in </w:t>
      </w:r>
      <w:r w:rsidR="00163671">
        <w:t xml:space="preserve">nearshore marine </w:t>
      </w:r>
      <w:r w:rsidR="00EA1B29" w:rsidRPr="00EA1B29">
        <w:t>water quality.</w:t>
      </w:r>
      <w:r w:rsidR="006B667F">
        <w:t xml:space="preserve"> </w:t>
      </w:r>
      <w:r w:rsidR="00186F38">
        <w:t xml:space="preserve">Since pesticides are </w:t>
      </w:r>
      <w:r w:rsidR="002035F1">
        <w:t xml:space="preserve">principally </w:t>
      </w:r>
      <w:r w:rsidR="00186F38">
        <w:t xml:space="preserve">exported during </w:t>
      </w:r>
      <w:r w:rsidR="002035F1">
        <w:t>runoff</w:t>
      </w:r>
      <w:r w:rsidR="00186F38">
        <w:t xml:space="preserve"> events in the wet season, river discharge is expected to be a key driver of pesticide concentrations reaching offshore monitoring sites. To assess the success of Reef Plan initiatives, a</w:t>
      </w:r>
      <w:r w:rsidR="00DB4330">
        <w:t>n</w:t>
      </w:r>
      <w:r w:rsidR="00237998">
        <w:t xml:space="preserve"> approach t</w:t>
      </w:r>
      <w:r w:rsidR="006B667F">
        <w:t xml:space="preserve">o </w:t>
      </w:r>
      <w:r w:rsidR="00186F38">
        <w:t>identify long term trends in</w:t>
      </w:r>
      <w:r w:rsidR="006B667F">
        <w:t xml:space="preserve"> pesticide levels </w:t>
      </w:r>
      <w:r w:rsidR="00186F38">
        <w:t>at</w:t>
      </w:r>
      <w:r w:rsidR="006B667F">
        <w:t xml:space="preserve"> </w:t>
      </w:r>
      <w:r w:rsidR="00186F38">
        <w:t xml:space="preserve">strategic monitoring </w:t>
      </w:r>
      <w:r w:rsidR="006B667F">
        <w:t xml:space="preserve">sites </w:t>
      </w:r>
      <w:r w:rsidR="00186F38">
        <w:t xml:space="preserve">due to changes in pesticide runoff rather than </w:t>
      </w:r>
      <w:r w:rsidR="00163671">
        <w:t xml:space="preserve">a result of </w:t>
      </w:r>
      <w:r w:rsidR="0086754F">
        <w:t>inter-annual</w:t>
      </w:r>
      <w:r w:rsidR="00186F38">
        <w:t xml:space="preserve"> changes in river flow</w:t>
      </w:r>
      <w:r w:rsidR="0031303D">
        <w:t xml:space="preserve"> is required</w:t>
      </w:r>
      <w:r w:rsidR="006B667F">
        <w:t xml:space="preserve">. Statistical </w:t>
      </w:r>
      <w:r w:rsidR="00237998">
        <w:t>mode</w:t>
      </w:r>
      <w:r w:rsidR="00186F38">
        <w:t>ls to achieve this, for example,</w:t>
      </w:r>
      <w:r w:rsidR="006B667F">
        <w:t xml:space="preserve"> </w:t>
      </w:r>
      <w:r w:rsidR="00186F38" w:rsidRPr="00186F38">
        <w:t>a generalis</w:t>
      </w:r>
      <w:r w:rsidR="00186F38">
        <w:t xml:space="preserve">ed additive modelling framework </w:t>
      </w:r>
      <w:r w:rsidR="00C91BF5">
        <w:fldChar w:fldCharType="begin"/>
      </w:r>
      <w:r w:rsidR="009D4492">
        <w:instrText xml:space="preserve"> ADDIN EN.CITE &lt;EndNote&gt;&lt;Cite&gt;&lt;Author&gt;Kuhnert&lt;/Author&gt;&lt;Year&gt;2015&lt;/Year&gt;&lt;RecNum&gt;20&lt;/RecNum&gt;&lt;DisplayText&gt;(Kuhnert et al., 2015)&lt;/DisplayText&gt;&lt;record&gt;&lt;rec-number&gt;20&lt;/rec-number&gt;&lt;foreign-keys&gt;&lt;key app="EN" db-id="vvtrt2pt4xpx5teta99vvtwg50vzve2aexae" timestamp="1493157348"&gt;20&lt;/key&gt;&lt;/foreign-keys&gt;&lt;ref-type name="Report"&gt;27&lt;/ref-type&gt;&lt;contributors&gt;&lt;authors&gt;&lt;author&gt;Kuhnert, P.M.&lt;/author&gt;&lt;author&gt;Liu, Y.&lt;/author&gt;&lt;author&gt;Henderson, B.&lt;/author&gt;&lt;author&gt;Dambacher, J.&lt;/author&gt;&lt;author&gt;Lawrence, E.&lt;/author&gt;&lt;author&gt;Kroon, F.&lt;/author&gt;&lt;/authors&gt;&lt;/contributors&gt;&lt;titles&gt;&lt;title&gt;Review of the Marine Monitoring Program (MMP), Final Report for the Great Barrier Reef Marine Park Authority (GBRMPA)&lt;/title&gt;&lt;/titles&gt;&lt;dates&gt;&lt;year&gt;2015&lt;/year&gt;&lt;/dates&gt;&lt;pub-location&gt;CSIRO, Australia&lt;/pub-location&gt;&lt;urls&gt;&lt;/urls&gt;&lt;/record&gt;&lt;/Cite&gt;&lt;/EndNote&gt;</w:instrText>
      </w:r>
      <w:r w:rsidR="00C91BF5">
        <w:fldChar w:fldCharType="separate"/>
      </w:r>
      <w:r w:rsidR="009D4492">
        <w:rPr>
          <w:noProof/>
        </w:rPr>
        <w:t>(Kuhnert et al., 2015)</w:t>
      </w:r>
      <w:r w:rsidR="00C91BF5">
        <w:fldChar w:fldCharType="end"/>
      </w:r>
      <w:r w:rsidR="0031303D">
        <w:t>,</w:t>
      </w:r>
      <w:r w:rsidR="00237998">
        <w:t xml:space="preserve"> will be </w:t>
      </w:r>
      <w:r w:rsidR="00894618">
        <w:t>considered</w:t>
      </w:r>
      <w:r w:rsidR="00237998">
        <w:t xml:space="preserve"> in future reports.</w:t>
      </w:r>
    </w:p>
    <w:bookmarkEnd w:id="692"/>
    <w:p w14:paraId="1572101D" w14:textId="77777777" w:rsidR="00597F4F" w:rsidRDefault="00597F4F" w:rsidP="00015606">
      <w:pPr>
        <w:tabs>
          <w:tab w:val="left" w:pos="10065"/>
        </w:tabs>
        <w:spacing w:line="276" w:lineRule="auto"/>
      </w:pPr>
    </w:p>
    <w:p w14:paraId="1572101E" w14:textId="2B18108B" w:rsidR="00490905" w:rsidRDefault="0031303D" w:rsidP="00490905">
      <w:pPr>
        <w:tabs>
          <w:tab w:val="left" w:pos="10065"/>
        </w:tabs>
        <w:spacing w:line="276" w:lineRule="auto"/>
        <w:rPr>
          <w:lang w:val="en-AU" w:eastAsia="en-AU"/>
        </w:rPr>
      </w:pPr>
      <w:r>
        <w:rPr>
          <w:b/>
        </w:rPr>
        <w:t>PSII herbicide</w:t>
      </w:r>
      <w:r w:rsidR="00490905" w:rsidRPr="00490905">
        <w:rPr>
          <w:b/>
        </w:rPr>
        <w:t xml:space="preserve"> profiles.</w:t>
      </w:r>
      <w:r w:rsidR="00490905">
        <w:t xml:space="preserve"> </w:t>
      </w:r>
      <w:r w:rsidR="003A5429">
        <w:t>Consistent</w:t>
      </w:r>
      <w:r w:rsidR="007E0EEA">
        <w:t xml:space="preserve"> with previous monitoring years</w:t>
      </w:r>
      <w:r w:rsidR="007E0EEA" w:rsidRPr="0031303D">
        <w:t>, diuron, atrazine and hexazinone</w:t>
      </w:r>
      <w:r w:rsidR="007E0EEA">
        <w:t xml:space="preserve"> were the most frequently detected and abundant PSII herbicides </w:t>
      </w:r>
      <w:r w:rsidR="00766BAF">
        <w:t xml:space="preserve">at most sites </w:t>
      </w:r>
      <w:r w:rsidR="00C91BF5">
        <w:fldChar w:fldCharType="begin">
          <w:fldData xml:space="preserve">PEVuZE5vdGU+PENpdGU+PEF1dGhvcj5HYWxsZW48L0F1dGhvcj48WWVhcj4yMDE0PC9ZZWFyPjxS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</w:fldData>
        </w:fldChar>
      </w:r>
      <w:r w:rsidR="009D4492">
        <w:instrText xml:space="preserve"> ADDIN EN.CITE </w:instrText>
      </w:r>
      <w:r w:rsidR="009D4492">
        <w:fldChar w:fldCharType="begin">
          <w:fldData xml:space="preserve">PEVuZE5vdGU+PENpdGU+PEF1dGhvcj5HYWxsZW48L0F1dGhvcj48WWVhcj4yMDE0PC9ZZWFyPjxS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</w:fldData>
        </w:fldChar>
      </w:r>
      <w:r w:rsidR="009D4492">
        <w:instrText xml:space="preserve"> ADDIN EN.CITE.DATA </w:instrText>
      </w:r>
      <w:r w:rsidR="009D4492">
        <w:fldChar w:fldCharType="end"/>
      </w:r>
      <w:r w:rsidR="00C91BF5">
        <w:fldChar w:fldCharType="separate"/>
      </w:r>
      <w:r w:rsidR="009D4492">
        <w:rPr>
          <w:noProof/>
        </w:rPr>
        <w:t>(Kennedy et al., 2010a, Bentley et al., 2012, Kennedy et al., 2012, Gallen et al., 2013, Gallen et al., 2014, Gallen et al., 2016)</w:t>
      </w:r>
      <w:r w:rsidR="00C91BF5">
        <w:fldChar w:fldCharType="end"/>
      </w:r>
      <w:r w:rsidR="007E0EEA">
        <w:t xml:space="preserve">. </w:t>
      </w:r>
      <w:r w:rsidR="00597F4F">
        <w:rPr>
          <w:lang w:val="en-AU" w:eastAsia="en-AU"/>
        </w:rPr>
        <w:t xml:space="preserve">These herbicide residues </w:t>
      </w:r>
      <w:r w:rsidR="003A5429">
        <w:rPr>
          <w:lang w:val="en-AU" w:eastAsia="en-AU"/>
        </w:rPr>
        <w:t xml:space="preserve">reflect land-use </w:t>
      </w:r>
      <w:r w:rsidR="00597F4F">
        <w:rPr>
          <w:lang w:val="en-AU" w:eastAsia="en-AU"/>
        </w:rPr>
        <w:t xml:space="preserve">applications primarily in the sugar cane, horticulture and grain cropping industries </w:t>
      </w:r>
      <w:r w:rsidR="00C91BF5">
        <w:rPr>
          <w:lang w:val="en-AU" w:eastAsia="en-AU"/>
        </w:rPr>
        <w:fldChar w:fldCharType="begin">
          <w:fldData xml:space="preserve">PEVuZE5vdGU+PENpdGU+PEF1dGhvcj5CYWluYnJpZGdlPC9BdXRob3I+PFllYXI+MjAwOTwvWWVh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</w:fldData>
        </w:fldChar>
      </w:r>
      <w:r w:rsidR="009D4492">
        <w:rPr>
          <w:lang w:val="en-AU" w:eastAsia="en-AU"/>
        </w:rPr>
        <w:instrText xml:space="preserve"> ADDIN EN.CITE </w:instrText>
      </w:r>
      <w:r w:rsidR="009D4492">
        <w:rPr>
          <w:lang w:val="en-AU" w:eastAsia="en-AU"/>
        </w:rPr>
        <w:fldChar w:fldCharType="begin">
          <w:fldData xml:space="preserve">PEVuZE5vdGU+PENpdGU+PEF1dGhvcj5CYWluYnJpZGdlPC9BdXRob3I+PFllYXI+MjAwOTwvWWVh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</w:fldData>
        </w:fldChar>
      </w:r>
      <w:r w:rsidR="009D4492">
        <w:rPr>
          <w:lang w:val="en-AU" w:eastAsia="en-AU"/>
        </w:rPr>
        <w:instrText xml:space="preserve"> ADDIN EN.CITE.DATA </w:instrText>
      </w:r>
      <w:r w:rsidR="009D4492">
        <w:rPr>
          <w:lang w:val="en-AU" w:eastAsia="en-AU"/>
        </w:rPr>
      </w:r>
      <w:r w:rsidR="009D4492">
        <w:rPr>
          <w:lang w:val="en-AU" w:eastAsia="en-AU"/>
        </w:rPr>
        <w:fldChar w:fldCharType="end"/>
      </w:r>
      <w:r w:rsidR="00C91BF5">
        <w:rPr>
          <w:lang w:val="en-AU" w:eastAsia="en-AU"/>
        </w:rPr>
      </w:r>
      <w:r w:rsidR="00C91BF5">
        <w:rPr>
          <w:lang w:val="en-AU" w:eastAsia="en-AU"/>
        </w:rPr>
        <w:fldChar w:fldCharType="separate"/>
      </w:r>
      <w:r w:rsidR="009D4492">
        <w:rPr>
          <w:noProof/>
          <w:lang w:val="en-AU" w:eastAsia="en-AU"/>
        </w:rPr>
        <w:t>(Bainbridge et al., 2009, Lewis et al., 2009, Kroon et al., 2013, Devlin et al., 2015)</w:t>
      </w:r>
      <w:r w:rsidR="00C91BF5">
        <w:rPr>
          <w:lang w:val="en-AU" w:eastAsia="en-AU"/>
        </w:rPr>
        <w:fldChar w:fldCharType="end"/>
      </w:r>
      <w:r w:rsidR="00597F4F">
        <w:rPr>
          <w:lang w:val="en-AU" w:eastAsia="en-AU"/>
        </w:rPr>
        <w:t xml:space="preserve">. </w:t>
      </w:r>
      <w:r w:rsidR="00D561A2">
        <w:t>A comparison between end-of-catchment load data and maximum pesticide concentrations a</w:t>
      </w:r>
      <w:r w:rsidR="002545B5">
        <w:t>t</w:t>
      </w:r>
      <w:r w:rsidR="00D561A2">
        <w:t xml:space="preserve"> each site indicated that t</w:t>
      </w:r>
      <w:r w:rsidR="0059608E">
        <w:rPr>
          <w:lang w:val="en-AU" w:eastAsia="en-AU"/>
        </w:rPr>
        <w:t xml:space="preserve">he </w:t>
      </w:r>
      <w:r>
        <w:rPr>
          <w:lang w:val="en-AU" w:eastAsia="en-AU"/>
        </w:rPr>
        <w:t xml:space="preserve">profile of </w:t>
      </w:r>
      <w:r w:rsidR="0059608E">
        <w:rPr>
          <w:lang w:val="en-AU" w:eastAsia="en-AU"/>
        </w:rPr>
        <w:t>PSII herbicide</w:t>
      </w:r>
      <w:r>
        <w:rPr>
          <w:lang w:val="en-AU" w:eastAsia="en-AU"/>
        </w:rPr>
        <w:t>s</w:t>
      </w:r>
      <w:r w:rsidR="0059608E">
        <w:rPr>
          <w:lang w:val="en-AU" w:eastAsia="en-AU"/>
        </w:rPr>
        <w:t xml:space="preserve"> detected </w:t>
      </w:r>
      <w:r>
        <w:rPr>
          <w:lang w:val="en-AU" w:eastAsia="en-AU"/>
        </w:rPr>
        <w:t>at the fixed monitoring sites</w:t>
      </w:r>
      <w:r w:rsidR="0059608E">
        <w:rPr>
          <w:lang w:val="en-AU" w:eastAsia="en-AU"/>
        </w:rPr>
        <w:t xml:space="preserve"> are </w:t>
      </w:r>
      <w:r w:rsidR="00E077B5">
        <w:rPr>
          <w:lang w:val="en-AU" w:eastAsia="en-AU"/>
        </w:rPr>
        <w:t>almost identical</w:t>
      </w:r>
      <w:r w:rsidR="0059608E">
        <w:rPr>
          <w:lang w:val="en-AU" w:eastAsia="en-AU"/>
        </w:rPr>
        <w:t xml:space="preserve"> to those </w:t>
      </w:r>
      <w:r w:rsidR="00D561A2">
        <w:rPr>
          <w:lang w:val="en-AU" w:eastAsia="en-AU"/>
        </w:rPr>
        <w:t>in</w:t>
      </w:r>
      <w:r w:rsidR="0059608E">
        <w:rPr>
          <w:lang w:val="en-AU" w:eastAsia="en-AU"/>
        </w:rPr>
        <w:t xml:space="preserve"> </w:t>
      </w:r>
      <w:r w:rsidR="00E077B5">
        <w:rPr>
          <w:lang w:val="en-AU" w:eastAsia="en-AU"/>
        </w:rPr>
        <w:t>the discharged loads</w:t>
      </w:r>
      <w:r w:rsidR="0059608E">
        <w:rPr>
          <w:lang w:val="en-AU" w:eastAsia="en-AU"/>
        </w:rPr>
        <w:t xml:space="preserve"> and appear consistent with the </w:t>
      </w:r>
      <w:r w:rsidR="0059608E" w:rsidRPr="0031303D">
        <w:rPr>
          <w:lang w:val="en-AU" w:eastAsia="en-AU"/>
        </w:rPr>
        <w:t>land use</w:t>
      </w:r>
      <w:r w:rsidR="0059608E">
        <w:rPr>
          <w:lang w:val="en-AU" w:eastAsia="en-AU"/>
        </w:rPr>
        <w:t xml:space="preserve"> </w:t>
      </w:r>
      <w:r w:rsidR="00ED739B">
        <w:rPr>
          <w:lang w:val="en-AU" w:eastAsia="en-AU"/>
        </w:rPr>
        <w:t>in the adjacent catchment areas</w:t>
      </w:r>
      <w:r w:rsidR="0059608E">
        <w:rPr>
          <w:lang w:val="en-AU" w:eastAsia="en-AU"/>
        </w:rPr>
        <w:t xml:space="preserve">. </w:t>
      </w:r>
      <w:r w:rsidR="00490905">
        <w:rPr>
          <w:lang w:val="en-AU" w:eastAsia="en-AU"/>
        </w:rPr>
        <w:t xml:space="preserve">The major land uses within the </w:t>
      </w:r>
      <w:r w:rsidR="00490905">
        <w:t xml:space="preserve">Reef </w:t>
      </w:r>
      <w:r w:rsidR="00490905">
        <w:rPr>
          <w:lang w:val="en-AU" w:eastAsia="en-AU"/>
        </w:rPr>
        <w:t xml:space="preserve">catchments are agricultural cropping, livestock grazing and other primary production (such as forestry) </w:t>
      </w:r>
      <w:r w:rsidR="00C91BF5">
        <w:fldChar w:fldCharType="begin"/>
      </w:r>
      <w:r w:rsidR="009D4492">
        <w:instrText xml:space="preserve"> ADDIN EN.CITE &lt;EndNote&gt;&lt;Cite&gt;&lt;Author&gt;DSITI&lt;/Author&gt;&lt;Year&gt;2012&lt;/Year&gt;&lt;RecNum&gt;55&lt;/RecNum&gt;&lt;DisplayText&gt;(ABS, 2010, DSITI, 2012d)&lt;/DisplayText&gt;&lt;record&gt;&lt;rec-number&gt;55&lt;/rec-number&gt;&lt;foreign-keys&gt;&lt;key app="EN" db-id="vvtrt2pt4xpx5teta99vvtwg50vzve2aexae" timestamp="1493157393"&gt;55&lt;/key&gt;&lt;/foreign-keys&gt;&lt;ref-type name="Report"&gt;27&lt;/ref-type&gt;&lt;contributors&gt;&lt;authors&gt;&lt;author&gt;DSITI&lt;/author&gt;&lt;/authors&gt;&lt;/contributors&gt;&lt;titles&gt;&lt;title&gt;Land use summary 1999–2009: Great Barrier Reef catchments&lt;/title&gt;&lt;/titles&gt;&lt;dates&gt;&lt;year&gt;2012&lt;/year&gt;&lt;/dates&gt;&lt;pub-location&gt;Brisbane&lt;/pub-location&gt;&lt;publisher&gt;Queensland Department of Science, Information Technology, Innovation and the Arts&lt;/publisher&gt;&lt;urls&gt;&lt;/urls&gt;&lt;/record&gt;&lt;/Cite&gt;&lt;Cite&gt;&lt;Author&gt;ABS&lt;/Author&gt;&lt;Year&gt;2010&lt;/Year&gt;&lt;RecNum&gt;21&lt;/RecNum&gt;&lt;record&gt;&lt;rec-number&gt;21&lt;/rec-number&gt;&lt;foreign-keys&gt;&lt;key app="EN" db-id="vvtrt2pt4xpx5teta99vvtwg50vzve2aexae" timestamp="1493157349"&gt;21&lt;/key&gt;&lt;/foreign-keys&gt;&lt;ref-type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C91BF5">
        <w:fldChar w:fldCharType="separate"/>
      </w:r>
      <w:r w:rsidR="009D4492">
        <w:rPr>
          <w:noProof/>
        </w:rPr>
        <w:t>(ABS, 2010, DSITI, 2012d)</w:t>
      </w:r>
      <w:r w:rsidR="00C91BF5">
        <w:fldChar w:fldCharType="end"/>
      </w:r>
      <w:r w:rsidR="00490905">
        <w:rPr>
          <w:lang w:val="en-AU" w:eastAsia="en-AU"/>
        </w:rPr>
        <w:t xml:space="preserve">. Sugar cane farming is clustered heavily along </w:t>
      </w:r>
      <w:r w:rsidR="00894618">
        <w:rPr>
          <w:lang w:val="en-AU" w:eastAsia="en-AU"/>
        </w:rPr>
        <w:t xml:space="preserve">many rivers in NRM region, for example, throughout the </w:t>
      </w:r>
      <w:r w:rsidR="00490905">
        <w:rPr>
          <w:lang w:val="en-AU" w:eastAsia="en-AU"/>
        </w:rPr>
        <w:t xml:space="preserve">Wet Tropics region, </w:t>
      </w:r>
      <w:r w:rsidR="00F10C53">
        <w:rPr>
          <w:lang w:val="en-AU" w:eastAsia="en-AU"/>
        </w:rPr>
        <w:t xml:space="preserve">Barratta Creek (Lower </w:t>
      </w:r>
      <w:r w:rsidR="00490905">
        <w:rPr>
          <w:lang w:val="en-AU" w:eastAsia="en-AU"/>
        </w:rPr>
        <w:t>Burdekin</w:t>
      </w:r>
      <w:r w:rsidR="00894618">
        <w:rPr>
          <w:lang w:val="en-AU" w:eastAsia="en-AU"/>
        </w:rPr>
        <w:t>)</w:t>
      </w:r>
      <w:r w:rsidR="00490905">
        <w:rPr>
          <w:lang w:val="en-AU" w:eastAsia="en-AU"/>
        </w:rPr>
        <w:t xml:space="preserve"> region and </w:t>
      </w:r>
      <w:r w:rsidR="00894618">
        <w:rPr>
          <w:lang w:val="en-AU" w:eastAsia="en-AU"/>
        </w:rPr>
        <w:t xml:space="preserve">Proserpine and </w:t>
      </w:r>
      <w:r w:rsidR="00490905">
        <w:rPr>
          <w:lang w:val="en-AU" w:eastAsia="en-AU"/>
        </w:rPr>
        <w:t>Pioneer River</w:t>
      </w:r>
      <w:r w:rsidR="00894618">
        <w:rPr>
          <w:lang w:val="en-AU" w:eastAsia="en-AU"/>
        </w:rPr>
        <w:t>s</w:t>
      </w:r>
      <w:r w:rsidR="00490905">
        <w:rPr>
          <w:lang w:val="en-AU" w:eastAsia="en-AU"/>
        </w:rPr>
        <w:t xml:space="preserve"> (Mackay-Whitsunday region), with 18 </w:t>
      </w:r>
      <w:r w:rsidR="00597F4F">
        <w:rPr>
          <w:lang w:val="en-AU" w:eastAsia="en-AU"/>
        </w:rPr>
        <w:t>per cent</w:t>
      </w:r>
      <w:r w:rsidR="00490905">
        <w:rPr>
          <w:lang w:val="en-AU" w:eastAsia="en-AU"/>
        </w:rPr>
        <w:t xml:space="preserve"> of the Mackay Whitsunday region alone used for sugar cane farming </w:t>
      </w:r>
      <w:r w:rsidR="00C91BF5">
        <w:rPr>
          <w:lang w:val="en-AU" w:eastAsia="en-AU"/>
        </w:rPr>
        <w:fldChar w:fldCharType="begin">
          <w:fldData xml:space="preserve">PEVuZE5vdGU+PENpdGU+PEF1dGhvcj5MZXdpczwvQXV0aG9yPjxZZWFyPjIwMDk8L1llYXI+PFJl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</w:fldData>
        </w:fldChar>
      </w:r>
      <w:r w:rsidR="00734C2D">
        <w:rPr>
          <w:lang w:val="en-AU" w:eastAsia="en-AU"/>
        </w:rPr>
        <w:instrText xml:space="preserve"> ADDIN EN.CITE </w:instrText>
      </w:r>
      <w:r w:rsidR="00734C2D">
        <w:rPr>
          <w:lang w:val="en-AU" w:eastAsia="en-AU"/>
        </w:rPr>
        <w:fldChar w:fldCharType="begin">
          <w:fldData xml:space="preserve">PEVuZE5vdGU+PENpdGU+PEF1dGhvcj5MZXdpczwvQXV0aG9yPjxZZWFyPjIwMDk8L1llYXI+PFJl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</w:fldData>
        </w:fldChar>
      </w:r>
      <w:r w:rsidR="00734C2D">
        <w:rPr>
          <w:lang w:val="en-AU" w:eastAsia="en-AU"/>
        </w:rPr>
        <w:instrText xml:space="preserve"> ADDIN EN.CITE.DATA </w:instrText>
      </w:r>
      <w:r w:rsidR="00734C2D">
        <w:rPr>
          <w:lang w:val="en-AU" w:eastAsia="en-AU"/>
        </w:rPr>
      </w:r>
      <w:r w:rsidR="00734C2D">
        <w:rPr>
          <w:lang w:val="en-AU" w:eastAsia="en-AU"/>
        </w:rPr>
        <w:fldChar w:fldCharType="end"/>
      </w:r>
      <w:r w:rsidR="00C91BF5">
        <w:rPr>
          <w:lang w:val="en-AU" w:eastAsia="en-AU"/>
        </w:rPr>
      </w:r>
      <w:r w:rsidR="00C91BF5">
        <w:rPr>
          <w:lang w:val="en-AU" w:eastAsia="en-AU"/>
        </w:rPr>
        <w:fldChar w:fldCharType="separate"/>
      </w:r>
      <w:r w:rsidR="00734C2D">
        <w:rPr>
          <w:noProof/>
          <w:lang w:val="en-AU" w:eastAsia="en-AU"/>
        </w:rPr>
        <w:t>(Lewis et al., 2009, DSITI, 2012b, c, e)</w:t>
      </w:r>
      <w:r w:rsidR="00C91BF5">
        <w:rPr>
          <w:lang w:val="en-AU" w:eastAsia="en-AU"/>
        </w:rPr>
        <w:fldChar w:fldCharType="end"/>
      </w:r>
      <w:r w:rsidR="00490905">
        <w:rPr>
          <w:lang w:val="en-AU" w:eastAsia="en-AU"/>
        </w:rPr>
        <w:t xml:space="preserve">. </w:t>
      </w:r>
      <w:r w:rsidR="00FE2C72">
        <w:rPr>
          <w:lang w:val="en-AU" w:eastAsia="en-AU"/>
        </w:rPr>
        <w:t>M</w:t>
      </w:r>
      <w:r w:rsidR="00490905">
        <w:rPr>
          <w:lang w:val="en-AU" w:eastAsia="en-AU"/>
        </w:rPr>
        <w:t xml:space="preserve">odelling </w:t>
      </w:r>
      <w:r w:rsidR="00FE2C72">
        <w:rPr>
          <w:lang w:val="en-AU" w:eastAsia="en-AU"/>
        </w:rPr>
        <w:t>estimates have suggested</w:t>
      </w:r>
      <w:r w:rsidR="00490905">
        <w:rPr>
          <w:lang w:val="en-AU" w:eastAsia="en-AU"/>
        </w:rPr>
        <w:t xml:space="preserve"> that sugar cane contributes &gt;90 </w:t>
      </w:r>
      <w:r w:rsidR="00FE2C72">
        <w:rPr>
          <w:lang w:val="en-AU" w:eastAsia="en-AU"/>
        </w:rPr>
        <w:t>per cent</w:t>
      </w:r>
      <w:r w:rsidR="00490905">
        <w:rPr>
          <w:lang w:val="en-AU" w:eastAsia="en-AU"/>
        </w:rPr>
        <w:t xml:space="preserve"> of the annual load of PSII herbicides transported into waterways and marine areas from </w:t>
      </w:r>
      <w:r>
        <w:rPr>
          <w:lang w:val="en-AU" w:eastAsia="en-AU"/>
        </w:rPr>
        <w:t>Reef</w:t>
      </w:r>
      <w:r w:rsidR="00490905">
        <w:rPr>
          <w:lang w:val="en-AU" w:eastAsia="en-AU"/>
        </w:rPr>
        <w:t xml:space="preserve"> catchments </w:t>
      </w:r>
      <w:r w:rsidR="00C91BF5">
        <w:rPr>
          <w:lang w:val="en-AU" w:eastAsia="en-AU"/>
        </w:rPr>
        <w:fldChar w:fldCharType="begin">
          <w:fldData xml:space="preserve">PEVuZE5vdGU+PENpdGU+PEF1dGhvcj5Lcm9vbjwvQXV0aG9yPjxZZWFyPjIwMTI8L1llYXI+PFJl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</w:fldData>
        </w:fldChar>
      </w:r>
      <w:r w:rsidR="009D4492">
        <w:rPr>
          <w:lang w:val="en-AU" w:eastAsia="en-AU"/>
        </w:rPr>
        <w:instrText xml:space="preserve"> ADDIN EN.CITE </w:instrText>
      </w:r>
      <w:r w:rsidR="009D4492">
        <w:rPr>
          <w:lang w:val="en-AU" w:eastAsia="en-AU"/>
        </w:rPr>
        <w:fldChar w:fldCharType="begin">
          <w:fldData xml:space="preserve">PEVuZE5vdGU+PENpdGU+PEF1dGhvcj5Lcm9vbjwvQXV0aG9yPjxZZWFyPjIwMTI8L1llYXI+PFJl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</w:fldData>
        </w:fldChar>
      </w:r>
      <w:r w:rsidR="009D4492">
        <w:rPr>
          <w:lang w:val="en-AU" w:eastAsia="en-AU"/>
        </w:rPr>
        <w:instrText xml:space="preserve"> ADDIN EN.CITE.DATA </w:instrText>
      </w:r>
      <w:r w:rsidR="009D4492">
        <w:rPr>
          <w:lang w:val="en-AU" w:eastAsia="en-AU"/>
        </w:rPr>
      </w:r>
      <w:r w:rsidR="009D4492">
        <w:rPr>
          <w:lang w:val="en-AU" w:eastAsia="en-AU"/>
        </w:rPr>
        <w:fldChar w:fldCharType="end"/>
      </w:r>
      <w:r w:rsidR="00C91BF5">
        <w:rPr>
          <w:lang w:val="en-AU" w:eastAsia="en-AU"/>
        </w:rPr>
      </w:r>
      <w:r w:rsidR="00C91BF5">
        <w:rPr>
          <w:lang w:val="en-AU" w:eastAsia="en-AU"/>
        </w:rPr>
        <w:fldChar w:fldCharType="separate"/>
      </w:r>
      <w:r w:rsidR="009D4492">
        <w:rPr>
          <w:noProof/>
          <w:lang w:val="en-AU" w:eastAsia="en-AU"/>
        </w:rPr>
        <w:t>(Kroon et al., 2012)</w:t>
      </w:r>
      <w:r w:rsidR="00C91BF5">
        <w:rPr>
          <w:lang w:val="en-AU" w:eastAsia="en-AU"/>
        </w:rPr>
        <w:fldChar w:fldCharType="end"/>
      </w:r>
      <w:r w:rsidR="00490905">
        <w:rPr>
          <w:lang w:val="en-AU" w:eastAsia="en-AU"/>
        </w:rPr>
        <w:t xml:space="preserve">. </w:t>
      </w:r>
    </w:p>
    <w:p w14:paraId="1572101F" w14:textId="77777777" w:rsidR="00490905" w:rsidRDefault="00490905" w:rsidP="00015606">
      <w:pPr>
        <w:tabs>
          <w:tab w:val="left" w:pos="10065"/>
        </w:tabs>
        <w:spacing w:line="276" w:lineRule="auto"/>
        <w:rPr>
          <w:lang w:val="en-AU" w:eastAsia="en-AU"/>
        </w:rPr>
      </w:pPr>
    </w:p>
    <w:p w14:paraId="15721020" w14:textId="4ABDC382" w:rsidR="0086754F" w:rsidRDefault="00F25A26" w:rsidP="00015606">
      <w:pPr>
        <w:tabs>
          <w:tab w:val="left" w:pos="10065"/>
        </w:tabs>
        <w:spacing w:line="276" w:lineRule="auto"/>
        <w:rPr>
          <w:lang w:val="en-AU" w:eastAsia="en-AU"/>
        </w:rPr>
      </w:pPr>
      <w:r w:rsidRPr="0031303D">
        <w:rPr>
          <w:lang w:val="en-AU" w:eastAsia="en-AU"/>
        </w:rPr>
        <w:t>Diuron</w:t>
      </w:r>
      <w:r>
        <w:rPr>
          <w:lang w:val="en-AU" w:eastAsia="en-AU"/>
        </w:rPr>
        <w:t xml:space="preserve"> is typically associated with the intensive sugar caning activity in the coastal area of the Tully River, Herbert River, Pioneer River and Sandy Creek catchments, and high loads were discharged fr</w:t>
      </w:r>
      <w:r w:rsidR="00163671">
        <w:rPr>
          <w:lang w:val="en-AU" w:eastAsia="en-AU"/>
        </w:rPr>
        <w:t>om these catchments in 2015-16.</w:t>
      </w:r>
      <w:r w:rsidR="0086754F">
        <w:rPr>
          <w:lang w:val="en-AU" w:eastAsia="en-AU"/>
        </w:rPr>
        <w:t xml:space="preserve"> C</w:t>
      </w:r>
      <w:r w:rsidR="00DA62DD">
        <w:rPr>
          <w:lang w:val="en-AU" w:eastAsia="en-AU"/>
        </w:rPr>
        <w:t>onsistent with previous years</w:t>
      </w:r>
      <w:r>
        <w:rPr>
          <w:lang w:val="en-AU" w:eastAsia="en-AU"/>
        </w:rPr>
        <w:t xml:space="preserve">, </w:t>
      </w:r>
      <w:r w:rsidR="00DA62DD">
        <w:rPr>
          <w:lang w:val="en-AU" w:eastAsia="en-AU"/>
        </w:rPr>
        <w:t xml:space="preserve">PSII </w:t>
      </w:r>
      <w:r w:rsidR="00894618">
        <w:rPr>
          <w:lang w:val="en-AU" w:eastAsia="en-AU"/>
        </w:rPr>
        <w:t xml:space="preserve">herbicide </w:t>
      </w:r>
      <w:r w:rsidR="00DA62DD">
        <w:rPr>
          <w:lang w:val="en-AU" w:eastAsia="en-AU"/>
        </w:rPr>
        <w:t xml:space="preserve">profiles </w:t>
      </w:r>
      <w:r>
        <w:rPr>
          <w:lang w:val="en-AU" w:eastAsia="en-AU"/>
        </w:rPr>
        <w:t xml:space="preserve">at </w:t>
      </w:r>
      <w:r w:rsidR="00894618">
        <w:rPr>
          <w:lang w:val="en-AU" w:eastAsia="en-AU"/>
        </w:rPr>
        <w:t>many fixed passive sampling</w:t>
      </w:r>
      <w:r>
        <w:rPr>
          <w:lang w:val="en-AU" w:eastAsia="en-AU"/>
        </w:rPr>
        <w:t xml:space="preserve"> sites </w:t>
      </w:r>
      <w:r w:rsidR="00894618">
        <w:rPr>
          <w:lang w:val="en-AU" w:eastAsia="en-AU"/>
        </w:rPr>
        <w:t xml:space="preserve">were also </w:t>
      </w:r>
      <w:r>
        <w:rPr>
          <w:lang w:val="en-AU" w:eastAsia="en-AU"/>
        </w:rPr>
        <w:t>dominated by diuron.</w:t>
      </w:r>
      <w:r w:rsidR="00DA62DD">
        <w:rPr>
          <w:lang w:val="en-AU" w:eastAsia="en-AU"/>
        </w:rPr>
        <w:t xml:space="preserve"> </w:t>
      </w:r>
      <w:r w:rsidR="00DA62DD" w:rsidRPr="0031303D">
        <w:rPr>
          <w:lang w:val="en-AU" w:eastAsia="en-AU"/>
        </w:rPr>
        <w:t>Atrazine</w:t>
      </w:r>
      <w:r w:rsidR="00DA62DD">
        <w:rPr>
          <w:lang w:val="en-AU" w:eastAsia="en-AU"/>
        </w:rPr>
        <w:t xml:space="preserve">, also registered for use in sugarcane, has historically been used extensively in the Barratta and Burdekin catchments, and </w:t>
      </w:r>
      <w:r w:rsidR="0031303D">
        <w:rPr>
          <w:lang w:val="en-AU" w:eastAsia="en-AU"/>
        </w:rPr>
        <w:t>as found during</w:t>
      </w:r>
      <w:r w:rsidR="00DA62DD">
        <w:rPr>
          <w:lang w:val="en-AU" w:eastAsia="en-AU"/>
        </w:rPr>
        <w:t xml:space="preserve"> recent passive sampling activities in these catchments </w:t>
      </w:r>
      <w:r w:rsidR="00C91BF5">
        <w:rPr>
          <w:lang w:val="en-AU" w:eastAsia="en-AU"/>
        </w:rPr>
        <w:fldChar w:fldCharType="begin"/>
      </w:r>
      <w:r w:rsidR="009D4492">
        <w:rPr>
          <w:lang w:val="en-AU" w:eastAsia="en-AU"/>
        </w:rPr>
        <w:instrText xml:space="preserve"> ADDIN EN.CITE &lt;EndNote&gt;&lt;Cite&gt;&lt;Author&gt;O’Brien&lt;/Author&gt;&lt;Year&gt;2016&lt;/Year&gt;&lt;RecNum&gt;7&lt;/RecNum&gt;&lt;DisplayText&gt;(O’Brien et al., 2016)&lt;/DisplayText&gt;&lt;record&gt;&lt;rec-number&gt;7&lt;/rec-number&gt;&lt;foreign-keys&gt;&lt;key app="EN" db-id="vvtrt2pt4xpx5teta99vvtwg50vzve2aexae" timestamp="1493157334"&gt;7&lt;/key&gt;&lt;/foreign-keys&gt;&lt;ref-type name="Journal Article"&gt;17&lt;/ref-type&gt;&lt;contributors&gt;&lt;authors&gt;&lt;author&gt;O’Brien, Dominique&lt;/author&gt;&lt;author&gt;Lewis, Stephen&lt;/author&gt;&lt;author&gt;Davis, Aaron&lt;/author&gt;&lt;author&gt;Gallen, Christie&lt;/author&gt;&lt;author&gt;Smith, Rachael&lt;/author&gt;&lt;author&gt;Turner, Ryan&lt;/author&gt;&lt;author&gt;Warne, Michael&lt;/author&gt;&lt;author&gt;Turner, Scott&lt;/author&gt;&lt;author&gt;Caswell, Stewart&lt;/author&gt;&lt;author&gt;Mueller, Jochen F&lt;/author&gt;&lt;/authors&gt;&lt;/contributors&gt;&lt;titles&gt;&lt;title&gt;Spatial and temporal variability in pesticide exposure downstream of a heavily irrigated cropping area: application of different monitoring techniques&lt;/title&gt;&lt;secondary-title&gt;Journal of agricultural and food chemistry&lt;/secondary-title&gt;&lt;/titles&gt;&lt;periodical&gt;&lt;full-title&gt;Journal of agricultural and food chemistry&lt;/full-title&gt;&lt;/periodical&gt;&lt;pages&gt;3975-3989&lt;/pages&gt;&lt;volume&gt;64&lt;/volume&gt;&lt;number&gt;20&lt;/number&gt;&lt;dates&gt;&lt;year&gt;2016&lt;/year&gt;&lt;/dates&gt;&lt;isbn&gt;0021-8561&lt;/isbn&gt;&lt;urls&gt;&lt;/urls&gt;&lt;/record&gt;&lt;/Cite&gt;&lt;/EndNote&gt;</w:instrText>
      </w:r>
      <w:r w:rsidR="00C91BF5">
        <w:rPr>
          <w:lang w:val="en-AU" w:eastAsia="en-AU"/>
        </w:rPr>
        <w:fldChar w:fldCharType="separate"/>
      </w:r>
      <w:r w:rsidR="009D4492">
        <w:rPr>
          <w:noProof/>
          <w:lang w:val="en-AU" w:eastAsia="en-AU"/>
        </w:rPr>
        <w:t>(O’Brien et al., 2016)</w:t>
      </w:r>
      <w:r w:rsidR="00C91BF5">
        <w:rPr>
          <w:lang w:val="en-AU" w:eastAsia="en-AU"/>
        </w:rPr>
        <w:fldChar w:fldCharType="end"/>
      </w:r>
      <w:r w:rsidR="0031303D">
        <w:rPr>
          <w:lang w:val="en-AU" w:eastAsia="en-AU"/>
        </w:rPr>
        <w:t>, this herbicide continues</w:t>
      </w:r>
      <w:r w:rsidR="00DA62DD">
        <w:rPr>
          <w:lang w:val="en-AU" w:eastAsia="en-AU"/>
        </w:rPr>
        <w:t xml:space="preserve"> to represent the highest proportion of PSII herbicides at </w:t>
      </w:r>
      <w:r w:rsidR="00894618">
        <w:rPr>
          <w:lang w:val="en-AU" w:eastAsia="en-AU"/>
        </w:rPr>
        <w:t>the</w:t>
      </w:r>
      <w:r w:rsidR="00DA62DD">
        <w:rPr>
          <w:lang w:val="en-AU" w:eastAsia="en-AU"/>
        </w:rPr>
        <w:t xml:space="preserve"> monitoring sites in this region. </w:t>
      </w:r>
    </w:p>
    <w:p w14:paraId="15721021" w14:textId="77777777" w:rsidR="0086754F" w:rsidRDefault="0086754F" w:rsidP="00015606">
      <w:pPr>
        <w:tabs>
          <w:tab w:val="left" w:pos="10065"/>
        </w:tabs>
        <w:spacing w:line="276" w:lineRule="auto"/>
        <w:rPr>
          <w:lang w:val="en-AU" w:eastAsia="en-AU"/>
        </w:rPr>
      </w:pPr>
    </w:p>
    <w:p w14:paraId="15721022" w14:textId="6C278331" w:rsidR="00E077B5" w:rsidRDefault="00DA62DD" w:rsidP="00015606">
      <w:pPr>
        <w:tabs>
          <w:tab w:val="left" w:pos="10065"/>
        </w:tabs>
        <w:spacing w:line="276" w:lineRule="auto"/>
        <w:rPr>
          <w:lang w:val="en-AU" w:eastAsia="en-AU"/>
        </w:rPr>
      </w:pPr>
      <w:r>
        <w:rPr>
          <w:lang w:val="en-AU" w:eastAsia="en-AU"/>
        </w:rPr>
        <w:t>T</w:t>
      </w:r>
      <w:r w:rsidR="00F25A26">
        <w:rPr>
          <w:lang w:val="en-AU" w:eastAsia="en-AU"/>
        </w:rPr>
        <w:t xml:space="preserve">ebuthiuron </w:t>
      </w:r>
      <w:r>
        <w:rPr>
          <w:lang w:val="en-AU" w:eastAsia="en-AU"/>
        </w:rPr>
        <w:t xml:space="preserve">loads </w:t>
      </w:r>
      <w:r w:rsidR="00F25A26">
        <w:rPr>
          <w:lang w:val="en-AU" w:eastAsia="en-AU"/>
        </w:rPr>
        <w:t>have been</w:t>
      </w:r>
      <w:r>
        <w:rPr>
          <w:lang w:val="en-AU" w:eastAsia="en-AU"/>
        </w:rPr>
        <w:t>, and continue to be,</w:t>
      </w:r>
      <w:r w:rsidR="00F25A26">
        <w:rPr>
          <w:lang w:val="en-AU" w:eastAsia="en-AU"/>
        </w:rPr>
        <w:t xml:space="preserve"> </w:t>
      </w:r>
      <w:r w:rsidR="00712595">
        <w:rPr>
          <w:lang w:val="en-AU" w:eastAsia="en-AU"/>
        </w:rPr>
        <w:t>associated almost exclusively with</w:t>
      </w:r>
      <w:r w:rsidR="00F25A26">
        <w:rPr>
          <w:lang w:val="en-AU" w:eastAsia="en-AU"/>
        </w:rPr>
        <w:t xml:space="preserve"> the Burdekin and Fitzroy River catchments where land use is </w:t>
      </w:r>
      <w:r>
        <w:rPr>
          <w:lang w:val="en-AU" w:eastAsia="en-AU"/>
        </w:rPr>
        <w:t>predominantly</w:t>
      </w:r>
      <w:r w:rsidR="00F25A26">
        <w:rPr>
          <w:lang w:val="en-AU" w:eastAsia="en-AU"/>
        </w:rPr>
        <w:t xml:space="preserve"> grazing</w:t>
      </w:r>
      <w:r>
        <w:rPr>
          <w:lang w:val="en-AU" w:eastAsia="en-AU"/>
        </w:rPr>
        <w:t xml:space="preserve">. </w:t>
      </w:r>
      <w:r w:rsidR="00521DDF">
        <w:rPr>
          <w:lang w:val="en-AU" w:eastAsia="en-AU"/>
        </w:rPr>
        <w:t>T</w:t>
      </w:r>
      <w:r w:rsidR="00712595">
        <w:rPr>
          <w:lang w:val="en-AU" w:eastAsia="en-AU"/>
        </w:rPr>
        <w:t xml:space="preserve">he </w:t>
      </w:r>
      <w:r w:rsidR="00F25A26">
        <w:rPr>
          <w:lang w:val="en-AU" w:eastAsia="en-AU"/>
        </w:rPr>
        <w:t xml:space="preserve">North Keppel Island </w:t>
      </w:r>
      <w:r w:rsidR="00521DDF">
        <w:rPr>
          <w:lang w:val="en-AU" w:eastAsia="en-AU"/>
        </w:rPr>
        <w:t xml:space="preserve">site </w:t>
      </w:r>
      <w:r w:rsidR="00F25A26">
        <w:rPr>
          <w:lang w:val="en-AU" w:eastAsia="en-AU"/>
        </w:rPr>
        <w:t xml:space="preserve">in the Fitzroy region has </w:t>
      </w:r>
      <w:r w:rsidR="00712595">
        <w:rPr>
          <w:lang w:val="en-AU" w:eastAsia="en-AU"/>
        </w:rPr>
        <w:t xml:space="preserve">in the past </w:t>
      </w:r>
      <w:r w:rsidR="00F25A26">
        <w:rPr>
          <w:lang w:val="en-AU" w:eastAsia="en-AU"/>
        </w:rPr>
        <w:t xml:space="preserve">been characterised by relatively high concentrations of </w:t>
      </w:r>
      <w:r w:rsidR="00F25A26" w:rsidRPr="0031303D">
        <w:rPr>
          <w:lang w:val="en-AU" w:eastAsia="en-AU"/>
        </w:rPr>
        <w:t>tebuthiuron</w:t>
      </w:r>
      <w:r w:rsidR="00F25A26">
        <w:rPr>
          <w:lang w:val="en-AU" w:eastAsia="en-AU"/>
        </w:rPr>
        <w:t xml:space="preserve">, including an exceedance of the GBRMPA guidelines in 2013 </w:t>
      </w:r>
      <w:r w:rsidR="00C91BF5">
        <w:rPr>
          <w:lang w:val="en-AU" w:eastAsia="en-AU"/>
        </w:rPr>
        <w:fldChar w:fldCharType="begin"/>
      </w:r>
      <w:r w:rsidR="009D4492">
        <w:rPr>
          <w:lang w:val="en-AU" w:eastAsia="en-AU"/>
        </w:rPr>
        <w:instrText xml:space="preserve"> ADDIN EN.CITE &lt;EndNote&gt;&lt;Cite&gt;&lt;Author&gt;Gallen&lt;/Author&gt;&lt;Year&gt;2013&lt;/Year&gt;&lt;RecNum&gt;17&lt;/RecNum&gt;&lt;DisplayText&gt;(Gallen et al., 2013)&lt;/DisplayText&gt;&lt;record&gt;&lt;rec-number&gt;17&lt;/rec-number&gt;&lt;foreign-keys&gt;&lt;key app="EN" db-id="vvtrt2pt4xpx5teta99vvtwg50vzve2aexae" timestamp="1493157345"&gt;17&lt;/key&gt;&lt;/foreign-keys&gt;&lt;ref-type name="Report"&gt;27&lt;/ref-type&gt;&lt;contributors&gt;&lt;authors&gt;&lt;author&gt;Gallen, C&lt;/author&gt;&lt;author&gt;Devlin, M&lt;/author&gt;&lt;author&gt;Paxman, C&lt;/author&gt;&lt;author&gt;Banks, A&lt;/author&gt;&lt;author&gt;Mueller, J&lt;/author&gt;&lt;/authors&gt;&lt;/contributors&gt;&lt;titles&gt;&lt;title&gt;Pesticide monitoring in inshore waters of the Great Barrier Reef using both time-integrated and event monitoring techniques (2012-2013)&lt;/title&gt;&lt;/titles&gt;&lt;dates&gt;&lt;year&gt;2013&lt;/year&gt;&lt;/dates&gt;&lt;pub-location&gt;The University of Queensland, The National Research Centre for Environmental Toxicology (Entox).&lt;/pub-location&gt;&lt;urls&gt;&lt;/urls&gt;&lt;/record&gt;&lt;/Cite&gt;&lt;/EndNote&gt;</w:instrText>
      </w:r>
      <w:r w:rsidR="00C91BF5">
        <w:rPr>
          <w:lang w:val="en-AU" w:eastAsia="en-AU"/>
        </w:rPr>
        <w:fldChar w:fldCharType="separate"/>
      </w:r>
      <w:r w:rsidR="009D4492">
        <w:rPr>
          <w:noProof/>
          <w:lang w:val="en-AU" w:eastAsia="en-AU"/>
        </w:rPr>
        <w:t>(Gallen et al., 2013)</w:t>
      </w:r>
      <w:r w:rsidR="00C91BF5">
        <w:rPr>
          <w:lang w:val="en-AU" w:eastAsia="en-AU"/>
        </w:rPr>
        <w:fldChar w:fldCharType="end"/>
      </w:r>
      <w:r w:rsidR="003A5429">
        <w:rPr>
          <w:lang w:val="en-AU" w:eastAsia="en-AU"/>
        </w:rPr>
        <w:t>. I</w:t>
      </w:r>
      <w:r w:rsidR="00712595">
        <w:rPr>
          <w:lang w:val="en-AU" w:eastAsia="en-AU"/>
        </w:rPr>
        <w:t xml:space="preserve">n the current </w:t>
      </w:r>
      <w:r w:rsidR="00521DDF">
        <w:rPr>
          <w:lang w:val="en-AU" w:eastAsia="en-AU"/>
        </w:rPr>
        <w:t xml:space="preserve">monitoring year, </w:t>
      </w:r>
      <w:r w:rsidR="003A5429">
        <w:rPr>
          <w:lang w:val="en-AU" w:eastAsia="en-AU"/>
        </w:rPr>
        <w:t xml:space="preserve">the </w:t>
      </w:r>
      <w:r w:rsidR="00521DDF">
        <w:rPr>
          <w:lang w:val="en-AU" w:eastAsia="en-AU"/>
        </w:rPr>
        <w:t xml:space="preserve">maximum tebuthiuron concentration </w:t>
      </w:r>
      <w:r w:rsidR="003A5429">
        <w:rPr>
          <w:lang w:val="en-AU" w:eastAsia="en-AU"/>
        </w:rPr>
        <w:t>across all the sites was</w:t>
      </w:r>
      <w:r w:rsidR="00521DDF">
        <w:rPr>
          <w:lang w:val="en-AU" w:eastAsia="en-AU"/>
        </w:rPr>
        <w:t xml:space="preserve"> </w:t>
      </w:r>
      <w:r w:rsidR="00490905">
        <w:rPr>
          <w:lang w:val="en-AU" w:eastAsia="en-AU"/>
        </w:rPr>
        <w:t xml:space="preserve">again measured at </w:t>
      </w:r>
      <w:r w:rsidR="003A5429">
        <w:rPr>
          <w:lang w:val="en-AU" w:eastAsia="en-AU"/>
        </w:rPr>
        <w:t>North Keppel</w:t>
      </w:r>
      <w:r w:rsidR="00490905">
        <w:rPr>
          <w:lang w:val="en-AU" w:eastAsia="en-AU"/>
        </w:rPr>
        <w:t>.</w:t>
      </w:r>
      <w:r w:rsidR="00521DDF">
        <w:rPr>
          <w:lang w:val="en-AU" w:eastAsia="en-AU"/>
        </w:rPr>
        <w:t xml:space="preserve"> </w:t>
      </w:r>
      <w:r w:rsidR="0086754F">
        <w:rPr>
          <w:lang w:val="en-AU" w:eastAsia="en-AU"/>
        </w:rPr>
        <w:t xml:space="preserve">Following the </w:t>
      </w:r>
      <w:r w:rsidR="0086754F">
        <w:t xml:space="preserve">large loads of </w:t>
      </w:r>
      <w:r w:rsidR="0086754F">
        <w:rPr>
          <w:lang w:val="en-AU" w:eastAsia="en-AU"/>
        </w:rPr>
        <w:t xml:space="preserve">tebuthiuron </w:t>
      </w:r>
      <w:r w:rsidR="0086754F">
        <w:t xml:space="preserve">discharged from the Fitzroy (a total of 11890 kg) and Burdekin Rivers (a total of 1070 kg) between 2010 – 2013, tebuthiuron levels dropped </w:t>
      </w:r>
      <w:r w:rsidR="00F10C53">
        <w:t xml:space="preserve">considerably </w:t>
      </w:r>
      <w:r w:rsidR="0086754F">
        <w:t xml:space="preserve">but as of 2015-16 were </w:t>
      </w:r>
      <w:r w:rsidR="00163671">
        <w:t>increasing</w:t>
      </w:r>
      <w:r w:rsidR="0086754F">
        <w:t xml:space="preserve"> again. This PSII herbicide is only discharged at trace levels from catchments other than the Fitzroy but is consistently detected up and down the Reef coastline</w:t>
      </w:r>
      <w:r w:rsidR="006D5CD5">
        <w:t xml:space="preserve"> at low levels. This suggests tebuthiuron has long-range transport potential reaching as far as the Wet Tropics region, which is consistent with its long half-life (under Reef relevant conditions) of over 900 days </w:t>
      </w:r>
      <w:r w:rsidR="00C91BF5">
        <w:fldChar w:fldCharType="begin"/>
      </w:r>
      <w:r w:rsidR="009D4492">
        <w:instrText xml:space="preserve"> ADDIN EN.CITE &lt;EndNote&gt;&lt;Cite&gt;&lt;Author&gt;Negri&lt;/Author&gt;&lt;Year&gt;2014&lt;/Year&gt;&lt;RecNum&gt;53&lt;/RecNum&gt;&lt;DisplayText&gt;(Negri et al., 2014)&lt;/DisplayText&gt;&lt;record&gt;&lt;rec-number&gt;53&lt;/rec-number&gt;&lt;foreign-keys&gt;&lt;key app="EN" db-id="vvtrt2pt4xpx5teta99vvtwg50vzve2aexae" timestamp="1493157390"&gt;53&lt;/key&gt;&lt;/foreign-keys&gt;&lt;ref-type name="Report"&gt;27&lt;/ref-type&gt;&lt;contributors&gt;&lt;authors&gt;&lt;author&gt;Negri, A.P.&lt;/author&gt;&lt;author&gt;Mercurio, P.&lt;/author&gt;&lt;author&gt;Flores, F.&lt;/author&gt;&lt;author&gt;Mueller, J.F.&lt;/author&gt;&lt;/authors&gt;&lt;/contributors&gt;&lt;titles&gt;&lt;title&gt;Pesticide dynamics in the Great Barrier Reef catchment and lagoon: grazing, bananas and grain. Herbicide persistence in the marine environment. Report to the Reef Rescue Water Quality Research &amp;amp; Development Program&lt;/title&gt;&lt;/titles&gt;&lt;dates&gt;&lt;year&gt;2014&lt;/year&gt;&lt;/dates&gt;&lt;pub-location&gt;Reef and Rainforest Research Centre Limited, Cairns &lt;/pub-location&gt;&lt;urls&gt;&lt;/urls&gt;&lt;/record&gt;&lt;/Cite&gt;&lt;/EndNote&gt;</w:instrText>
      </w:r>
      <w:r w:rsidR="00C91BF5">
        <w:fldChar w:fldCharType="separate"/>
      </w:r>
      <w:r w:rsidR="009D4492">
        <w:rPr>
          <w:noProof/>
        </w:rPr>
        <w:t>(Negri et al., 2014)</w:t>
      </w:r>
      <w:r w:rsidR="00C91BF5">
        <w:fldChar w:fldCharType="end"/>
      </w:r>
      <w:r w:rsidR="006D5CD5">
        <w:t>.</w:t>
      </w:r>
      <w:r w:rsidR="006D5CD5" w:rsidRPr="006D5CD5">
        <w:t xml:space="preserve"> </w:t>
      </w:r>
      <w:r w:rsidR="006D5CD5">
        <w:t xml:space="preserve">Despite its widespread usage in grazing areas, there is little data relating to tebuthiuron application in Reef catchments and its movement in </w:t>
      </w:r>
      <w:r w:rsidR="00163671">
        <w:t xml:space="preserve">catchment </w:t>
      </w:r>
      <w:r w:rsidR="006D5CD5">
        <w:t xml:space="preserve">run-off </w:t>
      </w:r>
      <w:r w:rsidR="00C91BF5">
        <w:fldChar w:fldCharType="begin"/>
      </w:r>
      <w:r w:rsidR="009D4492">
        <w:instrText xml:space="preserve"> ADDIN EN.CITE &lt;EndNote&gt;&lt;Cite&gt;&lt;Author&gt;Devlin&lt;/Author&gt;&lt;Year&gt;2015&lt;/Year&gt;&lt;RecNum&gt;10&lt;/RecNum&gt;&lt;DisplayText&gt;(Devlin et al., 2015)&lt;/DisplayText&gt;&lt;record&gt;&lt;rec-number&gt;10&lt;/rec-number&gt;&lt;foreign-keys&gt;&lt;key app="EN" db-id="vvtrt2pt4xpx5teta99vvtwg50vzve2aexae" timestamp="1493157338"&gt;10&lt;/key&gt;&lt;/foreign-keys&gt;&lt;ref-type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00C91BF5">
        <w:fldChar w:fldCharType="separate"/>
      </w:r>
      <w:r w:rsidR="009D4492">
        <w:rPr>
          <w:noProof/>
        </w:rPr>
        <w:t>(Devlin et al., 2015)</w:t>
      </w:r>
      <w:r w:rsidR="00C91BF5">
        <w:fldChar w:fldCharType="end"/>
      </w:r>
      <w:r w:rsidR="006D5CD5">
        <w:t>.</w:t>
      </w:r>
    </w:p>
    <w:p w14:paraId="15721023" w14:textId="77777777" w:rsidR="00FE2C72" w:rsidRDefault="00FE2C72" w:rsidP="00015606">
      <w:pPr>
        <w:tabs>
          <w:tab w:val="left" w:pos="10065"/>
        </w:tabs>
        <w:spacing w:line="276" w:lineRule="auto"/>
      </w:pPr>
    </w:p>
    <w:p w14:paraId="15721024" w14:textId="0A77E426" w:rsidR="00BC7879" w:rsidRDefault="00F526F2" w:rsidP="00BC7879">
      <w:pPr>
        <w:spacing w:line="276" w:lineRule="auto"/>
        <w:rPr>
          <w:lang w:val="en-AU" w:eastAsia="en-AU"/>
        </w:rPr>
      </w:pPr>
      <w:r>
        <w:rPr>
          <w:b/>
          <w:lang w:val="en-AU" w:eastAsia="en-AU"/>
        </w:rPr>
        <w:t>Other</w:t>
      </w:r>
      <w:r w:rsidR="006D5CD5" w:rsidRPr="00490905">
        <w:rPr>
          <w:b/>
          <w:lang w:val="en-AU" w:eastAsia="en-AU"/>
        </w:rPr>
        <w:t xml:space="preserve"> pesticide </w:t>
      </w:r>
      <w:r w:rsidR="006D5CD5">
        <w:rPr>
          <w:b/>
          <w:lang w:val="en-AU" w:eastAsia="en-AU"/>
        </w:rPr>
        <w:t>profiles</w:t>
      </w:r>
      <w:r w:rsidR="006D5CD5" w:rsidRPr="00490905">
        <w:rPr>
          <w:b/>
          <w:lang w:val="en-AU" w:eastAsia="en-AU"/>
        </w:rPr>
        <w:t>.</w:t>
      </w:r>
      <w:r w:rsidR="006D5CD5">
        <w:rPr>
          <w:lang w:val="en-AU" w:eastAsia="en-AU"/>
        </w:rPr>
        <w:t xml:space="preserve"> </w:t>
      </w:r>
      <w:r w:rsidR="00F10C53">
        <w:rPr>
          <w:lang w:val="en-AU" w:eastAsia="en-AU"/>
        </w:rPr>
        <w:t xml:space="preserve">Farming best management practice of </w:t>
      </w:r>
      <w:r w:rsidR="00F10C53">
        <w:t xml:space="preserve">Reef-based </w:t>
      </w:r>
      <w:r w:rsidR="00F10C53">
        <w:rPr>
          <w:lang w:val="en-AU" w:eastAsia="en-AU"/>
        </w:rPr>
        <w:t xml:space="preserve">agricultural industries (particularly sugar cane cultivation) </w:t>
      </w:r>
      <w:r w:rsidR="00F10C53">
        <w:t xml:space="preserve">endorses </w:t>
      </w:r>
      <w:r w:rsidR="00F10C53">
        <w:rPr>
          <w:lang w:val="en-AU" w:eastAsia="en-AU"/>
        </w:rPr>
        <w:lastRenderedPageBreak/>
        <w:t xml:space="preserve">the use of </w:t>
      </w:r>
      <w:r w:rsidR="006D5CD5">
        <w:rPr>
          <w:lang w:val="en-AU" w:eastAsia="en-AU"/>
        </w:rPr>
        <w:t xml:space="preserve">alternative herbicides (such as 2,4-D, glyphosate) </w:t>
      </w:r>
      <w:r w:rsidR="00C91BF5">
        <w:rPr>
          <w:lang w:val="en-AU" w:eastAsia="en-AU"/>
        </w:rPr>
        <w:fldChar w:fldCharType="begin"/>
      </w:r>
      <w:r w:rsidR="009D4492">
        <w:rPr>
          <w:lang w:val="en-AU" w:eastAsia="en-AU"/>
        </w:rPr>
        <w:instrText xml:space="preserve"> ADDIN EN.CITE &lt;EndNote&gt;&lt;Cite&gt;&lt;Author&gt;Reef Plan&lt;/Author&gt;&lt;Year&gt;2013&lt;/Year&gt;&lt;RecNum&gt;13&lt;/RecNum&gt;&lt;DisplayText&gt;(Reef Plan, 2013, Smith et al., 2015)&lt;/DisplayText&gt;&lt;record&gt;&lt;rec-number&gt;13&lt;/rec-number&gt;&lt;foreign-keys&gt;&lt;key app="EN" db-id="vvtrt2pt4xpx5teta99vvtwg50vzve2aexae" timestamp="1493157341"&gt;13&lt;/key&gt;&lt;/foreign-keys&gt;&lt;ref-type name="Report"&gt;27&lt;/ref-type&gt;&lt;contributors&gt;&lt;authors&gt;&lt;author&gt;Reef Plan,&lt;/author&gt;&lt;/authors&gt;&lt;/contributors&gt;&lt;titles&gt;&lt;title&gt;Reef Water Quality Protection Plan 2013: Securing the health and resilience of the Great Barrier Reef World Heritage Area and adjacent catchments&lt;/title&gt;&lt;/titles&gt;&lt;dates&gt;&lt;year&gt;2013&lt;/year&gt;&lt;/dates&gt;&lt;pub-location&gt;Reef Water Quality Protection Plan Secretariat, July 2013. Great Barrier Reef Marine Park Authority, Townsville.&lt;/pub-location&gt;&lt;urls&gt;&lt;/urls&gt;&lt;/record&gt;&lt;/Cite&gt;&lt;Cite&gt;&lt;Author&gt;Smith&lt;/Author&gt;&lt;Year&gt;2015&lt;/Year&gt;&lt;RecNum&gt;45&lt;/RecNum&gt;&lt;record&gt;&lt;rec-number&gt;45&lt;/rec-number&gt;&lt;foreign-keys&gt;&lt;key app="EN" db-id="vvtrt2pt4xpx5teta99vvtwg50vzve2aexae" timestamp="1493157379"&gt;45&lt;/key&gt;&lt;/foreign-keys&gt;&lt;ref-type name="Report"&gt;27&lt;/ref-type&gt;&lt;contributors&gt;&lt;authors&gt;&lt;author&gt;Smith, R.&lt;/author&gt;&lt;author&gt;Turner, R.&lt;/author&gt;&lt;author&gt;Vardy, S.&lt;/author&gt;&lt;author&gt;Huggins, R.&lt;/author&gt;&lt;author&gt;Wallace, R.&lt;/author&gt;&lt;author&gt;Warne, M. St J.&lt;/author&gt;&lt;/authors&gt;&lt;/contributors&gt;&lt;titles&gt;&lt;title&gt;An evaluation of the prevalence of alternate pesticides of environmental concern in Great Barrier Reef catchments: RP57C. &lt;/title&gt;&lt;/titles&gt;&lt;dates&gt;&lt;year&gt;2015&lt;/year&gt;&lt;/dates&gt;&lt;pub-location&gt;Department of Science, Information Technology, Innovation and the Arts. Brisbane&lt;/pub-location&gt;&lt;urls&gt;&lt;/urls&gt;&lt;/record&gt;&lt;/Cite&gt;&lt;/EndNote&gt;</w:instrText>
      </w:r>
      <w:r w:rsidR="00C91BF5">
        <w:rPr>
          <w:lang w:val="en-AU" w:eastAsia="en-AU"/>
        </w:rPr>
        <w:fldChar w:fldCharType="separate"/>
      </w:r>
      <w:r w:rsidR="009D4492">
        <w:rPr>
          <w:noProof/>
          <w:lang w:val="en-AU" w:eastAsia="en-AU"/>
        </w:rPr>
        <w:t>(Reef Plan, 2013, Smith et al., 2015)</w:t>
      </w:r>
      <w:r w:rsidR="00C91BF5">
        <w:rPr>
          <w:lang w:val="en-AU" w:eastAsia="en-AU"/>
        </w:rPr>
        <w:fldChar w:fldCharType="end"/>
      </w:r>
      <w:r w:rsidR="006D5CD5">
        <w:rPr>
          <w:lang w:val="en-AU" w:eastAsia="en-AU"/>
        </w:rPr>
        <w:t xml:space="preserve">. </w:t>
      </w:r>
      <w:r w:rsidR="00EF7F17">
        <w:rPr>
          <w:lang w:val="en-AU" w:eastAsia="en-AU"/>
        </w:rPr>
        <w:t xml:space="preserve">In addition, a large number of other pesticides are also now known to be used and transported in catchments discharging to the Reef </w:t>
      </w:r>
      <w:r w:rsidR="00894618">
        <w:rPr>
          <w:lang w:val="en-AU" w:eastAsia="en-AU"/>
        </w:rPr>
        <w:fldChar w:fldCharType="begin"/>
      </w:r>
      <w:r w:rsidR="00894618">
        <w:rPr>
          <w:lang w:val="en-AU" w:eastAsia="en-AU"/>
        </w:rPr>
        <w:instrText xml:space="preserve"> ADDIN EN.CITE &lt;EndNote&gt;&lt;Cite&gt;&lt;Author&gt;Devlin&lt;/Author&gt;&lt;Year&gt;2015&lt;/Year&gt;&lt;RecNum&gt;10&lt;/RecNum&gt;&lt;DisplayText&gt;(Devlin et al., 2015)&lt;/DisplayText&gt;&lt;record&gt;&lt;rec-number&gt;10&lt;/rec-number&gt;&lt;foreign-keys&gt;&lt;key app="EN" db-id="vvtrt2pt4xpx5teta99vvtwg50vzve2aexae" timestamp="1493157338"&gt;10&lt;/key&gt;&lt;/foreign-keys&gt;&lt;ref-type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00894618">
        <w:rPr>
          <w:lang w:val="en-AU" w:eastAsia="en-AU"/>
        </w:rPr>
        <w:fldChar w:fldCharType="separate"/>
      </w:r>
      <w:r w:rsidR="00894618">
        <w:rPr>
          <w:noProof/>
          <w:lang w:val="en-AU" w:eastAsia="en-AU"/>
        </w:rPr>
        <w:t>(Devlin et al., 2015)</w:t>
      </w:r>
      <w:r w:rsidR="00894618">
        <w:rPr>
          <w:lang w:val="en-AU" w:eastAsia="en-AU"/>
        </w:rPr>
        <w:fldChar w:fldCharType="end"/>
      </w:r>
      <w:r w:rsidR="00EF7F17">
        <w:rPr>
          <w:lang w:val="en-AU" w:eastAsia="en-AU"/>
        </w:rPr>
        <w:t xml:space="preserve">, including other herbicides (i.e. herbicides that are not used as a PSII herbicide alternative weed control e.g. metsulfuron-methyl), insecticides and fungicides. </w:t>
      </w:r>
      <w:r>
        <w:rPr>
          <w:lang w:val="en-AU" w:eastAsia="en-AU"/>
        </w:rPr>
        <w:t>T</w:t>
      </w:r>
      <w:r w:rsidR="00BC7879">
        <w:rPr>
          <w:lang w:val="en-AU" w:eastAsia="en-AU"/>
        </w:rPr>
        <w:t xml:space="preserve">he prevalence and loads of </w:t>
      </w:r>
      <w:r>
        <w:rPr>
          <w:lang w:val="en-AU" w:eastAsia="en-AU"/>
        </w:rPr>
        <w:t>other</w:t>
      </w:r>
      <w:r w:rsidR="00BC7879">
        <w:rPr>
          <w:lang w:val="en-AU" w:eastAsia="en-AU"/>
        </w:rPr>
        <w:t xml:space="preserve"> pesticides are </w:t>
      </w:r>
      <w:r>
        <w:rPr>
          <w:lang w:val="en-AU" w:eastAsia="en-AU"/>
        </w:rPr>
        <w:t xml:space="preserve">now </w:t>
      </w:r>
      <w:r w:rsidR="00BC7879">
        <w:rPr>
          <w:lang w:val="en-AU" w:eastAsia="en-AU"/>
        </w:rPr>
        <w:t xml:space="preserve">being monitored </w:t>
      </w:r>
      <w:r w:rsidR="00EF7F17">
        <w:rPr>
          <w:lang w:val="en-AU" w:eastAsia="en-AU"/>
        </w:rPr>
        <w:t xml:space="preserve">as part of GBRCLMP </w:t>
      </w:r>
      <w:r w:rsidR="00BC7879">
        <w:rPr>
          <w:lang w:val="en-AU" w:eastAsia="en-AU"/>
        </w:rPr>
        <w:t xml:space="preserve">alongside the </w:t>
      </w:r>
      <w:r w:rsidR="00F10C53">
        <w:rPr>
          <w:lang w:val="en-AU" w:eastAsia="en-AU"/>
        </w:rPr>
        <w:t xml:space="preserve">five </w:t>
      </w:r>
      <w:r w:rsidR="00BC7879">
        <w:rPr>
          <w:lang w:val="en-AU" w:eastAsia="en-AU"/>
        </w:rPr>
        <w:t xml:space="preserve">PSII herbicides </w:t>
      </w:r>
      <w:r w:rsidR="00EF7F17">
        <w:rPr>
          <w:lang w:val="en-AU" w:eastAsia="en-AU"/>
        </w:rPr>
        <w:t>targeted as a priority for reduction in Reef Plan (2009 and 2013). The</w:t>
      </w:r>
      <w:r w:rsidR="00BC7879">
        <w:rPr>
          <w:lang w:val="en-AU" w:eastAsia="en-AU"/>
        </w:rPr>
        <w:t xml:space="preserve"> </w:t>
      </w:r>
      <w:r w:rsidR="00482AFF">
        <w:rPr>
          <w:lang w:val="en-AU" w:eastAsia="en-AU"/>
        </w:rPr>
        <w:t xml:space="preserve">contribution of the PSII herbicides </w:t>
      </w:r>
      <w:r>
        <w:rPr>
          <w:lang w:val="en-AU" w:eastAsia="en-AU"/>
        </w:rPr>
        <w:t xml:space="preserve">(in sum total) </w:t>
      </w:r>
      <w:r w:rsidR="00482AFF">
        <w:rPr>
          <w:lang w:val="en-AU" w:eastAsia="en-AU"/>
        </w:rPr>
        <w:t>to the annual load of all pesticides has decreased</w:t>
      </w:r>
      <w:r w:rsidR="00163671">
        <w:rPr>
          <w:lang w:val="en-AU" w:eastAsia="en-AU"/>
        </w:rPr>
        <w:t xml:space="preserve">: </w:t>
      </w:r>
      <w:r w:rsidR="004504BF">
        <w:rPr>
          <w:lang w:val="en-AU" w:eastAsia="en-AU"/>
        </w:rPr>
        <w:t xml:space="preserve">for example, </w:t>
      </w:r>
      <w:r w:rsidR="00163671">
        <w:rPr>
          <w:lang w:val="en-AU" w:eastAsia="en-AU"/>
        </w:rPr>
        <w:t>i</w:t>
      </w:r>
      <w:r w:rsidR="00BC7879">
        <w:rPr>
          <w:lang w:val="en-AU" w:eastAsia="en-AU"/>
        </w:rPr>
        <w:t xml:space="preserve">n 2015-16, the </w:t>
      </w:r>
      <w:r w:rsidR="00482AFF">
        <w:rPr>
          <w:lang w:val="en-AU" w:eastAsia="en-AU"/>
        </w:rPr>
        <w:t xml:space="preserve">load </w:t>
      </w:r>
      <w:r w:rsidR="00BC7879">
        <w:rPr>
          <w:lang w:val="en-AU" w:eastAsia="en-AU"/>
        </w:rPr>
        <w:t xml:space="preserve">of </w:t>
      </w:r>
      <w:r w:rsidR="00482AFF">
        <w:rPr>
          <w:lang w:val="en-AU" w:eastAsia="en-AU"/>
        </w:rPr>
        <w:t>non-PSII inhibiting pesticides</w:t>
      </w:r>
      <w:r w:rsidR="00BC7879">
        <w:rPr>
          <w:lang w:val="en-AU" w:eastAsia="en-AU"/>
        </w:rPr>
        <w:t xml:space="preserve"> ranged between 26 – 181 per cent </w:t>
      </w:r>
      <w:r w:rsidR="004504BF">
        <w:rPr>
          <w:lang w:val="en-AU" w:eastAsia="en-AU"/>
        </w:rPr>
        <w:t xml:space="preserve">of the </w:t>
      </w:r>
      <w:r w:rsidR="003A5429">
        <w:rPr>
          <w:lang w:val="en-AU" w:eastAsia="en-AU"/>
        </w:rPr>
        <w:t xml:space="preserve">total </w:t>
      </w:r>
      <w:r w:rsidR="004504BF">
        <w:rPr>
          <w:lang w:val="en-AU" w:eastAsia="en-AU"/>
        </w:rPr>
        <w:t xml:space="preserve">PSII </w:t>
      </w:r>
      <w:r w:rsidR="00482AFF">
        <w:rPr>
          <w:lang w:val="en-AU" w:eastAsia="en-AU"/>
        </w:rPr>
        <w:t xml:space="preserve">herbicide </w:t>
      </w:r>
      <w:r w:rsidR="004504BF">
        <w:rPr>
          <w:lang w:val="en-AU" w:eastAsia="en-AU"/>
        </w:rPr>
        <w:t>load</w:t>
      </w:r>
      <w:r w:rsidR="003A5429">
        <w:rPr>
          <w:lang w:val="en-AU" w:eastAsia="en-AU"/>
        </w:rPr>
        <w:t xml:space="preserve"> across the monitoring sites</w:t>
      </w:r>
      <w:r w:rsidR="004504BF">
        <w:rPr>
          <w:lang w:val="en-AU" w:eastAsia="en-AU"/>
        </w:rPr>
        <w:t xml:space="preserve">, </w:t>
      </w:r>
      <w:r w:rsidR="00BC7879">
        <w:rPr>
          <w:lang w:val="en-AU" w:eastAsia="en-AU"/>
        </w:rPr>
        <w:t xml:space="preserve">compared to 12 – 21 per cent in 2012-13 </w:t>
      </w:r>
      <w:r w:rsidR="00C91BF5">
        <w:rPr>
          <w:lang w:val="en-AU" w:eastAsia="en-AU"/>
        </w:rPr>
        <w:fldChar w:fldCharType="begin"/>
      </w:r>
      <w:r w:rsidR="009D4492">
        <w:rPr>
          <w:lang w:val="en-AU" w:eastAsia="en-AU"/>
        </w:rPr>
        <w:instrText xml:space="preserve"> ADDIN EN.CITE &lt;EndNote&gt;&lt;Cite&gt;&lt;Author&gt;Gallen&lt;/Author&gt;&lt;Year&gt;2013&lt;/Year&gt;&lt;RecNum&gt;17&lt;/RecNum&gt;&lt;DisplayText&gt;(Gallen et al., 2013)&lt;/DisplayText&gt;&lt;record&gt;&lt;rec-number&gt;17&lt;/rec-number&gt;&lt;foreign-keys&gt;&lt;key app="EN" db-id="vvtrt2pt4xpx5teta99vvtwg50vzve2aexae" timestamp="1493157345"&gt;17&lt;/key&gt;&lt;/foreign-keys&gt;&lt;ref-type name="Report"&gt;27&lt;/ref-type&gt;&lt;contributors&gt;&lt;authors&gt;&lt;author&gt;Gallen, C&lt;/author&gt;&lt;author&gt;Devlin, M&lt;/author&gt;&lt;author&gt;Paxman, C&lt;/author&gt;&lt;author&gt;Banks, A&lt;/author&gt;&lt;author&gt;Mueller, J&lt;/author&gt;&lt;/authors&gt;&lt;/contributors&gt;&lt;titles&gt;&lt;title&gt;Pesticide monitoring in inshore waters of the Great Barrier Reef using both time-integrated and event monitoring techniques (2012-2013)&lt;/title&gt;&lt;/titles&gt;&lt;dates&gt;&lt;year&gt;2013&lt;/year&gt;&lt;/dates&gt;&lt;pub-location&gt;The University of Queensland, The National Research Centre for Environmental Toxicology (Entox).&lt;/pub-location&gt;&lt;urls&gt;&lt;/urls&gt;&lt;/record&gt;&lt;/Cite&gt;&lt;/EndNote&gt;</w:instrText>
      </w:r>
      <w:r w:rsidR="00C91BF5">
        <w:rPr>
          <w:lang w:val="en-AU" w:eastAsia="en-AU"/>
        </w:rPr>
        <w:fldChar w:fldCharType="separate"/>
      </w:r>
      <w:r w:rsidR="009D4492">
        <w:rPr>
          <w:noProof/>
          <w:lang w:val="en-AU" w:eastAsia="en-AU"/>
        </w:rPr>
        <w:t>(Gallen et al., 2013)</w:t>
      </w:r>
      <w:r w:rsidR="00C91BF5">
        <w:rPr>
          <w:lang w:val="en-AU" w:eastAsia="en-AU"/>
        </w:rPr>
        <w:fldChar w:fldCharType="end"/>
      </w:r>
      <w:r w:rsidR="00BC7879">
        <w:rPr>
          <w:lang w:val="en-AU" w:eastAsia="en-AU"/>
        </w:rPr>
        <w:t xml:space="preserve">. In three catchments (Mulgrave, Tully and Herbert Rivers, all in the Wet Tropics), total loads of </w:t>
      </w:r>
      <w:r w:rsidR="00D773DD">
        <w:rPr>
          <w:lang w:val="en-AU" w:eastAsia="en-AU"/>
        </w:rPr>
        <w:t>other</w:t>
      </w:r>
      <w:r w:rsidR="00482AFF">
        <w:rPr>
          <w:lang w:val="en-AU" w:eastAsia="en-AU"/>
        </w:rPr>
        <w:t xml:space="preserve"> pesticides </w:t>
      </w:r>
      <w:r w:rsidR="00BC7879">
        <w:rPr>
          <w:lang w:val="en-AU" w:eastAsia="en-AU"/>
        </w:rPr>
        <w:t>were higher than</w:t>
      </w:r>
      <w:r w:rsidR="00D773DD">
        <w:rPr>
          <w:lang w:val="en-AU" w:eastAsia="en-AU"/>
        </w:rPr>
        <w:t xml:space="preserve"> the total for</w:t>
      </w:r>
      <w:r w:rsidR="00BC7879">
        <w:rPr>
          <w:lang w:val="en-AU" w:eastAsia="en-AU"/>
        </w:rPr>
        <w:t xml:space="preserve"> PSII herbicides. Metolachlor had the highest total load of </w:t>
      </w:r>
      <w:r w:rsidR="00482AFF">
        <w:rPr>
          <w:lang w:val="en-AU" w:eastAsia="en-AU"/>
        </w:rPr>
        <w:t>non-PSII inhibiting pesticides</w:t>
      </w:r>
      <w:r w:rsidR="00BC7879">
        <w:rPr>
          <w:lang w:val="en-AU" w:eastAsia="en-AU"/>
        </w:rPr>
        <w:t xml:space="preserve">, with the Fitzroy River the largest contributor, followed by 2,4-D which had increased substantially from the 2014-15 maximum </w:t>
      </w:r>
      <w:r w:rsidR="00C91BF5">
        <w:rPr>
          <w:lang w:val="en-AU" w:eastAsia="en-AU"/>
        </w:rPr>
        <w:fldChar w:fldCharType="begin"/>
      </w:r>
      <w:r w:rsidR="009D4492">
        <w:rPr>
          <w:lang w:val="en-AU" w:eastAsia="en-AU"/>
        </w:rPr>
        <w:instrText xml:space="preserve"> ADDIN EN.CITE &lt;EndNote&gt;&lt;Cite&gt;&lt;Author&gt;Wallace&lt;/Author&gt;&lt;Year&gt;2016&lt;/Year&gt;&lt;RecNum&gt;92&lt;/RecNum&gt;&lt;DisplayText&gt;(Wallace et al., 2016)&lt;/DisplayText&gt;&lt;record&gt;&lt;rec-number&gt;92&lt;/rec-number&gt;&lt;foreign-keys&gt;&lt;key app="EN" db-id="vvtrt2pt4xpx5teta99vvtwg50vzve2aexae" timestamp="1493191049"&gt;92&lt;/key&gt;&lt;/foreign-keys&gt;&lt;ref-type name="Report"&gt;27&lt;/ref-type&gt;&lt;contributors&gt;&lt;authors&gt;&lt;author&gt;Wallace, R.&lt;/author&gt;&lt;author&gt;Huggins, R.&lt;/author&gt;&lt;author&gt;King, O.&lt;/author&gt;&lt;author&gt;Gardiner, R.&lt;/author&gt;&lt;author&gt;Thomson, B.&lt;/author&gt;&lt;author&gt;Orr, D.N.&lt;/author&gt;&lt;author&gt;Ferguson, B.&lt;/author&gt;&lt;author&gt;Taylor, C.&lt;/author&gt;&lt;author&gt;Smith, R. A.&lt;/author&gt;&lt;author&gt;Warne, M. St. J.&lt;/author&gt;&lt;author&gt;Turner, R. D. R.&lt;/author&gt;&lt;author&gt;Mann, R. M.&lt;/author&gt;&lt;/authors&gt;&lt;/contributors&gt;&lt;titles&gt;&lt;title&gt;Total suspended solids, nutrient and pesticide loads (2014–2015) for rivers that discharge to the Great Barrier Reef – Great Barrier Reef Catchment Loads Monitoring Program. &lt;/title&gt;&lt;/titles&gt;&lt;dates&gt;&lt;year&gt;2016&lt;/year&gt;&lt;/dates&gt;&lt;publisher&gt;Department of Science, Information Technology and Innovation. Brisbane&lt;/publisher&gt;&lt;urls&gt;&lt;/urls&gt;&lt;/record&gt;&lt;/Cite&gt;&lt;/EndNote&gt;</w:instrText>
      </w:r>
      <w:r w:rsidR="00C91BF5">
        <w:rPr>
          <w:lang w:val="en-AU" w:eastAsia="en-AU"/>
        </w:rPr>
        <w:fldChar w:fldCharType="separate"/>
      </w:r>
      <w:r w:rsidR="009D4492">
        <w:rPr>
          <w:noProof/>
          <w:lang w:val="en-AU" w:eastAsia="en-AU"/>
        </w:rPr>
        <w:t>(Wallace et al., 2016)</w:t>
      </w:r>
      <w:r w:rsidR="00C91BF5">
        <w:rPr>
          <w:lang w:val="en-AU" w:eastAsia="en-AU"/>
        </w:rPr>
        <w:fldChar w:fldCharType="end"/>
      </w:r>
      <w:r w:rsidR="00BC7879">
        <w:rPr>
          <w:lang w:val="en-AU" w:eastAsia="en-AU"/>
        </w:rPr>
        <w:t>.</w:t>
      </w:r>
    </w:p>
    <w:p w14:paraId="675EAB70" w14:textId="77777777" w:rsidR="00F526F2" w:rsidRDefault="00F526F2" w:rsidP="006D5CD5">
      <w:pPr>
        <w:spacing w:line="276" w:lineRule="auto"/>
        <w:rPr>
          <w:lang w:val="en-AU" w:eastAsia="en-AU"/>
        </w:rPr>
      </w:pPr>
    </w:p>
    <w:p w14:paraId="15721026" w14:textId="638D343C" w:rsidR="006D5CD5" w:rsidRDefault="00F0451C" w:rsidP="006D5CD5">
      <w:pPr>
        <w:spacing w:line="276" w:lineRule="auto"/>
        <w:rPr>
          <w:lang w:val="en-AU" w:eastAsia="en-AU"/>
        </w:rPr>
      </w:pPr>
      <w:r>
        <w:rPr>
          <w:lang w:val="en-AU" w:eastAsia="en-AU"/>
        </w:rPr>
        <w:t>2,4-D,</w:t>
      </w:r>
      <w:r w:rsidR="006D5CD5">
        <w:rPr>
          <w:lang w:val="en-AU" w:eastAsia="en-AU"/>
        </w:rPr>
        <w:t xml:space="preserve"> imazapic, </w:t>
      </w:r>
      <w:r w:rsidR="00B04F94">
        <w:rPr>
          <w:lang w:val="en-AU" w:eastAsia="en-AU"/>
        </w:rPr>
        <w:t>i</w:t>
      </w:r>
      <w:r w:rsidR="00B04F94" w:rsidRPr="00B04F94">
        <w:rPr>
          <w:lang w:val="en-AU" w:eastAsia="en-AU"/>
        </w:rPr>
        <w:t>midacloprid</w:t>
      </w:r>
      <w:r w:rsidR="00B04F94">
        <w:rPr>
          <w:lang w:val="en-AU" w:eastAsia="en-AU"/>
        </w:rPr>
        <w:t>,</w:t>
      </w:r>
      <w:r w:rsidR="00B04F94" w:rsidRPr="00B04F94">
        <w:rPr>
          <w:lang w:val="en-AU" w:eastAsia="en-AU"/>
        </w:rPr>
        <w:t xml:space="preserve"> </w:t>
      </w:r>
      <w:r w:rsidR="006D5CD5">
        <w:rPr>
          <w:lang w:val="en-AU" w:eastAsia="en-AU"/>
        </w:rPr>
        <w:t xml:space="preserve">metolachlor, </w:t>
      </w:r>
      <w:r w:rsidR="00075C08">
        <w:rPr>
          <w:lang w:val="en-AU" w:eastAsia="en-AU"/>
        </w:rPr>
        <w:t>MCPA</w:t>
      </w:r>
      <w:r w:rsidR="006D5CD5">
        <w:rPr>
          <w:lang w:val="en-AU" w:eastAsia="en-AU"/>
        </w:rPr>
        <w:t xml:space="preserve"> and metsulfuron-methyl were </w:t>
      </w:r>
      <w:r w:rsidR="00F526F2">
        <w:rPr>
          <w:lang w:val="en-AU" w:eastAsia="en-AU"/>
        </w:rPr>
        <w:t xml:space="preserve">routinely </w:t>
      </w:r>
      <w:r w:rsidR="006D5CD5">
        <w:rPr>
          <w:lang w:val="en-AU" w:eastAsia="en-AU"/>
        </w:rPr>
        <w:t>detected in passive samplers</w:t>
      </w:r>
      <w:r w:rsidR="00D773DD">
        <w:rPr>
          <w:lang w:val="en-AU" w:eastAsia="en-AU"/>
        </w:rPr>
        <w:t xml:space="preserve"> in the current</w:t>
      </w:r>
      <w:r w:rsidR="006D5CD5">
        <w:rPr>
          <w:lang w:val="en-AU" w:eastAsia="en-AU"/>
        </w:rPr>
        <w:t xml:space="preserve"> monitoring year. </w:t>
      </w:r>
      <w:r w:rsidR="00B04F94">
        <w:rPr>
          <w:lang w:val="en-AU" w:eastAsia="en-AU"/>
        </w:rPr>
        <w:t>Consistent with the previous year when r</w:t>
      </w:r>
      <w:r w:rsidR="006D5CD5">
        <w:rPr>
          <w:lang w:val="en-AU" w:eastAsia="en-AU"/>
        </w:rPr>
        <w:t xml:space="preserve">outine analysis of these </w:t>
      </w:r>
      <w:r w:rsidR="00F526F2">
        <w:rPr>
          <w:lang w:val="en-AU" w:eastAsia="en-AU"/>
        </w:rPr>
        <w:t>other pesticides</w:t>
      </w:r>
      <w:r w:rsidR="006D5CD5">
        <w:rPr>
          <w:lang w:val="en-AU" w:eastAsia="en-AU"/>
        </w:rPr>
        <w:t xml:space="preserve"> in both passive and grab samples was initiated, 2,4-D, MCPA (both auxin growth inhibitors) and metolachlor (a long chain fatty acid inhibitor) </w:t>
      </w:r>
      <w:r w:rsidR="00B04F94">
        <w:rPr>
          <w:lang w:val="en-AU" w:eastAsia="en-AU"/>
        </w:rPr>
        <w:t xml:space="preserve">were </w:t>
      </w:r>
      <w:r w:rsidR="006D5CD5">
        <w:rPr>
          <w:lang w:val="en-AU" w:eastAsia="en-AU"/>
        </w:rPr>
        <w:t xml:space="preserve">detected in the ED </w:t>
      </w:r>
      <w:r w:rsidR="00B04F94">
        <w:rPr>
          <w:lang w:val="en-AU" w:eastAsia="en-AU"/>
        </w:rPr>
        <w:t xml:space="preserve">(polar) </w:t>
      </w:r>
      <w:r w:rsidR="006D5CD5">
        <w:rPr>
          <w:lang w:val="en-AU" w:eastAsia="en-AU"/>
        </w:rPr>
        <w:t>passive samplers</w:t>
      </w:r>
      <w:r w:rsidR="00075C08">
        <w:rPr>
          <w:lang w:val="en-AU" w:eastAsia="en-AU"/>
        </w:rPr>
        <w:t xml:space="preserve"> at </w:t>
      </w:r>
      <w:r w:rsidR="00BC0960">
        <w:rPr>
          <w:lang w:val="en-AU" w:eastAsia="en-AU"/>
        </w:rPr>
        <w:t>m</w:t>
      </w:r>
      <w:r w:rsidR="00703101">
        <w:rPr>
          <w:lang w:val="en-AU" w:eastAsia="en-AU"/>
        </w:rPr>
        <w:t>ost</w:t>
      </w:r>
      <w:r w:rsidR="00075C08">
        <w:rPr>
          <w:lang w:val="en-AU" w:eastAsia="en-AU"/>
        </w:rPr>
        <w:t xml:space="preserve"> sites</w:t>
      </w:r>
      <w:r w:rsidR="006D5CD5">
        <w:rPr>
          <w:lang w:val="en-AU" w:eastAsia="en-AU"/>
        </w:rPr>
        <w:t>.</w:t>
      </w:r>
      <w:r w:rsidR="00075C08">
        <w:rPr>
          <w:lang w:val="en-AU" w:eastAsia="en-AU"/>
        </w:rPr>
        <w:t xml:space="preserve"> In addition, in 2015-16, imidacloprid was also detected at all monitoring sites except for North Keppel Island in the Fitzroy region.</w:t>
      </w:r>
      <w:r>
        <w:rPr>
          <w:lang w:val="en-AU" w:eastAsia="en-AU"/>
        </w:rPr>
        <w:t xml:space="preserve"> Compared to PSII herbicides, however, detected concentrations of </w:t>
      </w:r>
      <w:r w:rsidR="00F526F2">
        <w:rPr>
          <w:lang w:val="en-AU" w:eastAsia="en-AU"/>
        </w:rPr>
        <w:t>other</w:t>
      </w:r>
      <w:r>
        <w:rPr>
          <w:lang w:val="en-AU" w:eastAsia="en-AU"/>
        </w:rPr>
        <w:t xml:space="preserve"> pesticides at the </w:t>
      </w:r>
      <w:r w:rsidR="00E259EC">
        <w:rPr>
          <w:lang w:val="en-AU" w:eastAsia="en-AU"/>
        </w:rPr>
        <w:t xml:space="preserve">monitoring sites were </w:t>
      </w:r>
      <w:r w:rsidR="00F526F2">
        <w:rPr>
          <w:lang w:val="en-AU" w:eastAsia="en-AU"/>
        </w:rPr>
        <w:t xml:space="preserve">consistently </w:t>
      </w:r>
      <w:r w:rsidR="00E259EC">
        <w:rPr>
          <w:lang w:val="en-AU" w:eastAsia="en-AU"/>
        </w:rPr>
        <w:t>very low</w:t>
      </w:r>
      <w:r w:rsidR="00F526F2">
        <w:rPr>
          <w:lang w:val="en-AU" w:eastAsia="en-AU"/>
        </w:rPr>
        <w:t xml:space="preserve"> (</w:t>
      </w:r>
      <w:r w:rsidR="00D773DD">
        <w:rPr>
          <w:lang w:val="en-AU" w:eastAsia="en-AU"/>
        </w:rPr>
        <w:t xml:space="preserve">except at Round Top Island, other pesticide concentrations at all sites were </w:t>
      </w:r>
      <w:r w:rsidR="00F526F2">
        <w:rPr>
          <w:lang w:val="en-AU" w:eastAsia="en-AU"/>
        </w:rPr>
        <w:t>&lt;1 ng/L)</w:t>
      </w:r>
      <w:r w:rsidR="00E259EC">
        <w:rPr>
          <w:lang w:val="en-AU" w:eastAsia="en-AU"/>
        </w:rPr>
        <w:t>.</w:t>
      </w:r>
    </w:p>
    <w:p w14:paraId="6C8AD550" w14:textId="77777777" w:rsidR="00D773DD" w:rsidRDefault="00D773DD" w:rsidP="006D5CD5">
      <w:pPr>
        <w:spacing w:line="276" w:lineRule="auto"/>
        <w:rPr>
          <w:lang w:val="en-AU" w:eastAsia="en-AU"/>
        </w:rPr>
      </w:pPr>
    </w:p>
    <w:p w14:paraId="15721028" w14:textId="0FE1F9E3" w:rsidR="006D5CD5" w:rsidRDefault="00CC6412" w:rsidP="006D5CD5">
      <w:pPr>
        <w:spacing w:line="276" w:lineRule="auto"/>
        <w:rPr>
          <w:lang w:val="en-AU" w:eastAsia="en-AU"/>
        </w:rPr>
      </w:pPr>
      <w:r>
        <w:rPr>
          <w:lang w:val="en-AU" w:eastAsia="en-AU"/>
        </w:rPr>
        <w:t xml:space="preserve">Although </w:t>
      </w:r>
      <w:r w:rsidR="00F526F2">
        <w:rPr>
          <w:lang w:val="en-AU" w:eastAsia="en-AU"/>
        </w:rPr>
        <w:t>typically monitored at low concentrations</w:t>
      </w:r>
      <w:r>
        <w:rPr>
          <w:lang w:val="en-AU" w:eastAsia="en-AU"/>
        </w:rPr>
        <w:t>, t</w:t>
      </w:r>
      <w:r w:rsidR="006D5CD5">
        <w:rPr>
          <w:lang w:val="en-AU" w:eastAsia="en-AU"/>
        </w:rPr>
        <w:t xml:space="preserve">he frequency of detection of these </w:t>
      </w:r>
      <w:r w:rsidR="00F526F2">
        <w:rPr>
          <w:lang w:val="en-AU" w:eastAsia="en-AU"/>
        </w:rPr>
        <w:t>other</w:t>
      </w:r>
      <w:r w:rsidR="006D5CD5">
        <w:rPr>
          <w:lang w:val="en-AU" w:eastAsia="en-AU"/>
        </w:rPr>
        <w:t xml:space="preserve"> </w:t>
      </w:r>
      <w:r w:rsidR="00F526F2">
        <w:rPr>
          <w:lang w:val="en-AU" w:eastAsia="en-AU"/>
        </w:rPr>
        <w:t xml:space="preserve">pesticides </w:t>
      </w:r>
      <w:r w:rsidR="006D5CD5">
        <w:rPr>
          <w:lang w:val="en-AU" w:eastAsia="en-AU"/>
        </w:rPr>
        <w:t xml:space="preserve">combined with </w:t>
      </w:r>
      <w:r w:rsidR="00F526F2">
        <w:rPr>
          <w:lang w:val="en-AU" w:eastAsia="en-AU"/>
        </w:rPr>
        <w:t xml:space="preserve">end-of-catchment </w:t>
      </w:r>
      <w:r w:rsidR="006D5CD5">
        <w:rPr>
          <w:lang w:val="en-AU" w:eastAsia="en-AU"/>
        </w:rPr>
        <w:t xml:space="preserve">loads that are (in </w:t>
      </w:r>
      <w:r w:rsidR="00BC7879">
        <w:rPr>
          <w:lang w:val="en-AU" w:eastAsia="en-AU"/>
        </w:rPr>
        <w:t>many cases</w:t>
      </w:r>
      <w:r w:rsidR="006D5CD5">
        <w:rPr>
          <w:lang w:val="en-AU" w:eastAsia="en-AU"/>
        </w:rPr>
        <w:t>) comparable to those of the priority PSII</w:t>
      </w:r>
      <w:r w:rsidR="00F526F2">
        <w:rPr>
          <w:lang w:val="en-AU" w:eastAsia="en-AU"/>
        </w:rPr>
        <w:t xml:space="preserve"> herbicide</w:t>
      </w:r>
      <w:r w:rsidR="006D5CD5">
        <w:rPr>
          <w:lang w:val="en-AU" w:eastAsia="en-AU"/>
        </w:rPr>
        <w:t xml:space="preserve">’s </w:t>
      </w:r>
      <w:r>
        <w:rPr>
          <w:lang w:val="en-AU" w:eastAsia="en-AU"/>
        </w:rPr>
        <w:t>and increasing</w:t>
      </w:r>
      <w:r w:rsidR="00F526F2">
        <w:rPr>
          <w:lang w:val="en-AU" w:eastAsia="en-AU"/>
        </w:rPr>
        <w:t>,</w:t>
      </w:r>
      <w:r>
        <w:rPr>
          <w:lang w:val="en-AU" w:eastAsia="en-AU"/>
        </w:rPr>
        <w:t xml:space="preserve"> </w:t>
      </w:r>
      <w:r w:rsidR="006D5CD5">
        <w:rPr>
          <w:lang w:val="en-AU" w:eastAsia="en-AU"/>
        </w:rPr>
        <w:t>reinforces the importance of continued monitoring of these chemicals.</w:t>
      </w:r>
      <w:r w:rsidR="006D5CD5" w:rsidRPr="009F6ECE">
        <w:rPr>
          <w:lang w:val="en-AU" w:eastAsia="en-AU"/>
        </w:rPr>
        <w:t xml:space="preserve"> </w:t>
      </w:r>
      <w:r w:rsidR="006D5CD5">
        <w:rPr>
          <w:lang w:val="en-AU" w:eastAsia="en-AU"/>
        </w:rPr>
        <w:t xml:space="preserve">It is evident that rivers are delivering diverse mixtures of </w:t>
      </w:r>
      <w:r w:rsidR="00D773DD">
        <w:rPr>
          <w:lang w:val="en-AU" w:eastAsia="en-AU"/>
        </w:rPr>
        <w:t>pesticides</w:t>
      </w:r>
      <w:r w:rsidR="006D5CD5">
        <w:rPr>
          <w:lang w:val="en-AU" w:eastAsia="en-AU"/>
        </w:rPr>
        <w:t xml:space="preserve"> with multiple modes of action into the marine environment, </w:t>
      </w:r>
      <w:r w:rsidR="00D773DD">
        <w:rPr>
          <w:lang w:val="en-AU" w:eastAsia="en-AU"/>
        </w:rPr>
        <w:t>and this</w:t>
      </w:r>
      <w:r w:rsidR="006D5CD5">
        <w:rPr>
          <w:lang w:val="en-AU" w:eastAsia="en-AU"/>
        </w:rPr>
        <w:t xml:space="preserve"> present</w:t>
      </w:r>
      <w:r w:rsidR="00E35EF8">
        <w:rPr>
          <w:lang w:val="en-AU" w:eastAsia="en-AU"/>
        </w:rPr>
        <w:t>s</w:t>
      </w:r>
      <w:r w:rsidR="006D5CD5">
        <w:rPr>
          <w:lang w:val="en-AU" w:eastAsia="en-AU"/>
        </w:rPr>
        <w:t xml:space="preserve"> a combined toxicity risk to aquatic life.</w:t>
      </w:r>
      <w:r w:rsidR="00DB4330" w:rsidRPr="00DB4330">
        <w:t xml:space="preserve"> </w:t>
      </w:r>
      <w:r w:rsidR="004174AC">
        <w:rPr>
          <w:lang w:val="en-AU" w:eastAsia="en-AU"/>
        </w:rPr>
        <w:t>At present</w:t>
      </w:r>
      <w:r w:rsidR="00DB4330">
        <w:rPr>
          <w:lang w:val="en-AU" w:eastAsia="en-AU"/>
        </w:rPr>
        <w:t>, t</w:t>
      </w:r>
      <w:r w:rsidR="00DB4330" w:rsidRPr="00DB4330">
        <w:rPr>
          <w:lang w:val="en-AU" w:eastAsia="en-AU"/>
        </w:rPr>
        <w:t xml:space="preserve">here </w:t>
      </w:r>
      <w:r w:rsidR="00D773DD">
        <w:rPr>
          <w:lang w:val="en-AU" w:eastAsia="en-AU"/>
        </w:rPr>
        <w:t>are</w:t>
      </w:r>
      <w:r w:rsidR="00DB4330" w:rsidRPr="00DB4330">
        <w:rPr>
          <w:lang w:val="en-AU" w:eastAsia="en-AU"/>
        </w:rPr>
        <w:t xml:space="preserve"> </w:t>
      </w:r>
      <w:r w:rsidR="004174AC">
        <w:rPr>
          <w:lang w:val="en-AU" w:eastAsia="en-AU"/>
        </w:rPr>
        <w:t>limited</w:t>
      </w:r>
      <w:r w:rsidR="00DB4330" w:rsidRPr="00DB4330">
        <w:rPr>
          <w:lang w:val="en-AU" w:eastAsia="en-AU"/>
        </w:rPr>
        <w:t xml:space="preserve"> passive sampler calibration data available for many of the </w:t>
      </w:r>
      <w:r w:rsidR="00E35EF8">
        <w:rPr>
          <w:lang w:val="en-AU" w:eastAsia="en-AU"/>
        </w:rPr>
        <w:t>other pesticides</w:t>
      </w:r>
      <w:r w:rsidR="00DB4330" w:rsidRPr="00DB4330">
        <w:rPr>
          <w:lang w:val="en-AU" w:eastAsia="en-AU"/>
        </w:rPr>
        <w:t xml:space="preserve"> now in use in Reef catchments. </w:t>
      </w:r>
      <w:r w:rsidR="004174AC">
        <w:rPr>
          <w:lang w:val="en-AU" w:eastAsia="en-AU"/>
        </w:rPr>
        <w:t xml:space="preserve">Some </w:t>
      </w:r>
      <w:r w:rsidR="00E35EF8">
        <w:rPr>
          <w:lang w:val="en-AU" w:eastAsia="en-AU"/>
        </w:rPr>
        <w:t>pesticides</w:t>
      </w:r>
      <w:r w:rsidR="004174AC">
        <w:rPr>
          <w:lang w:val="en-AU" w:eastAsia="en-AU"/>
        </w:rPr>
        <w:t xml:space="preserve"> </w:t>
      </w:r>
      <w:r w:rsidR="004174AC" w:rsidRPr="00DB4330">
        <w:rPr>
          <w:lang w:val="en-AU" w:eastAsia="en-AU"/>
        </w:rPr>
        <w:t xml:space="preserve">(e.g. </w:t>
      </w:r>
      <w:r w:rsidR="00E35EF8">
        <w:rPr>
          <w:lang w:val="en-AU" w:eastAsia="en-AU"/>
        </w:rPr>
        <w:t xml:space="preserve">the herbicide </w:t>
      </w:r>
      <w:r w:rsidR="004174AC" w:rsidRPr="00DB4330">
        <w:rPr>
          <w:lang w:val="en-AU" w:eastAsia="en-AU"/>
        </w:rPr>
        <w:t>asulam) are highly water soluble and unlikely to accumulate in passive samplers</w:t>
      </w:r>
      <w:r w:rsidR="004174AC">
        <w:rPr>
          <w:lang w:val="en-AU" w:eastAsia="en-AU"/>
        </w:rPr>
        <w:t>, and therefore a</w:t>
      </w:r>
      <w:r w:rsidR="00DB4330" w:rsidRPr="00DB4330">
        <w:rPr>
          <w:lang w:val="en-AU" w:eastAsia="en-AU"/>
        </w:rPr>
        <w:t xml:space="preserve"> combination of both grab and passive sampling will likely be necessary to increase the probability of detecting </w:t>
      </w:r>
      <w:r w:rsidR="004174AC">
        <w:rPr>
          <w:lang w:val="en-AU" w:eastAsia="en-AU"/>
        </w:rPr>
        <w:t>them in the marine environment</w:t>
      </w:r>
      <w:r w:rsidR="00DB4330" w:rsidRPr="00DB4330">
        <w:rPr>
          <w:lang w:val="en-AU" w:eastAsia="en-AU"/>
        </w:rPr>
        <w:t>. Calibration studies in the field are labour intensive, however they may need to be considered in the future to better understand the uptake of these chemicals into passive samplers, and more accurately estimate water concentrations.</w:t>
      </w:r>
    </w:p>
    <w:p w14:paraId="15721029" w14:textId="77777777" w:rsidR="006D5CD5" w:rsidRDefault="006D5CD5" w:rsidP="00015606">
      <w:pPr>
        <w:tabs>
          <w:tab w:val="left" w:pos="10065"/>
        </w:tabs>
        <w:spacing w:line="276" w:lineRule="auto"/>
      </w:pPr>
    </w:p>
    <w:p w14:paraId="1572102A" w14:textId="619D2A3C" w:rsidR="0059608E" w:rsidRDefault="00CC6412" w:rsidP="00015606">
      <w:pPr>
        <w:spacing w:line="276" w:lineRule="auto"/>
      </w:pPr>
      <w:r>
        <w:rPr>
          <w:b/>
          <w:lang w:val="en-AU"/>
        </w:rPr>
        <w:t xml:space="preserve">Pesticide </w:t>
      </w:r>
      <w:r w:rsidR="00D773DD">
        <w:rPr>
          <w:b/>
          <w:lang w:val="en-AU"/>
        </w:rPr>
        <w:t xml:space="preserve">metric for </w:t>
      </w:r>
      <w:r>
        <w:rPr>
          <w:b/>
          <w:lang w:val="en-AU"/>
        </w:rPr>
        <w:t>risk categorisation</w:t>
      </w:r>
      <w:r w:rsidR="00597F4F" w:rsidRPr="00597F4F">
        <w:rPr>
          <w:b/>
          <w:lang w:val="en-AU"/>
        </w:rPr>
        <w:t>.</w:t>
      </w:r>
      <w:r w:rsidR="00597F4F">
        <w:rPr>
          <w:lang w:val="en-AU"/>
        </w:rPr>
        <w:t xml:space="preserve"> </w:t>
      </w:r>
      <w:r w:rsidR="003A5429">
        <w:rPr>
          <w:rFonts w:cs="Arial"/>
          <w:lang w:val="en-AU"/>
        </w:rPr>
        <w:t xml:space="preserve">The PSII-HEq index was identified as a suitable indicator </w:t>
      </w:r>
      <w:r w:rsidR="003A5429" w:rsidRPr="001771B6">
        <w:rPr>
          <w:rFonts w:cs="Arial"/>
          <w:lang w:val="en-AU"/>
        </w:rPr>
        <w:t>to detect changes</w:t>
      </w:r>
      <w:r w:rsidR="003A5429">
        <w:rPr>
          <w:rFonts w:cs="Arial"/>
          <w:lang w:val="en-AU"/>
        </w:rPr>
        <w:t xml:space="preserve"> in inshore pesticide levels over time based on a </w:t>
      </w:r>
      <w:r w:rsidR="00D773DD">
        <w:rPr>
          <w:rFonts w:cs="Arial"/>
          <w:lang w:val="en-AU"/>
        </w:rPr>
        <w:t>review by</w:t>
      </w:r>
      <w:r w:rsidR="003A5429">
        <w:rPr>
          <w:rFonts w:cs="Arial"/>
          <w:lang w:val="en-AU"/>
        </w:rPr>
        <w:t xml:space="preserve"> </w:t>
      </w:r>
      <w:r w:rsidR="003A5429">
        <w:rPr>
          <w:rFonts w:cs="Arial"/>
          <w:lang w:val="en-AU"/>
        </w:rPr>
        <w:fldChar w:fldCharType="begin"/>
      </w:r>
      <w:r w:rsidR="00D773DD">
        <w:rPr>
          <w:rFonts w:cs="Arial"/>
          <w:lang w:val="en-AU"/>
        </w:rPr>
        <w:instrText xml:space="preserve"> ADDIN EN.CITE &lt;EndNote&gt;&lt;Cite AuthorYear="1"&gt;&lt;Author&gt;Kuhnert&lt;/Author&gt;&lt;Year&gt;2015&lt;/Year&gt;&lt;RecNum&gt;20&lt;/RecNum&gt;&lt;DisplayText&gt;Kuhnert et al. (2015)&lt;/DisplayText&gt;&lt;record&gt;&lt;rec-number&gt;20&lt;/rec-number&gt;&lt;foreign-keys&gt;&lt;key app="EN" db-id="vvtrt2pt4xpx5teta99vvtwg50vzve2aexae" timestamp="1493157348"&gt;20&lt;/key&gt;&lt;/foreign-keys&gt;&lt;ref-type name="Report"&gt;27&lt;/ref-type&gt;&lt;contributors&gt;&lt;authors&gt;&lt;author&gt;Kuhnert, P.M.&lt;/author&gt;&lt;author&gt;Liu, Y.&lt;/author&gt;&lt;author&gt;Henderson, B.&lt;/author&gt;&lt;author&gt;Dambacher, J.&lt;/author&gt;&lt;author&gt;Lawrence, E.&lt;/author&gt;&lt;author&gt;Kroon, F.&lt;/author&gt;&lt;/authors&gt;&lt;/contributors&gt;&lt;titles&gt;&lt;title&gt;Review of the Marine Monitoring Program (MMP), Final Report for the Great Barrier Reef Marine Park Authority (GBRMPA)&lt;/title&gt;&lt;/titles&gt;&lt;dates&gt;&lt;year&gt;2015&lt;/year&gt;&lt;/dates&gt;&lt;pub-location&gt;CSIRO, Australia&lt;/pub-location&gt;&lt;urls&gt;&lt;/urls&gt;&lt;/record&gt;&lt;/Cite&gt;&lt;/EndNote&gt;</w:instrText>
      </w:r>
      <w:r w:rsidR="003A5429">
        <w:rPr>
          <w:rFonts w:cs="Arial"/>
          <w:lang w:val="en-AU"/>
        </w:rPr>
        <w:fldChar w:fldCharType="separate"/>
      </w:r>
      <w:r w:rsidR="00D773DD">
        <w:rPr>
          <w:rFonts w:cs="Arial"/>
          <w:noProof/>
          <w:lang w:val="en-AU"/>
        </w:rPr>
        <w:t>Kuhnert et al. (2015)</w:t>
      </w:r>
      <w:r w:rsidR="003A5429">
        <w:rPr>
          <w:rFonts w:cs="Arial"/>
          <w:lang w:val="en-AU"/>
        </w:rPr>
        <w:fldChar w:fldCharType="end"/>
      </w:r>
      <w:r w:rsidR="003A5429">
        <w:rPr>
          <w:rFonts w:cs="Arial"/>
          <w:lang w:val="en-AU"/>
        </w:rPr>
        <w:t>.</w:t>
      </w:r>
      <w:r w:rsidR="00D773DD">
        <w:rPr>
          <w:rFonts w:cs="Arial"/>
          <w:lang w:val="en-AU"/>
        </w:rPr>
        <w:t xml:space="preserve"> </w:t>
      </w:r>
      <w:r w:rsidR="00056CED">
        <w:rPr>
          <w:lang w:val="en-AU"/>
        </w:rPr>
        <w:t xml:space="preserve">In </w:t>
      </w:r>
      <w:r w:rsidR="00532287">
        <w:rPr>
          <w:lang w:val="en-AU"/>
        </w:rPr>
        <w:t xml:space="preserve">both </w:t>
      </w:r>
      <w:r w:rsidR="00056CED">
        <w:rPr>
          <w:lang w:val="en-AU"/>
        </w:rPr>
        <w:t>the current year and historically, monitoring</w:t>
      </w:r>
      <w:r w:rsidR="0059608E">
        <w:t xml:space="preserve"> sites located in the Mackay Whitsunday region have encountered the </w:t>
      </w:r>
      <w:r w:rsidR="00532287">
        <w:t>highest</w:t>
      </w:r>
      <w:r w:rsidR="0059608E">
        <w:t xml:space="preserve"> risk of exposure to PSII herbicides, with </w:t>
      </w:r>
      <w:r w:rsidR="00532287">
        <w:t xml:space="preserve">PSII herbicide </w:t>
      </w:r>
      <w:r w:rsidR="0059608E">
        <w:t xml:space="preserve">concentrations that have been shown to inhibit photosynthesis in some species of coral and seagrass (Category 2 and 3 on the PSII Herbicide Index) </w:t>
      </w:r>
      <w:r w:rsidR="00C91BF5">
        <w:fldChar w:fldCharType="begin"/>
      </w:r>
      <w:r w:rsidR="009D4492">
        <w:instrText xml:space="preserve"> ADDIN EN.CITE &lt;EndNote&gt;&lt;Cite&gt;&lt;Author&gt;Flores&lt;/Author&gt;&lt;Year&gt;2013&lt;/Year&gt;&lt;RecNum&gt;54&lt;/RecNum&gt;&lt;DisplayText&gt;(Flores et al., 2013)&lt;/DisplayText&gt;&lt;record&gt;&lt;rec-number&gt;54&lt;/rec-number&gt;&lt;foreign-keys&gt;&lt;key app="EN" db-id="vvtrt2pt4xpx5teta99vvtwg50vzve2aexae" timestamp="1493157392"&gt;54&lt;/key&gt;&lt;/foreign-keys&gt;&lt;ref-type name="Electronic Article"&gt;43&lt;/ref-type&gt;&lt;contributors&gt;&lt;authors&gt;&lt;author&gt;Flores, F.&lt;/author&gt;&lt;author&gt;Collier, C.J.&lt;/author&gt;&lt;author&gt;Mercurio, P.&lt;/author&gt;&lt;author&gt;Negri, A.P. &lt;/author&gt;&lt;/authors&gt;&lt;/contributors&gt;&lt;titles&gt;&lt;title&gt;Phytotoxicity of Four Photosystem II Herbicides to Tropical Seagrasses&lt;/title&gt;&lt;/titles&gt;&lt;volume&gt;8&lt;/volume&gt;&lt;number&gt;9&lt;/number&gt;&lt;dates&gt;&lt;year&gt;2013&lt;/year&gt;&lt;/dates&gt;&lt;publisher&gt;PLoS ONE&lt;/publisher&gt;&lt;urls&gt;&lt;/urls&gt;&lt;electronic-resource-num&gt;10.1371/journal.pone.0075798&lt;/electronic-resource-num&gt;&lt;/record&gt;&lt;/Cite&gt;&lt;/EndNote&gt;</w:instrText>
      </w:r>
      <w:r w:rsidR="00C91BF5">
        <w:fldChar w:fldCharType="separate"/>
      </w:r>
      <w:r w:rsidR="009D4492">
        <w:rPr>
          <w:noProof/>
        </w:rPr>
        <w:t>(Flores et al., 2013)</w:t>
      </w:r>
      <w:r w:rsidR="00C91BF5">
        <w:fldChar w:fldCharType="end"/>
      </w:r>
      <w:r w:rsidR="0059608E">
        <w:t>.</w:t>
      </w:r>
      <w:r w:rsidR="0059608E" w:rsidRPr="00D562B5">
        <w:t xml:space="preserve"> </w:t>
      </w:r>
      <w:r w:rsidR="005A19C8">
        <w:t>Round Top Island</w:t>
      </w:r>
      <w:r w:rsidR="00114D34">
        <w:t>,</w:t>
      </w:r>
      <w:r w:rsidR="005B004A">
        <w:t xml:space="preserve"> which had the highest recorded </w:t>
      </w:r>
      <w:r w:rsidR="004174AC">
        <w:t>pesticide levels</w:t>
      </w:r>
      <w:r w:rsidR="005B004A">
        <w:t xml:space="preserve"> </w:t>
      </w:r>
      <w:r w:rsidR="004174AC">
        <w:t xml:space="preserve">(both on a concentration and a toxic equivalence basis) </w:t>
      </w:r>
      <w:r w:rsidR="005B004A">
        <w:t>for currently monitored sites to date</w:t>
      </w:r>
      <w:r w:rsidR="00114D34">
        <w:t>,</w:t>
      </w:r>
      <w:r w:rsidR="005B004A">
        <w:t xml:space="preserve"> </w:t>
      </w:r>
      <w:r w:rsidR="00114D34">
        <w:t>is</w:t>
      </w:r>
      <w:r w:rsidR="004174AC">
        <w:t xml:space="preserve"> located</w:t>
      </w:r>
      <w:r w:rsidR="005B004A">
        <w:t xml:space="preserve"> within this region and, together with Sarina Inlet in previous years, are the sites where highest risk has been identified. </w:t>
      </w:r>
      <w:r w:rsidR="0059608E">
        <w:t xml:space="preserve">Based on a </w:t>
      </w:r>
      <w:r w:rsidR="00EC1DD1">
        <w:t xml:space="preserve">previous </w:t>
      </w:r>
      <w:r w:rsidR="0059608E">
        <w:t xml:space="preserve">risk assessment of the </w:t>
      </w:r>
      <w:r w:rsidR="00FB0400">
        <w:t>priority</w:t>
      </w:r>
      <w:r w:rsidR="0059608E">
        <w:t xml:space="preserve"> PSII herbicides, the Mackay Whitsunday region </w:t>
      </w:r>
      <w:r w:rsidR="005B004A">
        <w:t>w</w:t>
      </w:r>
      <w:r w:rsidR="0059608E">
        <w:t xml:space="preserve">as </w:t>
      </w:r>
      <w:r w:rsidR="005B004A">
        <w:t>also</w:t>
      </w:r>
      <w:r w:rsidR="0059608E">
        <w:t xml:space="preserve"> identified as having the highest risk of toxic effects to coral reefs and seagrasses and the reduction of pesticides in this region is a management priority </w:t>
      </w:r>
      <w:r w:rsidR="00C91BF5">
        <w:fldChar w:fldCharType="begin"/>
      </w:r>
      <w:r w:rsidR="009D4492">
        <w:instrText xml:space="preserve"> ADDIN EN.CITE &lt;EndNote&gt;&lt;Cite&gt;&lt;Author&gt;Brodie&lt;/Author&gt;&lt;Year&gt;2013&lt;/Year&gt;&lt;RecNum&gt;11&lt;/RecNum&gt;&lt;DisplayText&gt;(Brodie et al., 2013)&lt;/DisplayText&gt;&lt;record&gt;&lt;rec-number&gt;11&lt;/rec-number&gt;&lt;foreign-keys&gt;&lt;key app="EN" db-id="vvtrt2pt4xpx5teta99vvtwg50vzve2aexae" timestamp="1493157339"&gt;11&lt;/key&gt;&lt;/foreign-keys&gt;&lt;ref-type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sidR="00C91BF5">
        <w:fldChar w:fldCharType="separate"/>
      </w:r>
      <w:r w:rsidR="009D4492">
        <w:rPr>
          <w:noProof/>
        </w:rPr>
        <w:t>(Brodie et al., 2013)</w:t>
      </w:r>
      <w:r w:rsidR="00C91BF5">
        <w:fldChar w:fldCharType="end"/>
      </w:r>
      <w:r w:rsidR="0059608E">
        <w:t xml:space="preserve">. </w:t>
      </w:r>
      <w:r w:rsidR="00A00DDD">
        <w:t xml:space="preserve">It </w:t>
      </w:r>
      <w:r w:rsidR="00114D34">
        <w:t>should</w:t>
      </w:r>
      <w:r w:rsidR="00A00DDD">
        <w:t xml:space="preserve"> be noted that the locations of the passive samplers</w:t>
      </w:r>
      <w:r w:rsidR="005B004A">
        <w:t>, which are</w:t>
      </w:r>
      <w:r w:rsidR="00A00DDD">
        <w:t xml:space="preserve"> </w:t>
      </w:r>
      <w:r w:rsidR="005B004A">
        <w:t xml:space="preserve">in </w:t>
      </w:r>
      <w:r w:rsidR="00DA289B">
        <w:t>close</w:t>
      </w:r>
      <w:r w:rsidR="005B004A">
        <w:t xml:space="preserve"> proximity</w:t>
      </w:r>
      <w:r w:rsidR="00DA289B">
        <w:t xml:space="preserve"> to river and creek mouths </w:t>
      </w:r>
      <w:r w:rsidR="005B004A">
        <w:t xml:space="preserve">in the Mackay Whitsunday region, </w:t>
      </w:r>
      <w:r w:rsidR="00A00DDD">
        <w:t xml:space="preserve">likely skew the data towards </w:t>
      </w:r>
      <w:r w:rsidR="00DA289B">
        <w:t xml:space="preserve">a </w:t>
      </w:r>
      <w:r w:rsidR="00A00DDD">
        <w:t xml:space="preserve">higher </w:t>
      </w:r>
      <w:r w:rsidR="00DA289B">
        <w:lastRenderedPageBreak/>
        <w:t xml:space="preserve">number of herbicide </w:t>
      </w:r>
      <w:r w:rsidR="00A00DDD">
        <w:t xml:space="preserve">detections </w:t>
      </w:r>
      <w:r w:rsidR="00DA289B">
        <w:t xml:space="preserve">(and at higher concentrations) </w:t>
      </w:r>
      <w:r w:rsidR="00A00DDD">
        <w:t xml:space="preserve">at </w:t>
      </w:r>
      <w:r w:rsidR="00DA289B">
        <w:t>s</w:t>
      </w:r>
      <w:r w:rsidR="00EA673C">
        <w:t>ites located in th</w:t>
      </w:r>
      <w:r w:rsidR="005B004A">
        <w:t>is</w:t>
      </w:r>
      <w:r w:rsidR="00EA673C">
        <w:t xml:space="preserve"> region, compared to other regions.</w:t>
      </w:r>
    </w:p>
    <w:p w14:paraId="1572102B" w14:textId="77777777" w:rsidR="00EA673C" w:rsidRDefault="00EA673C" w:rsidP="00015606">
      <w:pPr>
        <w:spacing w:line="276" w:lineRule="auto"/>
      </w:pPr>
    </w:p>
    <w:p w14:paraId="1572102C" w14:textId="6B98DF18" w:rsidR="0059608E" w:rsidRDefault="005B004A" w:rsidP="00015606">
      <w:pPr>
        <w:spacing w:line="276" w:lineRule="auto"/>
        <w:rPr>
          <w:lang w:val="en-AU" w:eastAsia="en-AU"/>
        </w:rPr>
      </w:pPr>
      <w:r w:rsidRPr="005B004A">
        <w:rPr>
          <w:lang w:val="en-AU" w:eastAsia="en-AU"/>
        </w:rPr>
        <w:t xml:space="preserve">At present, only the PSII herbicides are included in exposure risk assessments (using PSII-HEq concentrations). </w:t>
      </w:r>
      <w:r w:rsidR="0059608E">
        <w:rPr>
          <w:lang w:val="en-AU" w:eastAsia="en-AU"/>
        </w:rPr>
        <w:t xml:space="preserve">The use, run-off potential, transport, fate and ecotoxicity of alternative herbicides </w:t>
      </w:r>
      <w:r w:rsidR="00114D34">
        <w:rPr>
          <w:lang w:val="en-AU" w:eastAsia="en-AU"/>
        </w:rPr>
        <w:t>(and other pesticides) are</w:t>
      </w:r>
      <w:r w:rsidR="0059608E">
        <w:rPr>
          <w:lang w:val="en-AU" w:eastAsia="en-AU"/>
        </w:rPr>
        <w:t xml:space="preserve"> not well understood, despite the</w:t>
      </w:r>
      <w:r w:rsidR="00490905">
        <w:rPr>
          <w:lang w:val="en-AU" w:eastAsia="en-AU"/>
        </w:rPr>
        <w:t>ir already extensive</w:t>
      </w:r>
      <w:r w:rsidR="0059608E">
        <w:rPr>
          <w:lang w:val="en-AU" w:eastAsia="en-AU"/>
        </w:rPr>
        <w:t xml:space="preserve"> use, and</w:t>
      </w:r>
      <w:r w:rsidR="0011231F">
        <w:rPr>
          <w:lang w:val="en-AU" w:eastAsia="en-AU"/>
        </w:rPr>
        <w:t xml:space="preserve"> it</w:t>
      </w:r>
      <w:r w:rsidR="0059608E">
        <w:rPr>
          <w:lang w:val="en-AU" w:eastAsia="en-AU"/>
        </w:rPr>
        <w:t xml:space="preserve"> is essential to determine whether they may have negative effects on the health and resilience of the Reef. A desktop assessment of the relative risk of alternative herbicides (considering the risks of off-site run-off and toxicity across a range of indicative trophic levels) found that several of the proposed alternatives presented a risk comparable to those of the priority PSII herbicides they were replacing </w:t>
      </w:r>
      <w:r w:rsidR="00C91BF5">
        <w:rPr>
          <w:lang w:val="en-AU" w:eastAsia="en-AU"/>
        </w:rPr>
        <w:fldChar w:fldCharType="begin"/>
      </w:r>
      <w:r w:rsidR="009D4492">
        <w:rPr>
          <w:lang w:val="en-AU" w:eastAsia="en-AU"/>
        </w:rPr>
        <w:instrText xml:space="preserve"> ADDIN EN.CITE &lt;EndNote&gt;&lt;Cite&gt;&lt;Author&gt;Davis&lt;/Author&gt;&lt;Year&gt;2014&lt;/Year&gt;&lt;RecNum&gt;60&lt;/RecNum&gt;&lt;DisplayText&gt;(Davis et al., 2014)&lt;/DisplayText&gt;&lt;record&gt;&lt;rec-number&gt;60&lt;/rec-number&gt;&lt;foreign-keys&gt;&lt;key app="EN" db-id="vvtrt2pt4xpx5teta99vvtwg50vzve2aexae" timestamp="1493157401"&gt;60&lt;/key&gt;&lt;/foreign-keys&gt;&lt;ref-type name="Journal Article"&gt;17&lt;/ref-type&gt;&lt;contributors&gt;&lt;authors&gt;&lt;author&gt;Davis, A. M.&lt;/author&gt;&lt;author&gt;Lewis, S. E.&lt;/author&gt;&lt;author&gt;Brodie, J. E.&lt;/author&gt;&lt;author&gt;Benson, Ash&lt;/author&gt;&lt;/authors&gt;&lt;/contributors&gt;&lt;titles&gt;&lt;title&gt;The potential benefits of herbicide regulation: A cautionary note for the Great Barrier Reef catchment area&lt;/title&gt;&lt;secondary-title&gt;Science of The Total Environment&lt;/secondary-title&gt;&lt;/titles&gt;&lt;periodical&gt;&lt;full-title&gt;Science of The Total Environment&lt;/full-title&gt;&lt;/periodical&gt;&lt;pages&gt;81-92&lt;/pages&gt;&lt;volume&gt;490&lt;/volume&gt;&lt;keywords&gt;&lt;keyword&gt;Risk analysis&lt;/keyword&gt;&lt;keyword&gt;Water quality&lt;/keyword&gt;&lt;keyword&gt;Perverse outcomes&lt;/keyword&gt;&lt;keyword&gt;Pest management&lt;/keyword&gt;&lt;/keywords&gt;&lt;dates&gt;&lt;year&gt;2014&lt;/year&gt;&lt;pub-dates&gt;&lt;date&gt;8/15/&lt;/date&gt;&lt;/pub-dates&gt;&lt;/dates&gt;&lt;isbn&gt;0048-9697&lt;/isbn&gt;&lt;urls&gt;&lt;related-urls&gt;&lt;url&gt;http://www.sciencedirect.com/science/article/pii/S0048969714004999&lt;/url&gt;&lt;/related-urls&gt;&lt;/urls&gt;&lt;electronic-resource-num&gt;http://dx.doi.org/10.1016/j.scitotenv.2014.04.005&lt;/electronic-resource-num&gt;&lt;/record&gt;&lt;/Cite&gt;&lt;/EndNote&gt;</w:instrText>
      </w:r>
      <w:r w:rsidR="00C91BF5">
        <w:rPr>
          <w:lang w:val="en-AU" w:eastAsia="en-AU"/>
        </w:rPr>
        <w:fldChar w:fldCharType="separate"/>
      </w:r>
      <w:r w:rsidR="009D4492">
        <w:rPr>
          <w:noProof/>
          <w:lang w:val="en-AU" w:eastAsia="en-AU"/>
        </w:rPr>
        <w:t>(Davis et al., 2014)</w:t>
      </w:r>
      <w:r w:rsidR="00C91BF5">
        <w:rPr>
          <w:lang w:val="en-AU" w:eastAsia="en-AU"/>
        </w:rPr>
        <w:fldChar w:fldCharType="end"/>
      </w:r>
      <w:r w:rsidR="0059608E">
        <w:rPr>
          <w:lang w:val="en-AU" w:eastAsia="en-AU"/>
        </w:rPr>
        <w:t xml:space="preserve">. It </w:t>
      </w:r>
      <w:r w:rsidR="00EC1DD1">
        <w:rPr>
          <w:lang w:val="en-AU" w:eastAsia="en-AU"/>
        </w:rPr>
        <w:t>should</w:t>
      </w:r>
      <w:r w:rsidR="0059608E">
        <w:rPr>
          <w:lang w:val="en-AU" w:eastAsia="en-AU"/>
        </w:rPr>
        <w:t xml:space="preserve"> be noted </w:t>
      </w:r>
      <w:r w:rsidR="00EC1DD1">
        <w:rPr>
          <w:lang w:val="en-AU" w:eastAsia="en-AU"/>
        </w:rPr>
        <w:t>however that in th</w:t>
      </w:r>
      <w:r w:rsidR="00114D34">
        <w:rPr>
          <w:lang w:val="en-AU" w:eastAsia="en-AU"/>
        </w:rPr>
        <w:t xml:space="preserve">e same </w:t>
      </w:r>
      <w:r w:rsidR="00EC1DD1">
        <w:rPr>
          <w:lang w:val="en-AU" w:eastAsia="en-AU"/>
        </w:rPr>
        <w:t>assessment</w:t>
      </w:r>
      <w:r w:rsidR="0059608E">
        <w:rPr>
          <w:lang w:val="en-AU" w:eastAsia="en-AU"/>
        </w:rPr>
        <w:t xml:space="preserve"> 2,4-D and MCPA </w:t>
      </w:r>
      <w:r w:rsidR="00EC1DD1">
        <w:rPr>
          <w:lang w:val="en-AU" w:eastAsia="en-AU"/>
        </w:rPr>
        <w:t>(</w:t>
      </w:r>
      <w:r>
        <w:rPr>
          <w:lang w:val="en-AU" w:eastAsia="en-AU"/>
        </w:rPr>
        <w:t xml:space="preserve">two of </w:t>
      </w:r>
      <w:r w:rsidR="0059608E">
        <w:rPr>
          <w:lang w:val="en-AU" w:eastAsia="en-AU"/>
        </w:rPr>
        <w:t xml:space="preserve">the most frequently detected alternatives in passives samplers </w:t>
      </w:r>
      <w:r>
        <w:rPr>
          <w:lang w:val="en-AU" w:eastAsia="en-AU"/>
        </w:rPr>
        <w:t>in 2015-16</w:t>
      </w:r>
      <w:r w:rsidR="00EC1DD1">
        <w:rPr>
          <w:lang w:val="en-AU" w:eastAsia="en-AU"/>
        </w:rPr>
        <w:t>)</w:t>
      </w:r>
      <w:r w:rsidR="0059608E">
        <w:rPr>
          <w:lang w:val="en-AU" w:eastAsia="en-AU"/>
        </w:rPr>
        <w:t xml:space="preserve"> were predicted to have lower environmental risks than the priority PSII</w:t>
      </w:r>
      <w:r w:rsidR="00FA7257">
        <w:rPr>
          <w:lang w:val="en-AU" w:eastAsia="en-AU"/>
        </w:rPr>
        <w:t xml:space="preserve"> herbicide</w:t>
      </w:r>
      <w:r w:rsidR="0059608E">
        <w:rPr>
          <w:lang w:val="en-AU" w:eastAsia="en-AU"/>
        </w:rPr>
        <w:t xml:space="preserve">s. It appears that care must be taken when restricting or prohibiting the use of certain problematic </w:t>
      </w:r>
      <w:r w:rsidR="00FA7257">
        <w:rPr>
          <w:lang w:val="en-AU" w:eastAsia="en-AU"/>
        </w:rPr>
        <w:t>pesticides</w:t>
      </w:r>
      <w:r w:rsidR="0059608E">
        <w:rPr>
          <w:lang w:val="en-AU" w:eastAsia="en-AU"/>
        </w:rPr>
        <w:t xml:space="preserve"> as alternatives may not be having the desired result of reducing off-site environmental impacts. Rather than shifting usage to </w:t>
      </w:r>
      <w:r w:rsidR="00FA7257">
        <w:rPr>
          <w:lang w:val="en-AU" w:eastAsia="en-AU"/>
        </w:rPr>
        <w:t>pesticides</w:t>
      </w:r>
      <w:r w:rsidR="0059608E">
        <w:rPr>
          <w:lang w:val="en-AU" w:eastAsia="en-AU"/>
        </w:rPr>
        <w:t xml:space="preserve"> with potentially similar risk profiles, improved management practices </w:t>
      </w:r>
      <w:r w:rsidR="00EC1DD1">
        <w:rPr>
          <w:lang w:val="en-AU" w:eastAsia="en-AU"/>
        </w:rPr>
        <w:t xml:space="preserve">to reduce pesticide run-off </w:t>
      </w:r>
      <w:r w:rsidR="0059608E">
        <w:rPr>
          <w:lang w:val="en-AU" w:eastAsia="en-AU"/>
        </w:rPr>
        <w:t xml:space="preserve">with an emphasis on those that are the most cost effective may prove more </w:t>
      </w:r>
      <w:r w:rsidR="000D05E0">
        <w:rPr>
          <w:lang w:val="en-AU" w:eastAsia="en-AU"/>
        </w:rPr>
        <w:t>useful</w:t>
      </w:r>
      <w:r w:rsidR="0059608E">
        <w:rPr>
          <w:lang w:val="en-AU" w:eastAsia="en-AU"/>
        </w:rPr>
        <w:t xml:space="preserve"> in reaching Reef Plan targets by 2018 </w:t>
      </w:r>
      <w:r w:rsidR="00C91BF5">
        <w:rPr>
          <w:lang w:val="en-AU" w:eastAsia="en-AU"/>
        </w:rPr>
        <w:fldChar w:fldCharType="begin">
          <w:fldData xml:space="preserve">PEVuZE5vdGU+PENpdGU+PEF1dGhvcj5EYXZpczwvQXV0aG9yPjxZZWFyPjIwMTQ8L1llYXI+PFJl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</w:fldData>
        </w:fldChar>
      </w:r>
      <w:r w:rsidR="009D4492">
        <w:rPr>
          <w:lang w:val="en-AU" w:eastAsia="en-AU"/>
        </w:rPr>
        <w:instrText xml:space="preserve"> ADDIN EN.CITE </w:instrText>
      </w:r>
      <w:r w:rsidR="009D4492">
        <w:rPr>
          <w:lang w:val="en-AU" w:eastAsia="en-AU"/>
        </w:rPr>
        <w:fldChar w:fldCharType="begin">
          <w:fldData xml:space="preserve">PEVuZE5vdGU+PENpdGU+PEF1dGhvcj5EYXZpczwvQXV0aG9yPjxZZWFyPjIwMTQ8L1llYXI+PFJl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</w:fldData>
        </w:fldChar>
      </w:r>
      <w:r w:rsidR="009D4492">
        <w:rPr>
          <w:lang w:val="en-AU" w:eastAsia="en-AU"/>
        </w:rPr>
        <w:instrText xml:space="preserve"> ADDIN EN.CITE.DATA </w:instrText>
      </w:r>
      <w:r w:rsidR="009D4492">
        <w:rPr>
          <w:lang w:val="en-AU" w:eastAsia="en-AU"/>
        </w:rPr>
      </w:r>
      <w:r w:rsidR="009D4492">
        <w:rPr>
          <w:lang w:val="en-AU" w:eastAsia="en-AU"/>
        </w:rPr>
        <w:fldChar w:fldCharType="end"/>
      </w:r>
      <w:r w:rsidR="00C91BF5">
        <w:rPr>
          <w:lang w:val="en-AU" w:eastAsia="en-AU"/>
        </w:rPr>
      </w:r>
      <w:r w:rsidR="00C91BF5">
        <w:rPr>
          <w:lang w:val="en-AU" w:eastAsia="en-AU"/>
        </w:rPr>
        <w:fldChar w:fldCharType="separate"/>
      </w:r>
      <w:r w:rsidR="009D4492">
        <w:rPr>
          <w:noProof/>
          <w:lang w:val="en-AU" w:eastAsia="en-AU"/>
        </w:rPr>
        <w:t>(Lewis et al., 2013, Davis et al., 2014, Lewis et al., 2014)</w:t>
      </w:r>
      <w:r w:rsidR="00C91BF5">
        <w:rPr>
          <w:lang w:val="en-AU" w:eastAsia="en-AU"/>
        </w:rPr>
        <w:fldChar w:fldCharType="end"/>
      </w:r>
      <w:r w:rsidR="0059608E">
        <w:rPr>
          <w:lang w:val="en-AU" w:eastAsia="en-AU"/>
        </w:rPr>
        <w:t>.</w:t>
      </w:r>
    </w:p>
    <w:p w14:paraId="1572102D" w14:textId="77777777" w:rsidR="005B004A" w:rsidRDefault="005B004A" w:rsidP="00015606">
      <w:pPr>
        <w:spacing w:line="276" w:lineRule="auto"/>
        <w:rPr>
          <w:lang w:val="en-AU" w:eastAsia="en-AU"/>
        </w:rPr>
      </w:pPr>
    </w:p>
    <w:p w14:paraId="1572102E" w14:textId="5949E6C3" w:rsidR="005B004A" w:rsidRDefault="0011231F" w:rsidP="00015606">
      <w:pPr>
        <w:spacing w:line="276" w:lineRule="auto"/>
        <w:rPr>
          <w:lang w:val="en-AU" w:eastAsia="en-AU"/>
        </w:rPr>
      </w:pPr>
      <w:r>
        <w:rPr>
          <w:lang w:val="en-AU" w:eastAsia="en-AU"/>
        </w:rPr>
        <w:t xml:space="preserve">Given the uncertainty over the </w:t>
      </w:r>
      <w:r w:rsidR="00DB4330">
        <w:rPr>
          <w:lang w:val="en-AU" w:eastAsia="en-AU"/>
        </w:rPr>
        <w:t>risk profile</w:t>
      </w:r>
      <w:r>
        <w:rPr>
          <w:lang w:val="en-AU" w:eastAsia="en-AU"/>
        </w:rPr>
        <w:t xml:space="preserve"> of some </w:t>
      </w:r>
      <w:r w:rsidR="00FA7257">
        <w:rPr>
          <w:lang w:val="en-AU" w:eastAsia="en-AU"/>
        </w:rPr>
        <w:t>non-PSII inhibiting</w:t>
      </w:r>
      <w:r>
        <w:rPr>
          <w:lang w:val="en-AU" w:eastAsia="en-AU"/>
        </w:rPr>
        <w:t xml:space="preserve"> pesticides, including </w:t>
      </w:r>
      <w:r w:rsidR="00FA7257">
        <w:rPr>
          <w:lang w:val="en-AU" w:eastAsia="en-AU"/>
        </w:rPr>
        <w:t>other</w:t>
      </w:r>
      <w:r>
        <w:rPr>
          <w:lang w:val="en-AU" w:eastAsia="en-AU"/>
        </w:rPr>
        <w:t xml:space="preserve"> pesticides in the exposure risk assessment under the MMP is becoming increasingly important. </w:t>
      </w:r>
      <w:r w:rsidR="005B004A">
        <w:rPr>
          <w:lang w:val="en-AU" w:eastAsia="en-AU"/>
        </w:rPr>
        <w:t xml:space="preserve">The multisubstance – potentially affected fraction (ms-PAF) approach to assess mixture toxicity of </w:t>
      </w:r>
      <w:r w:rsidR="00FA7257">
        <w:rPr>
          <w:lang w:val="en-AU" w:eastAsia="en-AU"/>
        </w:rPr>
        <w:t>pesticides</w:t>
      </w:r>
      <w:r w:rsidR="005B004A">
        <w:rPr>
          <w:lang w:val="en-AU" w:eastAsia="en-AU"/>
        </w:rPr>
        <w:t xml:space="preserve"> </w:t>
      </w:r>
      <w:r w:rsidR="00C91BF5">
        <w:rPr>
          <w:lang w:val="en-AU" w:eastAsia="en-AU"/>
        </w:rPr>
        <w:fldChar w:fldCharType="begin"/>
      </w:r>
      <w:r w:rsidR="009D4492">
        <w:rPr>
          <w:lang w:val="en-AU" w:eastAsia="en-AU"/>
        </w:rPr>
        <w:instrText xml:space="preserve"> ADDIN EN.CITE &lt;EndNote&gt;&lt;Cite&gt;&lt;Author&gt;Traas&lt;/Author&gt;&lt;Year&gt;2002&lt;/Year&gt;&lt;RecNum&gt;36&lt;/RecNum&gt;&lt;DisplayText&gt;(Traas et al., 2002)&lt;/DisplayText&gt;&lt;record&gt;&lt;rec-number&gt;36&lt;/rec-number&gt;&lt;foreign-keys&gt;&lt;key app="EN" db-id="vvtrt2pt4xpx5teta99vvtwg50vzve2aexae" timestamp="1493157367"&gt;36&lt;/key&gt;&lt;/foreign-keys&gt;&lt;ref-type name="Generic"&gt;13&lt;/ref-type&gt;&lt;contributors&gt;&lt;authors&gt;&lt;author&gt;Traas, Theo P&lt;/author&gt;&lt;author&gt;van de Meent, Dik&lt;/author&gt;&lt;author&gt;Posthuma, Leo&lt;/author&gt;&lt;author&gt;Hamers, Timo&lt;/author&gt;&lt;author&gt;Kater, Belinda J&lt;/author&gt;&lt;author&gt;De Zwart, Dick&lt;/author&gt;&lt;author&gt;Aldenberg, Tom&lt;/author&gt;&lt;/authors&gt;&lt;/contributors&gt;&lt;titles&gt;&lt;title&gt;The potentially affected fraction as a measure of ecological risk&lt;/title&gt;&lt;/titles&gt;&lt;pages&gt;315-344&lt;/pages&gt;&lt;dates&gt;&lt;year&gt;2002&lt;/year&gt;&lt;/dates&gt;&lt;publisher&gt;CRC Press: Boca Raton, FL&lt;/publisher&gt;&lt;urls&gt;&lt;/urls&gt;&lt;/record&gt;&lt;/Cite&gt;&lt;/EndNote&gt;</w:instrText>
      </w:r>
      <w:r w:rsidR="00C91BF5">
        <w:rPr>
          <w:lang w:val="en-AU" w:eastAsia="en-AU"/>
        </w:rPr>
        <w:fldChar w:fldCharType="separate"/>
      </w:r>
      <w:r w:rsidR="009D4492">
        <w:rPr>
          <w:noProof/>
          <w:lang w:val="en-AU" w:eastAsia="en-AU"/>
        </w:rPr>
        <w:t>(Traas et al., 2002)</w:t>
      </w:r>
      <w:r w:rsidR="00C91BF5">
        <w:rPr>
          <w:lang w:val="en-AU" w:eastAsia="en-AU"/>
        </w:rPr>
        <w:fldChar w:fldCharType="end"/>
      </w:r>
      <w:r w:rsidR="005B004A">
        <w:rPr>
          <w:lang w:val="en-AU" w:eastAsia="en-AU"/>
        </w:rPr>
        <w:t xml:space="preserve"> is an alternative approach to the PSII-HEq index used in this program that can assess the cumulative risk for a suite of pesticides that have different modes of action. The additive model (for PSII herbicides with the same mode of action) was applied to the current year’s monitoring data as a case study</w:t>
      </w:r>
      <w:r w:rsidR="00114D34">
        <w:rPr>
          <w:lang w:val="en-AU" w:eastAsia="en-AU"/>
        </w:rPr>
        <w:t xml:space="preserve"> (see Section 8)</w:t>
      </w:r>
      <w:r w:rsidR="005B004A">
        <w:rPr>
          <w:lang w:val="en-AU" w:eastAsia="en-AU"/>
        </w:rPr>
        <w:t xml:space="preserve">. When the non-additive model has been developed (in progress by DSITI), this will be a highly valuable and the recommended tool to assess the combined toxicity of </w:t>
      </w:r>
      <w:r>
        <w:rPr>
          <w:lang w:val="en-AU" w:eastAsia="en-AU"/>
        </w:rPr>
        <w:t xml:space="preserve">both </w:t>
      </w:r>
      <w:r w:rsidR="005B004A">
        <w:rPr>
          <w:lang w:val="en-AU" w:eastAsia="en-AU"/>
        </w:rPr>
        <w:t xml:space="preserve">PSII and </w:t>
      </w:r>
      <w:r w:rsidR="00FA7257">
        <w:rPr>
          <w:lang w:val="en-AU" w:eastAsia="en-AU"/>
        </w:rPr>
        <w:t>other</w:t>
      </w:r>
      <w:r w:rsidR="005B004A">
        <w:rPr>
          <w:lang w:val="en-AU" w:eastAsia="en-AU"/>
        </w:rPr>
        <w:t xml:space="preserve"> pesticides.</w:t>
      </w:r>
    </w:p>
    <w:p w14:paraId="1572102F" w14:textId="77777777" w:rsidR="00CC6412" w:rsidRDefault="00CC6412" w:rsidP="00015606">
      <w:pPr>
        <w:spacing w:line="276" w:lineRule="auto"/>
        <w:rPr>
          <w:lang w:val="en-AU" w:eastAsia="en-AU"/>
        </w:rPr>
      </w:pPr>
    </w:p>
    <w:p w14:paraId="15721030" w14:textId="54747067" w:rsidR="009A0502" w:rsidRDefault="00B8401D" w:rsidP="00015606">
      <w:pPr>
        <w:spacing w:line="276" w:lineRule="auto"/>
        <w:rPr>
          <w:lang w:val="en-AU"/>
        </w:rPr>
      </w:pPr>
      <w:r>
        <w:rPr>
          <w:b/>
          <w:lang w:val="en-AU" w:eastAsia="en-AU"/>
        </w:rPr>
        <w:t>Concentration gradients with distance from river mouths</w:t>
      </w:r>
      <w:r w:rsidR="00CC6412" w:rsidRPr="00490905">
        <w:rPr>
          <w:b/>
          <w:lang w:val="en-AU" w:eastAsia="en-AU"/>
        </w:rPr>
        <w:t>.</w:t>
      </w:r>
      <w:r w:rsidR="00CC6412">
        <w:rPr>
          <w:lang w:val="en-AU" w:eastAsia="en-AU"/>
        </w:rPr>
        <w:t xml:space="preserve"> </w:t>
      </w:r>
      <w:r w:rsidR="0059608E" w:rsidRPr="008B7228">
        <w:rPr>
          <w:lang w:val="en-AU"/>
        </w:rPr>
        <w:t xml:space="preserve">The sampling conducted as part of the terrestrial run-off component </w:t>
      </w:r>
      <w:r w:rsidR="008B7228">
        <w:rPr>
          <w:lang w:val="en-AU"/>
        </w:rPr>
        <w:t xml:space="preserve">of this program </w:t>
      </w:r>
      <w:r w:rsidR="0059608E" w:rsidRPr="008B7228">
        <w:rPr>
          <w:lang w:val="en-AU"/>
        </w:rPr>
        <w:t xml:space="preserve">since 2010 </w:t>
      </w:r>
      <w:r w:rsidR="00E91C29">
        <w:rPr>
          <w:lang w:val="en-AU"/>
        </w:rPr>
        <w:t>enables</w:t>
      </w:r>
      <w:r w:rsidR="008B7228">
        <w:rPr>
          <w:lang w:val="en-AU"/>
        </w:rPr>
        <w:t xml:space="preserve"> a direct comparison of pesticide levels at sampling locations </w:t>
      </w:r>
      <w:r w:rsidR="00E91C29">
        <w:rPr>
          <w:lang w:val="en-AU"/>
        </w:rPr>
        <w:t>close to river discharge points (</w:t>
      </w:r>
      <w:r w:rsidR="008B7228">
        <w:rPr>
          <w:lang w:val="en-AU"/>
        </w:rPr>
        <w:t>within river mouths</w:t>
      </w:r>
      <w:r w:rsidR="00E91C29">
        <w:rPr>
          <w:lang w:val="en-AU"/>
        </w:rPr>
        <w:t>)</w:t>
      </w:r>
      <w:r w:rsidR="008B7228">
        <w:rPr>
          <w:lang w:val="en-AU"/>
        </w:rPr>
        <w:t xml:space="preserve"> compared to levels </w:t>
      </w:r>
      <w:r w:rsidR="00F35F5D">
        <w:rPr>
          <w:lang w:val="en-AU"/>
        </w:rPr>
        <w:t xml:space="preserve">further </w:t>
      </w:r>
      <w:r w:rsidR="008B7228">
        <w:rPr>
          <w:lang w:val="en-AU"/>
        </w:rPr>
        <w:t>offshore at fixed monitoring sites</w:t>
      </w:r>
      <w:r w:rsidR="00E91C29">
        <w:rPr>
          <w:lang w:val="en-AU"/>
        </w:rPr>
        <w:t xml:space="preserve">. </w:t>
      </w:r>
      <w:r w:rsidR="008B7228">
        <w:rPr>
          <w:lang w:val="en-AU"/>
        </w:rPr>
        <w:t>Decreasing concentration gradients with distance offshore are indicative of dilution</w:t>
      </w:r>
      <w:r w:rsidR="008640A6">
        <w:rPr>
          <w:lang w:val="en-AU"/>
        </w:rPr>
        <w:t>, degradation</w:t>
      </w:r>
      <w:r w:rsidR="008B7228">
        <w:rPr>
          <w:lang w:val="en-AU"/>
        </w:rPr>
        <w:t xml:space="preserve"> </w:t>
      </w:r>
      <w:r w:rsidR="008640A6">
        <w:rPr>
          <w:lang w:val="en-AU"/>
        </w:rPr>
        <w:t xml:space="preserve">and other </w:t>
      </w:r>
      <w:r w:rsidR="008B7228">
        <w:rPr>
          <w:lang w:val="en-AU"/>
        </w:rPr>
        <w:t xml:space="preserve">effects following dispersal of pesticide loads into the wider Reef lagoon water body. Historically, </w:t>
      </w:r>
      <w:r w:rsidR="0059608E" w:rsidRPr="008B7228">
        <w:rPr>
          <w:lang w:val="en-AU"/>
        </w:rPr>
        <w:t xml:space="preserve">localised areas of highly elevated PSII herbicide concentrations </w:t>
      </w:r>
      <w:r w:rsidR="008B7228">
        <w:rPr>
          <w:lang w:val="en-AU"/>
        </w:rPr>
        <w:t>ha</w:t>
      </w:r>
      <w:r w:rsidR="009A0502">
        <w:rPr>
          <w:lang w:val="en-AU"/>
        </w:rPr>
        <w:t>ve</w:t>
      </w:r>
      <w:r w:rsidR="008B7228">
        <w:rPr>
          <w:lang w:val="en-AU"/>
        </w:rPr>
        <w:t xml:space="preserve"> occurred</w:t>
      </w:r>
      <w:r w:rsidR="0059608E" w:rsidRPr="008B7228">
        <w:rPr>
          <w:lang w:val="en-AU"/>
        </w:rPr>
        <w:t xml:space="preserve"> near river mouths within </w:t>
      </w:r>
      <w:r w:rsidR="008B7228">
        <w:rPr>
          <w:lang w:val="en-AU"/>
        </w:rPr>
        <w:t>the Wet Tropics</w:t>
      </w:r>
      <w:r w:rsidR="00F35F5D">
        <w:rPr>
          <w:lang w:val="en-AU"/>
        </w:rPr>
        <w:t xml:space="preserve"> where</w:t>
      </w:r>
      <w:r w:rsidR="008640A6">
        <w:rPr>
          <w:lang w:val="en-AU"/>
        </w:rPr>
        <w:t>as</w:t>
      </w:r>
      <w:r w:rsidR="00F35F5D">
        <w:rPr>
          <w:lang w:val="en-AU"/>
        </w:rPr>
        <w:t xml:space="preserve"> samples collected</w:t>
      </w:r>
      <w:r w:rsidR="0059608E" w:rsidRPr="008B7228">
        <w:rPr>
          <w:lang w:val="en-AU"/>
        </w:rPr>
        <w:t xml:space="preserve"> </w:t>
      </w:r>
      <w:r w:rsidR="00F35F5D">
        <w:rPr>
          <w:lang w:val="en-AU"/>
        </w:rPr>
        <w:t xml:space="preserve">kilometres into the Reef lagoon at fixed monitoring sites </w:t>
      </w:r>
      <w:r w:rsidR="0059608E" w:rsidRPr="008B7228">
        <w:rPr>
          <w:lang w:val="en-AU"/>
        </w:rPr>
        <w:t xml:space="preserve">indicate a lower risk </w:t>
      </w:r>
      <w:r w:rsidR="009A0502">
        <w:rPr>
          <w:lang w:val="en-AU"/>
        </w:rPr>
        <w:t>of exposure</w:t>
      </w:r>
      <w:r w:rsidR="0059608E" w:rsidRPr="008B7228">
        <w:rPr>
          <w:lang w:val="en-AU"/>
        </w:rPr>
        <w:t xml:space="preserve">. </w:t>
      </w:r>
      <w:r w:rsidR="008B7228">
        <w:rPr>
          <w:lang w:val="en-AU"/>
        </w:rPr>
        <w:t xml:space="preserve">In 2015-16, </w:t>
      </w:r>
      <w:r w:rsidR="00F35F5D">
        <w:rPr>
          <w:lang w:val="en-AU"/>
        </w:rPr>
        <w:t xml:space="preserve">paired </w:t>
      </w:r>
      <w:r w:rsidR="008B7228">
        <w:rPr>
          <w:lang w:val="en-AU"/>
        </w:rPr>
        <w:t>g</w:t>
      </w:r>
      <w:r w:rsidR="0059608E" w:rsidRPr="008B7228">
        <w:rPr>
          <w:lang w:val="en-AU"/>
        </w:rPr>
        <w:t xml:space="preserve">rab samples </w:t>
      </w:r>
      <w:r w:rsidR="00F35F5D">
        <w:rPr>
          <w:lang w:val="en-AU"/>
        </w:rPr>
        <w:t xml:space="preserve">between river mouths and offshore monitoring sites </w:t>
      </w:r>
      <w:r w:rsidR="0059608E" w:rsidRPr="008B7228">
        <w:rPr>
          <w:lang w:val="en-AU"/>
        </w:rPr>
        <w:t>collected during high river flow events show</w:t>
      </w:r>
      <w:r w:rsidR="00F35F5D">
        <w:rPr>
          <w:lang w:val="en-AU"/>
        </w:rPr>
        <w:t>ed</w:t>
      </w:r>
      <w:r w:rsidR="0059608E" w:rsidRPr="008B7228">
        <w:rPr>
          <w:lang w:val="en-AU"/>
        </w:rPr>
        <w:t xml:space="preserve"> a clear dilution effect with </w:t>
      </w:r>
      <w:r>
        <w:rPr>
          <w:lang w:val="en-AU"/>
        </w:rPr>
        <w:t>distance from a river mouth. PSII HEq c</w:t>
      </w:r>
      <w:r w:rsidR="00F35F5D">
        <w:rPr>
          <w:lang w:val="en-AU"/>
        </w:rPr>
        <w:t xml:space="preserve">oncentrations </w:t>
      </w:r>
      <w:r>
        <w:rPr>
          <w:lang w:val="en-AU"/>
        </w:rPr>
        <w:t xml:space="preserve">at river mouths reached Category 3 levels for some grabs samples and </w:t>
      </w:r>
      <w:r w:rsidR="00A3516B">
        <w:rPr>
          <w:lang w:val="en-AU"/>
        </w:rPr>
        <w:t>whilst</w:t>
      </w:r>
      <w:r>
        <w:rPr>
          <w:lang w:val="en-AU"/>
        </w:rPr>
        <w:t xml:space="preserve"> </w:t>
      </w:r>
      <w:r w:rsidR="00A3516B">
        <w:rPr>
          <w:lang w:val="en-AU"/>
        </w:rPr>
        <w:t>concentrations were observed to decrease with distance from the river mouth</w:t>
      </w:r>
      <w:r w:rsidR="00F35F5D">
        <w:rPr>
          <w:lang w:val="en-AU"/>
        </w:rPr>
        <w:t>,</w:t>
      </w:r>
      <w:r w:rsidR="0059608E" w:rsidRPr="008B7228">
        <w:rPr>
          <w:lang w:val="en-AU"/>
        </w:rPr>
        <w:t xml:space="preserve"> concentrations at distant </w:t>
      </w:r>
      <w:r w:rsidR="00F35F5D">
        <w:rPr>
          <w:lang w:val="en-AU"/>
        </w:rPr>
        <w:t xml:space="preserve">sampling </w:t>
      </w:r>
      <w:r w:rsidR="0059608E" w:rsidRPr="008B7228">
        <w:rPr>
          <w:lang w:val="en-AU"/>
        </w:rPr>
        <w:t>sites (</w:t>
      </w:r>
      <w:r w:rsidR="008640A6">
        <w:rPr>
          <w:lang w:val="en-AU"/>
        </w:rPr>
        <w:t xml:space="preserve">e.g. </w:t>
      </w:r>
      <w:r w:rsidR="0059608E" w:rsidRPr="008B7228">
        <w:rPr>
          <w:lang w:val="en-AU"/>
        </w:rPr>
        <w:t xml:space="preserve">up to </w:t>
      </w:r>
      <w:r w:rsidR="008640A6">
        <w:rPr>
          <w:lang w:val="en-AU"/>
        </w:rPr>
        <w:t>14</w:t>
      </w:r>
      <w:r w:rsidR="0059608E" w:rsidRPr="008B7228">
        <w:rPr>
          <w:lang w:val="en-AU"/>
        </w:rPr>
        <w:t xml:space="preserve"> km in the case of </w:t>
      </w:r>
      <w:r w:rsidR="00F35F5D">
        <w:rPr>
          <w:lang w:val="en-AU"/>
        </w:rPr>
        <w:t xml:space="preserve">Dunk </w:t>
      </w:r>
      <w:r w:rsidR="0059608E" w:rsidRPr="008B7228">
        <w:rPr>
          <w:lang w:val="en-AU"/>
        </w:rPr>
        <w:t xml:space="preserve">Island on the Tully River transect) </w:t>
      </w:r>
      <w:r w:rsidR="00F35F5D">
        <w:rPr>
          <w:lang w:val="en-AU"/>
        </w:rPr>
        <w:t>were</w:t>
      </w:r>
      <w:r w:rsidR="00CD24D2" w:rsidRPr="008B7228">
        <w:rPr>
          <w:lang w:val="en-AU"/>
        </w:rPr>
        <w:t xml:space="preserve"> </w:t>
      </w:r>
      <w:r>
        <w:rPr>
          <w:lang w:val="en-AU"/>
        </w:rPr>
        <w:t>still</w:t>
      </w:r>
      <w:r w:rsidR="0059608E" w:rsidRPr="008B7228">
        <w:rPr>
          <w:lang w:val="en-AU"/>
        </w:rPr>
        <w:t xml:space="preserve"> </w:t>
      </w:r>
      <w:r>
        <w:rPr>
          <w:lang w:val="en-AU"/>
        </w:rPr>
        <w:t>elevated</w:t>
      </w:r>
      <w:r w:rsidR="0059608E" w:rsidRPr="008B7228">
        <w:rPr>
          <w:lang w:val="en-AU"/>
        </w:rPr>
        <w:t xml:space="preserve"> when compared to pre-event concentrations. </w:t>
      </w:r>
      <w:r w:rsidR="00F35F5D">
        <w:rPr>
          <w:lang w:val="en-AU"/>
        </w:rPr>
        <w:t xml:space="preserve">The profiles of pesticides were highly </w:t>
      </w:r>
      <w:r w:rsidR="00A3516B">
        <w:rPr>
          <w:lang w:val="en-AU"/>
        </w:rPr>
        <w:t>similar</w:t>
      </w:r>
      <w:r w:rsidR="00F35F5D">
        <w:rPr>
          <w:lang w:val="en-AU"/>
        </w:rPr>
        <w:t xml:space="preserve"> between the river mouths and the offshore locations, </w:t>
      </w:r>
      <w:r w:rsidR="00A3516B">
        <w:rPr>
          <w:lang w:val="en-AU"/>
        </w:rPr>
        <w:t>consistent with</w:t>
      </w:r>
      <w:r w:rsidR="001E1CDD">
        <w:rPr>
          <w:lang w:val="en-AU"/>
        </w:rPr>
        <w:t xml:space="preserve"> the</w:t>
      </w:r>
      <w:r w:rsidR="00F35F5D">
        <w:rPr>
          <w:lang w:val="en-AU"/>
        </w:rPr>
        <w:t xml:space="preserve"> </w:t>
      </w:r>
      <w:r w:rsidR="001E1CDD">
        <w:rPr>
          <w:lang w:val="en-AU"/>
        </w:rPr>
        <w:t>adjacent river catchmen</w:t>
      </w:r>
      <w:r w:rsidR="00F35F5D">
        <w:rPr>
          <w:lang w:val="en-AU"/>
        </w:rPr>
        <w:t xml:space="preserve">t </w:t>
      </w:r>
      <w:r w:rsidR="00A3516B">
        <w:rPr>
          <w:lang w:val="en-AU"/>
        </w:rPr>
        <w:t>being</w:t>
      </w:r>
      <w:r w:rsidR="001E1CDD">
        <w:rPr>
          <w:lang w:val="en-AU"/>
        </w:rPr>
        <w:t xml:space="preserve"> </w:t>
      </w:r>
      <w:r w:rsidR="00F35F5D">
        <w:rPr>
          <w:lang w:val="en-AU"/>
        </w:rPr>
        <w:t>the primary source of the pesticides obs</w:t>
      </w:r>
      <w:r w:rsidR="001E1CDD">
        <w:rPr>
          <w:lang w:val="en-AU"/>
        </w:rPr>
        <w:t xml:space="preserve">erved </w:t>
      </w:r>
      <w:r w:rsidR="003A1DCE">
        <w:rPr>
          <w:lang w:val="en-AU"/>
        </w:rPr>
        <w:t>in the nearshore environment</w:t>
      </w:r>
      <w:r w:rsidR="00F35F5D">
        <w:rPr>
          <w:lang w:val="en-AU"/>
        </w:rPr>
        <w:t>.</w:t>
      </w:r>
    </w:p>
    <w:p w14:paraId="15721031" w14:textId="77777777" w:rsidR="009A0502" w:rsidRDefault="009A0502" w:rsidP="00015606">
      <w:pPr>
        <w:spacing w:line="276" w:lineRule="auto"/>
        <w:rPr>
          <w:lang w:val="en-AU"/>
        </w:rPr>
      </w:pPr>
    </w:p>
    <w:p w14:paraId="15721032" w14:textId="71CFD741" w:rsidR="00C122DC" w:rsidRDefault="00165BFA" w:rsidP="00015606">
      <w:pPr>
        <w:spacing w:line="276" w:lineRule="auto"/>
        <w:rPr>
          <w:lang w:val="en-AU"/>
        </w:rPr>
      </w:pPr>
      <w:r w:rsidRPr="008B7228">
        <w:rPr>
          <w:lang w:val="en-AU"/>
        </w:rPr>
        <w:t xml:space="preserve">In some catchments, the concentrations of </w:t>
      </w:r>
      <w:r w:rsidR="00A3516B">
        <w:rPr>
          <w:lang w:val="en-AU"/>
        </w:rPr>
        <w:t>pesticides</w:t>
      </w:r>
      <w:r w:rsidRPr="008B7228">
        <w:rPr>
          <w:lang w:val="en-AU"/>
        </w:rPr>
        <w:t xml:space="preserve"> are more constantly elevated, such </w:t>
      </w:r>
      <w:r w:rsidR="00A3516B">
        <w:rPr>
          <w:lang w:val="en-AU"/>
        </w:rPr>
        <w:t xml:space="preserve">as </w:t>
      </w:r>
      <w:r w:rsidRPr="008B7228">
        <w:rPr>
          <w:lang w:val="en-AU"/>
        </w:rPr>
        <w:t xml:space="preserve">at Barratta Creek where flow is less seasonally driven. </w:t>
      </w:r>
      <w:r w:rsidR="001E1CDD">
        <w:rPr>
          <w:lang w:val="en-AU"/>
        </w:rPr>
        <w:t>In 2015-16, pesticides were not detected at either</w:t>
      </w:r>
      <w:r w:rsidR="00C122DC">
        <w:rPr>
          <w:lang w:val="en-AU"/>
        </w:rPr>
        <w:t xml:space="preserve"> the Barratta Creek or</w:t>
      </w:r>
      <w:r w:rsidR="001E1CDD">
        <w:rPr>
          <w:lang w:val="en-AU"/>
        </w:rPr>
        <w:t xml:space="preserve"> Burdekin River mouths until </w:t>
      </w:r>
      <w:r w:rsidR="00B8401D">
        <w:rPr>
          <w:lang w:val="en-AU"/>
        </w:rPr>
        <w:t xml:space="preserve">very </w:t>
      </w:r>
      <w:r w:rsidR="001E1CDD">
        <w:rPr>
          <w:lang w:val="en-AU"/>
        </w:rPr>
        <w:t>high flow events late</w:t>
      </w:r>
      <w:r w:rsidR="003A1DCE">
        <w:rPr>
          <w:lang w:val="en-AU"/>
        </w:rPr>
        <w:t>r</w:t>
      </w:r>
      <w:r w:rsidR="001E1CDD">
        <w:rPr>
          <w:lang w:val="en-AU"/>
        </w:rPr>
        <w:t xml:space="preserve"> in the wet season, </w:t>
      </w:r>
      <w:r w:rsidR="00C122DC">
        <w:rPr>
          <w:lang w:val="en-AU"/>
        </w:rPr>
        <w:t>and no distinctive first flu</w:t>
      </w:r>
      <w:r w:rsidR="001E1CDD">
        <w:rPr>
          <w:lang w:val="en-AU"/>
        </w:rPr>
        <w:t xml:space="preserve">sh with the first high flow of the </w:t>
      </w:r>
      <w:r w:rsidR="00A11598">
        <w:rPr>
          <w:lang w:val="en-AU"/>
        </w:rPr>
        <w:t>year</w:t>
      </w:r>
      <w:r w:rsidR="00C122DC">
        <w:rPr>
          <w:lang w:val="en-AU"/>
        </w:rPr>
        <w:t xml:space="preserve"> was evident</w:t>
      </w:r>
      <w:r w:rsidR="001E1CDD">
        <w:rPr>
          <w:lang w:val="en-AU"/>
        </w:rPr>
        <w:t>.</w:t>
      </w:r>
      <w:r w:rsidR="00C122DC">
        <w:rPr>
          <w:lang w:val="en-AU"/>
        </w:rPr>
        <w:t xml:space="preserve"> </w:t>
      </w:r>
      <w:r w:rsidR="00B8401D">
        <w:rPr>
          <w:lang w:val="en-AU"/>
        </w:rPr>
        <w:lastRenderedPageBreak/>
        <w:t xml:space="preserve">This is consistent with a more constant flow and related discharge throughout the </w:t>
      </w:r>
      <w:r w:rsidR="00A11598">
        <w:rPr>
          <w:lang w:val="en-AU"/>
        </w:rPr>
        <w:t>year</w:t>
      </w:r>
      <w:r w:rsidR="00B8401D">
        <w:rPr>
          <w:lang w:val="en-AU"/>
        </w:rPr>
        <w:t xml:space="preserve">. </w:t>
      </w:r>
      <w:r w:rsidR="00C122DC">
        <w:rPr>
          <w:lang w:val="en-AU"/>
        </w:rPr>
        <w:t>The pesticide levels in grab samples from both these river mouths were similar</w:t>
      </w:r>
      <w:r w:rsidR="00A11598">
        <w:rPr>
          <w:lang w:val="en-AU"/>
        </w:rPr>
        <w:t xml:space="preserve"> (low category 4)</w:t>
      </w:r>
      <w:r w:rsidR="00C122DC">
        <w:rPr>
          <w:lang w:val="en-AU"/>
        </w:rPr>
        <w:t>, despite lower annual loads discharged from the Burdekin</w:t>
      </w:r>
      <w:r w:rsidR="003A1DCE">
        <w:rPr>
          <w:lang w:val="en-AU"/>
        </w:rPr>
        <w:t xml:space="preserve"> River catchment</w:t>
      </w:r>
      <w:r w:rsidR="00A11598">
        <w:rPr>
          <w:lang w:val="en-AU"/>
        </w:rPr>
        <w:t>,</w:t>
      </w:r>
      <w:r w:rsidR="00B8401D">
        <w:rPr>
          <w:lang w:val="en-AU"/>
        </w:rPr>
        <w:t xml:space="preserve"> and were highly localised to the main flow channels in the river mouth.</w:t>
      </w:r>
    </w:p>
    <w:p w14:paraId="15721033" w14:textId="77777777" w:rsidR="00C122DC" w:rsidRDefault="00C122DC" w:rsidP="00015606">
      <w:pPr>
        <w:spacing w:line="276" w:lineRule="auto"/>
        <w:rPr>
          <w:lang w:val="en-AU"/>
        </w:rPr>
      </w:pPr>
    </w:p>
    <w:p w14:paraId="15721034" w14:textId="2AA024AA" w:rsidR="00304720" w:rsidRDefault="0059608E" w:rsidP="00015606">
      <w:pPr>
        <w:spacing w:line="276" w:lineRule="auto"/>
        <w:rPr>
          <w:lang w:val="en-AU"/>
        </w:rPr>
      </w:pPr>
      <w:r w:rsidRPr="008B7228">
        <w:rPr>
          <w:lang w:val="en-AU"/>
        </w:rPr>
        <w:t xml:space="preserve">Whilst the frequency and intensity of concentration pulses </w:t>
      </w:r>
      <w:r w:rsidR="00C122DC">
        <w:rPr>
          <w:lang w:val="en-AU"/>
        </w:rPr>
        <w:t xml:space="preserve">associated with high flow river events </w:t>
      </w:r>
      <w:r w:rsidRPr="008B7228">
        <w:rPr>
          <w:lang w:val="en-AU"/>
        </w:rPr>
        <w:t>are reduced with distance</w:t>
      </w:r>
      <w:r w:rsidR="00165BFA" w:rsidRPr="008B7228">
        <w:rPr>
          <w:lang w:val="en-AU"/>
        </w:rPr>
        <w:t xml:space="preserve"> from river sources</w:t>
      </w:r>
      <w:r w:rsidRPr="008B7228">
        <w:rPr>
          <w:lang w:val="en-AU"/>
        </w:rPr>
        <w:t>, low-level chronic</w:t>
      </w:r>
      <w:r w:rsidR="003A1DCE">
        <w:rPr>
          <w:lang w:val="en-AU"/>
        </w:rPr>
        <w:t xml:space="preserve"> exposure of herbicides in near</w:t>
      </w:r>
      <w:r w:rsidRPr="008B7228">
        <w:rPr>
          <w:lang w:val="en-AU"/>
        </w:rPr>
        <w:t>shore marine areas</w:t>
      </w:r>
      <w:r w:rsidR="004D2460" w:rsidRPr="008B7228">
        <w:rPr>
          <w:lang w:val="en-AU"/>
        </w:rPr>
        <w:t xml:space="preserve"> as demonstrated in this MMP</w:t>
      </w:r>
      <w:r w:rsidRPr="008B7228">
        <w:rPr>
          <w:lang w:val="en-AU"/>
        </w:rPr>
        <w:t xml:space="preserve"> may still have significant impacts </w:t>
      </w:r>
      <w:r w:rsidR="00C122DC">
        <w:rPr>
          <w:lang w:val="en-AU"/>
        </w:rPr>
        <w:t>at the receiving environments. Effects may include</w:t>
      </w:r>
      <w:r w:rsidRPr="008B7228">
        <w:rPr>
          <w:lang w:val="en-AU"/>
        </w:rPr>
        <w:t xml:space="preserve"> changes in microbial communities</w:t>
      </w:r>
      <w:r w:rsidR="00D37225" w:rsidRPr="008B7228">
        <w:rPr>
          <w:lang w:val="en-AU"/>
        </w:rPr>
        <w:t xml:space="preserve"> </w:t>
      </w:r>
      <w:r w:rsidR="00C91BF5" w:rsidRPr="008B7228">
        <w:rPr>
          <w:lang w:val="en-AU"/>
        </w:rPr>
        <w:fldChar w:fldCharType="begin"/>
      </w:r>
      <w:r w:rsidR="009D4492">
        <w:rPr>
          <w:lang w:val="en-AU"/>
        </w:rPr>
        <w:instrText xml:space="preserve"> ADDIN EN.CITE &lt;EndNote&gt;&lt;Cite&gt;&lt;Author&gt;Magnusson&lt;/Author&gt;&lt;Year&gt;2012&lt;/Year&gt;&lt;RecNum&gt;63&lt;/RecNum&gt;&lt;DisplayText&gt;(Magnusson et al., 2012)&lt;/DisplayText&gt;&lt;record&gt;&lt;rec-number&gt;63&lt;/rec-number&gt;&lt;foreign-keys&gt;&lt;key app="EN" db-id="vvtrt2pt4xpx5teta99vvtwg50vzve2aexae" timestamp="1493157405"&gt;63&lt;/key&gt;&lt;/foreign-keys&gt;&lt;ref-type name="Journal Article"&gt;17&lt;/ref-type&gt;&lt;contributors&gt;&lt;authors&gt;&lt;author&gt;Magnusson, Marie&lt;/author&gt;&lt;author&gt;Heimann, Kirsten&lt;/author&gt;&lt;author&gt;Ridd, Michael&lt;/author&gt;&lt;author&gt;Negri, Andrew P&lt;/author&gt;&lt;/authors&gt;&lt;/contributors&gt;&lt;titles&gt;&lt;title&gt;Chronic herbicide exposures affect the sensitivity and community structure of tropical benthic microalgae&lt;/title&gt;&lt;secondary-title&gt;Marine pollution bulletin&lt;/secondary-title&gt;&lt;/titles&gt;&lt;periodical&gt;&lt;full-title&gt;Marine pollution bulletin&lt;/full-title&gt;&lt;/periodical&gt;&lt;pages&gt;363-372&lt;/pages&gt;&lt;volume&gt;65&lt;/volume&gt;&lt;number&gt;4&lt;/number&gt;&lt;dates&gt;&lt;year&gt;2012&lt;/year&gt;&lt;/dates&gt;&lt;isbn&gt;0025-326X&lt;/isbn&gt;&lt;urls&gt;&lt;/urls&gt;&lt;/record&gt;&lt;/Cite&gt;&lt;/EndNote&gt;</w:instrText>
      </w:r>
      <w:r w:rsidR="00C91BF5" w:rsidRPr="008B7228">
        <w:rPr>
          <w:lang w:val="en-AU"/>
        </w:rPr>
        <w:fldChar w:fldCharType="separate"/>
      </w:r>
      <w:r w:rsidR="009D4492">
        <w:rPr>
          <w:noProof/>
          <w:lang w:val="en-AU"/>
        </w:rPr>
        <w:t>(Magnusson et al., 2012)</w:t>
      </w:r>
      <w:r w:rsidR="00C91BF5" w:rsidRPr="008B7228">
        <w:rPr>
          <w:lang w:val="en-AU"/>
        </w:rPr>
        <w:fldChar w:fldCharType="end"/>
      </w:r>
      <w:r w:rsidRPr="008B7228">
        <w:rPr>
          <w:lang w:val="en-AU"/>
        </w:rPr>
        <w:t xml:space="preserve">, </w:t>
      </w:r>
      <w:r w:rsidR="0070256E">
        <w:rPr>
          <w:lang w:val="en-AU"/>
        </w:rPr>
        <w:t xml:space="preserve">negative </w:t>
      </w:r>
      <w:r w:rsidRPr="008B7228">
        <w:rPr>
          <w:lang w:val="en-AU"/>
        </w:rPr>
        <w:t>effects on seagrass energetics and growth</w:t>
      </w:r>
      <w:r w:rsidR="0030520A" w:rsidRPr="008B7228">
        <w:rPr>
          <w:lang w:val="en-AU"/>
        </w:rPr>
        <w:t xml:space="preserve"> </w:t>
      </w:r>
      <w:r w:rsidR="00C91BF5" w:rsidRPr="008B7228">
        <w:rPr>
          <w:lang w:val="en-AU"/>
        </w:rPr>
        <w:fldChar w:fldCharType="begin"/>
      </w:r>
      <w:r w:rsidR="009D4492">
        <w:rPr>
          <w:lang w:val="en-AU"/>
        </w:rPr>
        <w:instrText xml:space="preserve"> ADDIN EN.CITE &lt;EndNote&gt;&lt;Cite&gt;&lt;Author&gt;Negri&lt;/Author&gt;&lt;Year&gt;2015&lt;/Year&gt;&lt;RecNum&gt;64&lt;/RecNum&gt;&lt;DisplayText&gt;(Negri et al., 2015)&lt;/DisplayText&gt;&lt;record&gt;&lt;rec-number&gt;64&lt;/rec-number&gt;&lt;foreign-keys&gt;&lt;key app="EN" db-id="vvtrt2pt4xpx5teta99vvtwg50vzve2aexae" timestamp="1493157407"&gt;64&lt;/key&gt;&lt;/foreign-keys&gt;&lt;ref-type name="Journal Article"&gt;17&lt;/ref-type&gt;&lt;contributors&gt;&lt;authors&gt;&lt;author&gt;Negri, Andrew P&lt;/author&gt;&lt;author&gt;Flores, Florita&lt;/author&gt;&lt;author&gt;Mercurio, Phil&lt;/author&gt;&lt;author&gt;Mueller, Jochen F&lt;/author&gt;&lt;author&gt;Collier, Catherine J&lt;/author&gt;&lt;/authors&gt;&lt;/contributors&gt;&lt;titles&gt;&lt;title&gt;Lethal and sub-lethal chronic effects of the herbicide diuron on seagrass&lt;/title&gt;&lt;secondary-title&gt;Aquatic Toxicology&lt;/secondary-title&gt;&lt;/titles&gt;&lt;periodical&gt;&lt;full-title&gt;Aquatic Toxicology&lt;/full-title&gt;&lt;/periodical&gt;&lt;pages&gt;73-83&lt;/pages&gt;&lt;volume&gt;165&lt;/volume&gt;&lt;dates&gt;&lt;year&gt;2015&lt;/year&gt;&lt;/dates&gt;&lt;isbn&gt;0166-445X&lt;/isbn&gt;&lt;urls&gt;&lt;/urls&gt;&lt;/record&gt;&lt;/Cite&gt;&lt;/EndNote&gt;</w:instrText>
      </w:r>
      <w:r w:rsidR="00C91BF5" w:rsidRPr="008B7228">
        <w:rPr>
          <w:lang w:val="en-AU"/>
        </w:rPr>
        <w:fldChar w:fldCharType="separate"/>
      </w:r>
      <w:r w:rsidR="009D4492">
        <w:rPr>
          <w:noProof/>
          <w:lang w:val="en-AU"/>
        </w:rPr>
        <w:t>(Negri et al., 2015)</w:t>
      </w:r>
      <w:r w:rsidR="00C91BF5" w:rsidRPr="008B7228">
        <w:rPr>
          <w:lang w:val="en-AU"/>
        </w:rPr>
        <w:fldChar w:fldCharType="end"/>
      </w:r>
      <w:r w:rsidRPr="008B7228">
        <w:rPr>
          <w:lang w:val="en-AU"/>
        </w:rPr>
        <w:t xml:space="preserve">, </w:t>
      </w:r>
      <w:r w:rsidR="0070256E">
        <w:rPr>
          <w:lang w:val="en-AU"/>
        </w:rPr>
        <w:t xml:space="preserve">as well as </w:t>
      </w:r>
      <w:r w:rsidRPr="008B7228">
        <w:rPr>
          <w:lang w:val="en-AU"/>
        </w:rPr>
        <w:t xml:space="preserve">reduced </w:t>
      </w:r>
      <w:r w:rsidR="000A4BE1" w:rsidRPr="008B7228">
        <w:rPr>
          <w:lang w:val="en-AU"/>
        </w:rPr>
        <w:t xml:space="preserve">photosynthesis and </w:t>
      </w:r>
      <w:r w:rsidRPr="008B7228">
        <w:rPr>
          <w:lang w:val="en-AU"/>
        </w:rPr>
        <w:t>reproductive output of corals</w:t>
      </w:r>
      <w:r w:rsidR="00CD6549" w:rsidRPr="008B7228">
        <w:rPr>
          <w:lang w:val="en-AU"/>
        </w:rPr>
        <w:t xml:space="preserve"> </w:t>
      </w:r>
      <w:r w:rsidR="00C91BF5" w:rsidRPr="008B7228">
        <w:rPr>
          <w:lang w:val="en-AU"/>
        </w:rPr>
        <w:fldChar w:fldCharType="begin"/>
      </w:r>
      <w:r w:rsidR="009D4492">
        <w:rPr>
          <w:lang w:val="en-AU"/>
        </w:rPr>
        <w:instrText xml:space="preserve"> ADDIN EN.CITE &lt;EndNote&gt;&lt;Cite&gt;&lt;Author&gt;Cantin&lt;/Author&gt;&lt;Year&gt;2007&lt;/Year&gt;&lt;RecNum&gt;65&lt;/RecNum&gt;&lt;DisplayText&gt;(Negri et al., 2005, Cantin et al., 2007)&lt;/DisplayText&gt;&lt;record&gt;&lt;rec-number&gt;65&lt;/rec-number&gt;&lt;foreign-keys&gt;&lt;key app="EN" db-id="vvtrt2pt4xpx5teta99vvtwg50vzve2aexae" timestamp="1493157408"&gt;65&lt;/key&gt;&lt;/foreign-keys&gt;&lt;ref-type name="Journal Article"&gt;17&lt;/ref-type&gt;&lt;contributors&gt;&lt;authors&gt;&lt;author&gt;Cantin, Neal E&lt;/author&gt;&lt;author&gt;Negri, Andrew P&lt;/author&gt;&lt;author&gt;Willis, Bette L&lt;/author&gt;&lt;/authors&gt;&lt;/contributors&gt;&lt;titles&gt;&lt;title&gt;Photoinhibition from chronic herbicide exposure reduces reproductive output of reef-building corals&lt;/title&gt;&lt;secondary-title&gt;Marine Ecology Progress Series&lt;/secondary-title&gt;&lt;/titles&gt;&lt;periodical&gt;&lt;full-title&gt;Marine Ecology Progress Series&lt;/full-title&gt;&lt;/periodical&gt;&lt;pages&gt;81-93&lt;/pages&gt;&lt;volume&gt;344&lt;/volume&gt;&lt;dates&gt;&lt;year&gt;2007&lt;/year&gt;&lt;/dates&gt;&lt;isbn&gt;1616-1599&lt;/isbn&gt;&lt;urls&gt;&lt;/urls&gt;&lt;/record&gt;&lt;/Cite&gt;&lt;Cite&gt;&lt;Author&gt;Negri&lt;/Author&gt;&lt;Year&gt;2005&lt;/Year&gt;&lt;RecNum&gt;66&lt;/RecNum&gt;&lt;record&gt;&lt;rec-number&gt;66&lt;/rec-number&gt;&lt;foreign-keys&gt;&lt;key app="EN" db-id="vvtrt2pt4xpx5teta99vvtwg50vzve2aexae" timestamp="1493157409"&gt;66&lt;/key&gt;&lt;/foreign-keys&gt;&lt;ref-type name="Journal Article"&gt;17&lt;/ref-type&gt;&lt;contributors&gt;&lt;authors&gt;&lt;author&gt;Negri, Andrew&lt;/author&gt;&lt;author&gt;Vollhardt, Claudia&lt;/author&gt;&lt;author&gt;Humphrey, Craig&lt;/author&gt;&lt;author&gt;Heyward, Andrew&lt;/author&gt;&lt;author&gt;Jones, Ross&lt;/author&gt;&lt;author&gt;Eaglesham, Geoff&lt;/author&gt;&lt;author&gt;Fabricius, Katharina&lt;/author&gt;&lt;/authors&gt;&lt;/contributors&gt;&lt;titles&gt;&lt;title&gt;Effects of the herbicide diuron on the early life history stages of coral&lt;/title&gt;&lt;secondary-title&gt;Marine Pollution Bulletin&lt;/secondary-title&gt;&lt;/titles&gt;&lt;periodical&gt;&lt;full-title&gt;Marine pollution bulletin&lt;/full-title&gt;&lt;/periodical&gt;&lt;pages&gt;370-383&lt;/pages&gt;&lt;volume&gt;51&lt;/volume&gt;&lt;number&gt;1&lt;/number&gt;&lt;dates&gt;&lt;year&gt;2005&lt;/year&gt;&lt;/dates&gt;&lt;isbn&gt;0025-326X&lt;/isbn&gt;&lt;urls&gt;&lt;/urls&gt;&lt;/record&gt;&lt;/Cite&gt;&lt;/EndNote&gt;</w:instrText>
      </w:r>
      <w:r w:rsidR="00C91BF5" w:rsidRPr="008B7228">
        <w:rPr>
          <w:lang w:val="en-AU"/>
        </w:rPr>
        <w:fldChar w:fldCharType="separate"/>
      </w:r>
      <w:r w:rsidR="009D4492">
        <w:rPr>
          <w:noProof/>
          <w:lang w:val="en-AU"/>
        </w:rPr>
        <w:t>(Negri et al., 2005, Cantin et al., 2007)</w:t>
      </w:r>
      <w:r w:rsidR="00C91BF5" w:rsidRPr="008B7228">
        <w:rPr>
          <w:lang w:val="en-AU"/>
        </w:rPr>
        <w:fldChar w:fldCharType="end"/>
      </w:r>
      <w:r w:rsidR="0070256E">
        <w:rPr>
          <w:lang w:val="en-AU"/>
        </w:rPr>
        <w:t xml:space="preserve"> and other Reef/</w:t>
      </w:r>
      <w:r w:rsidR="00F1201F" w:rsidRPr="008B7228">
        <w:rPr>
          <w:lang w:val="en-AU"/>
        </w:rPr>
        <w:t>tropical photosynthetic species</w:t>
      </w:r>
      <w:r w:rsidR="000D05E0" w:rsidRPr="008B7228">
        <w:rPr>
          <w:lang w:val="en-AU"/>
        </w:rPr>
        <w:t xml:space="preserve">. </w:t>
      </w:r>
      <w:r w:rsidR="0070256E">
        <w:rPr>
          <w:lang w:val="en-AU"/>
        </w:rPr>
        <w:t xml:space="preserve">Furthermore, </w:t>
      </w:r>
      <w:r w:rsidR="002E50D5" w:rsidRPr="008B7228">
        <w:rPr>
          <w:lang w:val="en-AU"/>
        </w:rPr>
        <w:t>cumulative</w:t>
      </w:r>
      <w:r w:rsidR="00216278" w:rsidRPr="008B7228">
        <w:rPr>
          <w:lang w:val="en-AU"/>
        </w:rPr>
        <w:t xml:space="preserve"> impacts of herbicide exposure and other external stressors (such as rising sea surface temperature) </w:t>
      </w:r>
      <w:r w:rsidR="006A5ED0" w:rsidRPr="008B7228">
        <w:rPr>
          <w:lang w:val="en-AU"/>
        </w:rPr>
        <w:t>have been demonstrated and are likely to increase</w:t>
      </w:r>
      <w:r w:rsidR="00454ECC" w:rsidRPr="008B7228">
        <w:rPr>
          <w:lang w:val="en-AU"/>
        </w:rPr>
        <w:t xml:space="preserve"> </w:t>
      </w:r>
      <w:r w:rsidR="001F6F89" w:rsidRPr="008B7228">
        <w:rPr>
          <w:lang w:val="en-AU"/>
        </w:rPr>
        <w:t xml:space="preserve">in the future based on current climate trends </w:t>
      </w:r>
      <w:r w:rsidR="00C91BF5" w:rsidRPr="008B7228">
        <w:rPr>
          <w:lang w:val="en-AU"/>
        </w:rPr>
        <w:fldChar w:fldCharType="begin">
          <w:fldData xml:space="preserve">PEVuZE5vdGU+PENpdGU+PEF1dGhvcj5OZWdyaTwvQXV0aG9yPjxZZWFyPjIwMTE8L1llYXI+PFJl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</w:fldData>
        </w:fldChar>
      </w:r>
      <w:r w:rsidR="009D4492">
        <w:rPr>
          <w:lang w:val="en-AU"/>
        </w:rPr>
        <w:instrText xml:space="preserve"> ADDIN EN.CITE </w:instrText>
      </w:r>
      <w:r w:rsidR="009D4492">
        <w:rPr>
          <w:lang w:val="en-AU"/>
        </w:rPr>
        <w:fldChar w:fldCharType="begin">
          <w:fldData xml:space="preserve">PEVuZE5vdGU+PENpdGU+PEF1dGhvcj5OZWdyaTwvQXV0aG9yPjxZZWFyPjIwMTE8L1llYXI+PFJl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</w:fldData>
        </w:fldChar>
      </w:r>
      <w:r w:rsidR="009D4492">
        <w:rPr>
          <w:lang w:val="en-AU"/>
        </w:rPr>
        <w:instrText xml:space="preserve"> ADDIN EN.CITE.DATA </w:instrText>
      </w:r>
      <w:r w:rsidR="009D4492">
        <w:rPr>
          <w:lang w:val="en-AU"/>
        </w:rPr>
      </w:r>
      <w:r w:rsidR="009D4492">
        <w:rPr>
          <w:lang w:val="en-AU"/>
        </w:rPr>
        <w:fldChar w:fldCharType="end"/>
      </w:r>
      <w:r w:rsidR="00C91BF5" w:rsidRPr="008B7228">
        <w:rPr>
          <w:lang w:val="en-AU"/>
        </w:rPr>
      </w:r>
      <w:r w:rsidR="00C91BF5" w:rsidRPr="008B7228">
        <w:rPr>
          <w:lang w:val="en-AU"/>
        </w:rPr>
        <w:fldChar w:fldCharType="separate"/>
      </w:r>
      <w:r w:rsidR="009D4492">
        <w:rPr>
          <w:noProof/>
          <w:lang w:val="en-AU"/>
        </w:rPr>
        <w:t>(Negri et al., 2011, van Dam, 2012, van Dam et al., 2012)</w:t>
      </w:r>
      <w:r w:rsidR="00C91BF5" w:rsidRPr="008B7228">
        <w:rPr>
          <w:lang w:val="en-AU"/>
        </w:rPr>
        <w:fldChar w:fldCharType="end"/>
      </w:r>
      <w:r w:rsidR="00304720" w:rsidRPr="008B7228">
        <w:rPr>
          <w:lang w:val="en-AU"/>
        </w:rPr>
        <w:t>.</w:t>
      </w:r>
      <w:r w:rsidR="006A5ED0" w:rsidRPr="008B7228">
        <w:rPr>
          <w:lang w:val="en-AU"/>
        </w:rPr>
        <w:t xml:space="preserve"> These interactions reemphasise the importance of programs such as Reef Plan and the MMP in </w:t>
      </w:r>
      <w:r w:rsidR="00331023" w:rsidRPr="008B7228">
        <w:rPr>
          <w:lang w:val="en-AU"/>
        </w:rPr>
        <w:t>implementing effe</w:t>
      </w:r>
      <w:r w:rsidR="006B4A8A" w:rsidRPr="008B7228">
        <w:rPr>
          <w:lang w:val="en-AU"/>
        </w:rPr>
        <w:t xml:space="preserve">ctive land management practices </w:t>
      </w:r>
      <w:r w:rsidR="001F6F89" w:rsidRPr="008B7228">
        <w:rPr>
          <w:lang w:val="en-AU"/>
        </w:rPr>
        <w:t xml:space="preserve">and </w:t>
      </w:r>
      <w:r w:rsidR="007E638C" w:rsidRPr="008B7228">
        <w:rPr>
          <w:lang w:val="en-AU"/>
        </w:rPr>
        <w:t>measuring</w:t>
      </w:r>
      <w:r w:rsidR="001F6F89" w:rsidRPr="008B7228">
        <w:rPr>
          <w:lang w:val="en-AU"/>
        </w:rPr>
        <w:t xml:space="preserve"> the </w:t>
      </w:r>
      <w:r w:rsidR="00ED0501" w:rsidRPr="008B7228">
        <w:rPr>
          <w:lang w:val="en-AU"/>
        </w:rPr>
        <w:t xml:space="preserve">resulting </w:t>
      </w:r>
      <w:r w:rsidR="007E638C" w:rsidRPr="008B7228">
        <w:rPr>
          <w:lang w:val="en-AU"/>
        </w:rPr>
        <w:t>trends in</w:t>
      </w:r>
      <w:r w:rsidR="00857BB3" w:rsidRPr="008B7228">
        <w:rPr>
          <w:lang w:val="en-AU"/>
        </w:rPr>
        <w:t xml:space="preserve"> water quality</w:t>
      </w:r>
      <w:r w:rsidR="00B8401D">
        <w:rPr>
          <w:lang w:val="en-AU"/>
        </w:rPr>
        <w:t xml:space="preserve"> to</w:t>
      </w:r>
      <w:r w:rsidR="00ED0501" w:rsidRPr="008B7228">
        <w:rPr>
          <w:lang w:val="en-AU"/>
        </w:rPr>
        <w:t xml:space="preserve"> protect </w:t>
      </w:r>
      <w:r w:rsidR="006B4A8A" w:rsidRPr="008B7228">
        <w:rPr>
          <w:lang w:val="en-AU"/>
        </w:rPr>
        <w:t>sensit</w:t>
      </w:r>
      <w:r w:rsidR="00875ED1" w:rsidRPr="008B7228">
        <w:rPr>
          <w:lang w:val="en-AU"/>
        </w:rPr>
        <w:t>ive marine organism</w:t>
      </w:r>
      <w:r w:rsidR="00ED0501" w:rsidRPr="008B7228">
        <w:rPr>
          <w:lang w:val="en-AU"/>
        </w:rPr>
        <w:t>s</w:t>
      </w:r>
      <w:r w:rsidR="00875ED1" w:rsidRPr="008B7228">
        <w:rPr>
          <w:lang w:val="en-AU"/>
        </w:rPr>
        <w:t xml:space="preserve"> against</w:t>
      </w:r>
      <w:r w:rsidR="00ED0501" w:rsidRPr="008B7228">
        <w:rPr>
          <w:lang w:val="en-AU"/>
        </w:rPr>
        <w:t xml:space="preserve"> the consequences of</w:t>
      </w:r>
      <w:r w:rsidR="00875ED1" w:rsidRPr="008B7228">
        <w:rPr>
          <w:lang w:val="en-AU"/>
        </w:rPr>
        <w:t xml:space="preserve"> global stressors such as climate change.</w:t>
      </w:r>
    </w:p>
    <w:p w14:paraId="15721035" w14:textId="77777777" w:rsidR="0059608E" w:rsidRDefault="0059608E" w:rsidP="00015606">
      <w:pPr>
        <w:spacing w:line="276" w:lineRule="auto"/>
        <w:rPr>
          <w:lang w:val="en-AU"/>
        </w:rPr>
      </w:pPr>
      <w:bookmarkStart w:id="694" w:name="_Toc455069481"/>
      <w:bookmarkStart w:id="695" w:name="_Toc455070131"/>
      <w:bookmarkStart w:id="696" w:name="_Toc455070403"/>
      <w:bookmarkStart w:id="697" w:name="_Toc455151790"/>
      <w:bookmarkStart w:id="698" w:name="_Toc455069483"/>
      <w:bookmarkStart w:id="699" w:name="_Toc455070133"/>
      <w:bookmarkStart w:id="700" w:name="_Toc455070405"/>
      <w:bookmarkStart w:id="701" w:name="_Toc455151792"/>
      <w:bookmarkStart w:id="702" w:name="_Toc455069484"/>
      <w:bookmarkStart w:id="703" w:name="_Toc455070134"/>
      <w:bookmarkStart w:id="704" w:name="_Toc455070406"/>
      <w:bookmarkStart w:id="705" w:name="_Toc455151793"/>
      <w:bookmarkStart w:id="706" w:name="_Toc455069487"/>
      <w:bookmarkStart w:id="707" w:name="_Toc455070137"/>
      <w:bookmarkStart w:id="708" w:name="_Toc455070409"/>
      <w:bookmarkStart w:id="709" w:name="_Toc455151796"/>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p w14:paraId="15721036" w14:textId="1C6C62C9" w:rsidR="00CC6412" w:rsidRDefault="00E74200" w:rsidP="00CC6412">
      <w:pPr>
        <w:spacing w:line="276" w:lineRule="auto"/>
      </w:pPr>
      <w:r>
        <w:rPr>
          <w:b/>
          <w:lang w:val="en-AU" w:eastAsia="en-AU"/>
        </w:rPr>
        <w:t>F</w:t>
      </w:r>
      <w:r w:rsidR="00DB7E43">
        <w:rPr>
          <w:b/>
          <w:lang w:val="en-AU" w:eastAsia="en-AU"/>
        </w:rPr>
        <w:t>uture directions</w:t>
      </w:r>
      <w:r w:rsidR="00CC6412">
        <w:rPr>
          <w:lang w:val="en-AU" w:eastAsia="en-AU"/>
        </w:rPr>
        <w:t xml:space="preserve">. Land use in the </w:t>
      </w:r>
      <w:r w:rsidR="00CC6412">
        <w:t xml:space="preserve">Reef </w:t>
      </w:r>
      <w:r w:rsidR="00CC6412">
        <w:rPr>
          <w:lang w:val="en-AU" w:eastAsia="en-AU"/>
        </w:rPr>
        <w:t>catchments continues to change, and thus the impacts of these activities on the s</w:t>
      </w:r>
      <w:r w:rsidR="00B8401D">
        <w:rPr>
          <w:lang w:val="en-AU" w:eastAsia="en-AU"/>
        </w:rPr>
        <w:t>urrounding environment are dynamic</w:t>
      </w:r>
      <w:r w:rsidR="00CC6412">
        <w:rPr>
          <w:lang w:val="en-AU" w:eastAsia="en-AU"/>
        </w:rPr>
        <w:t xml:space="preserve">. With changing land use, it is likely that changes in both the amounts and types of agricultural </w:t>
      </w:r>
      <w:r w:rsidR="00A3516B">
        <w:rPr>
          <w:lang w:val="en-AU" w:eastAsia="en-AU"/>
        </w:rPr>
        <w:t>pesticides</w:t>
      </w:r>
      <w:r w:rsidR="00CC6412">
        <w:rPr>
          <w:lang w:val="en-AU" w:eastAsia="en-AU"/>
        </w:rPr>
        <w:t xml:space="preserve"> being used, as well as the timing and methods of application</w:t>
      </w:r>
      <w:r w:rsidR="00AC5E39">
        <w:rPr>
          <w:lang w:val="en-AU" w:eastAsia="en-AU"/>
        </w:rPr>
        <w:t>,</w:t>
      </w:r>
      <w:r w:rsidR="00CC6412">
        <w:rPr>
          <w:lang w:val="en-AU" w:eastAsia="en-AU"/>
        </w:rPr>
        <w:t xml:space="preserve"> will influence environmental levels and the level of risk to aquatic marine life. There are no </w:t>
      </w:r>
      <w:r w:rsidR="00B8401D">
        <w:rPr>
          <w:lang w:val="en-AU" w:eastAsia="en-AU"/>
        </w:rPr>
        <w:t>data</w:t>
      </w:r>
      <w:r w:rsidR="00CC6412">
        <w:rPr>
          <w:lang w:val="en-AU" w:eastAsia="en-AU"/>
        </w:rPr>
        <w:t xml:space="preserve"> available for the current local-scale usage of </w:t>
      </w:r>
      <w:r w:rsidR="001D59DA">
        <w:rPr>
          <w:lang w:val="en-AU" w:eastAsia="en-AU"/>
        </w:rPr>
        <w:t>pesticides</w:t>
      </w:r>
      <w:r w:rsidR="00CC6412">
        <w:rPr>
          <w:lang w:val="en-AU" w:eastAsia="en-AU"/>
        </w:rPr>
        <w:t xml:space="preserve"> in the </w:t>
      </w:r>
      <w:r w:rsidR="00CC6412">
        <w:t xml:space="preserve">Reef </w:t>
      </w:r>
      <w:r w:rsidR="00CC6412">
        <w:rPr>
          <w:lang w:val="en-AU" w:eastAsia="en-AU"/>
        </w:rPr>
        <w:t>catchments, apart from limited estimates in the 1990’s and mo</w:t>
      </w:r>
      <w:r w:rsidR="00AC5E39">
        <w:rPr>
          <w:lang w:val="en-AU" w:eastAsia="en-AU"/>
        </w:rPr>
        <w:t>re general estimates from 2008-</w:t>
      </w:r>
      <w:r w:rsidR="00CC6412">
        <w:rPr>
          <w:lang w:val="en-AU" w:eastAsia="en-AU"/>
        </w:rPr>
        <w:t xml:space="preserve">2009 that are unlikely </w:t>
      </w:r>
      <w:r w:rsidR="00AC5E39">
        <w:rPr>
          <w:lang w:val="en-AU" w:eastAsia="en-AU"/>
        </w:rPr>
        <w:t>be relevant to current pesticide usage</w:t>
      </w:r>
      <w:r w:rsidR="00CC6412">
        <w:rPr>
          <w:lang w:val="en-AU" w:eastAsia="en-AU"/>
        </w:rPr>
        <w:t xml:space="preserve"> </w:t>
      </w:r>
      <w:r w:rsidR="00C91BF5">
        <w:rPr>
          <w:lang w:val="en-AU" w:eastAsia="en-AU"/>
        </w:rPr>
        <w:fldChar w:fldCharType="begin"/>
      </w:r>
      <w:r w:rsidR="009D4492">
        <w:rPr>
          <w:lang w:val="en-AU" w:eastAsia="en-AU"/>
        </w:rPr>
        <w:instrText xml:space="preserve"> ADDIN EN.CITE &lt;EndNote&gt;&lt;Cite&gt;&lt;Author&gt;Devlin&lt;/Author&gt;&lt;Year&gt;2015&lt;/Year&gt;&lt;RecNum&gt;10&lt;/RecNum&gt;&lt;DisplayText&gt;(ABS, 2010, Devlin et al., 2015)&lt;/DisplayText&gt;&lt;record&gt;&lt;rec-number&gt;10&lt;/rec-number&gt;&lt;foreign-keys&gt;&lt;key app="EN" db-id="vvtrt2pt4xpx5teta99vvtwg50vzve2aexae" timestamp="1493157338"&gt;10&lt;/key&gt;&lt;/foreign-keys&gt;&lt;ref-type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Cairns.&lt;/pub-location&gt;&lt;urls&gt;&lt;/urls&gt;&lt;/record&gt;&lt;/Cite&gt;&lt;Cite&gt;&lt;Author&gt;ABS&lt;/Author&gt;&lt;Year&gt;2010&lt;/Year&gt;&lt;RecNum&gt;21&lt;/RecNum&gt;&lt;record&gt;&lt;rec-number&gt;21&lt;/rec-number&gt;&lt;foreign-keys&gt;&lt;key app="EN" db-id="vvtrt2pt4xpx5teta99vvtwg50vzve2aexae" timestamp="1493157349"&gt;21&lt;/key&gt;&lt;/foreign-keys&gt;&lt;ref-type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C91BF5">
        <w:rPr>
          <w:lang w:val="en-AU" w:eastAsia="en-AU"/>
        </w:rPr>
        <w:fldChar w:fldCharType="separate"/>
      </w:r>
      <w:r w:rsidR="009D4492">
        <w:rPr>
          <w:noProof/>
          <w:lang w:val="en-AU" w:eastAsia="en-AU"/>
        </w:rPr>
        <w:t>(ABS, 2010, Devlin et al., 2015)</w:t>
      </w:r>
      <w:r w:rsidR="00C91BF5">
        <w:rPr>
          <w:lang w:val="en-AU" w:eastAsia="en-AU"/>
        </w:rPr>
        <w:fldChar w:fldCharType="end"/>
      </w:r>
      <w:r w:rsidR="00CC6412">
        <w:rPr>
          <w:lang w:val="en-AU" w:eastAsia="en-AU"/>
        </w:rPr>
        <w:t xml:space="preserve">. This </w:t>
      </w:r>
      <w:r w:rsidR="00AC5E39">
        <w:rPr>
          <w:lang w:val="en-AU" w:eastAsia="en-AU"/>
        </w:rPr>
        <w:t xml:space="preserve">lack of data </w:t>
      </w:r>
      <w:r w:rsidR="00CC6412">
        <w:rPr>
          <w:lang w:val="en-AU" w:eastAsia="en-AU"/>
        </w:rPr>
        <w:t xml:space="preserve">severely limits assessments of pesticide losses (relative to the amount applied) as well as accurate modelling of pesticide loads at </w:t>
      </w:r>
      <w:r w:rsidR="00AC5E39">
        <w:rPr>
          <w:lang w:val="en-AU" w:eastAsia="en-AU"/>
        </w:rPr>
        <w:t>the</w:t>
      </w:r>
      <w:r w:rsidR="00CC6412">
        <w:rPr>
          <w:lang w:val="en-AU" w:eastAsia="en-AU"/>
        </w:rPr>
        <w:t xml:space="preserve"> catchment scale. </w:t>
      </w:r>
      <w:r w:rsidR="00AC5E39">
        <w:rPr>
          <w:lang w:val="en-AU" w:eastAsia="en-AU"/>
        </w:rPr>
        <w:t>Pesticide u</w:t>
      </w:r>
      <w:r w:rsidR="00CC6412">
        <w:rPr>
          <w:lang w:val="en-AU" w:eastAsia="en-AU"/>
        </w:rPr>
        <w:t xml:space="preserve">sage is </w:t>
      </w:r>
      <w:r w:rsidR="00AC5E39">
        <w:rPr>
          <w:lang w:val="en-AU" w:eastAsia="en-AU"/>
        </w:rPr>
        <w:t>seasonal, crop-specific</w:t>
      </w:r>
      <w:r w:rsidR="00CC6412">
        <w:rPr>
          <w:lang w:val="en-AU" w:eastAsia="en-AU"/>
        </w:rPr>
        <w:t xml:space="preserve"> and can fluctuate yearly based on specific pest pressures, climatic conditions, regulatory action (such as the restriction on diuron use in 2012), use of resistant crop varieties or the development of herbicide resistance in weeds </w:t>
      </w:r>
      <w:r w:rsidR="00C91BF5">
        <w:rPr>
          <w:lang w:val="en-AU" w:eastAsia="en-AU"/>
        </w:rPr>
        <w:fldChar w:fldCharType="begin"/>
      </w:r>
      <w:r w:rsidR="009D4492">
        <w:rPr>
          <w:lang w:val="en-AU" w:eastAsia="en-AU"/>
        </w:rPr>
        <w:instrText xml:space="preserve"> ADDIN EN.CITE &lt;EndNote&gt;&lt;Cite&gt;&lt;Author&gt;Devlin&lt;/Author&gt;&lt;Year&gt;2015&lt;/Year&gt;&lt;RecNum&gt;10&lt;/RecNum&gt;&lt;DisplayText&gt;(Devlin et al., 2015)&lt;/DisplayText&gt;&lt;record&gt;&lt;rec-number&gt;10&lt;/rec-number&gt;&lt;foreign-keys&gt;&lt;key app="EN" db-id="vvtrt2pt4xpx5teta99vvtwg50vzve2aexae" timestamp="1493157338"&gt;10&lt;/key&gt;&lt;/foreign-keys&gt;&lt;ref-type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00C91BF5">
        <w:rPr>
          <w:lang w:val="en-AU" w:eastAsia="en-AU"/>
        </w:rPr>
        <w:fldChar w:fldCharType="separate"/>
      </w:r>
      <w:r w:rsidR="009D4492">
        <w:rPr>
          <w:noProof/>
          <w:lang w:val="en-AU" w:eastAsia="en-AU"/>
        </w:rPr>
        <w:t>(Devlin et al., 2015)</w:t>
      </w:r>
      <w:r w:rsidR="00C91BF5">
        <w:rPr>
          <w:lang w:val="en-AU" w:eastAsia="en-AU"/>
        </w:rPr>
        <w:fldChar w:fldCharType="end"/>
      </w:r>
      <w:r w:rsidR="00CC6412">
        <w:rPr>
          <w:lang w:val="en-AU"/>
        </w:rPr>
        <w:t xml:space="preserve">. </w:t>
      </w:r>
      <w:r w:rsidR="007202F8">
        <w:rPr>
          <w:lang w:val="en-AU" w:eastAsia="en-AU"/>
        </w:rPr>
        <w:t>The currently available information allows only comparison of the types of pesticides being released in</w:t>
      </w:r>
      <w:r w:rsidR="00AC5E39">
        <w:rPr>
          <w:lang w:val="en-AU" w:eastAsia="en-AU"/>
        </w:rPr>
        <w:t xml:space="preserve"> catchment runoff </w:t>
      </w:r>
      <w:r w:rsidR="00CC6412">
        <w:rPr>
          <w:lang w:val="en-AU" w:eastAsia="en-AU"/>
        </w:rPr>
        <w:t xml:space="preserve">(i.e. end-of-catchment loads) and </w:t>
      </w:r>
      <w:r w:rsidR="007202F8">
        <w:rPr>
          <w:lang w:val="en-AU" w:eastAsia="en-AU"/>
        </w:rPr>
        <w:t xml:space="preserve">those pesticides monitored in </w:t>
      </w:r>
      <w:r w:rsidR="00CC6412">
        <w:rPr>
          <w:lang w:val="en-AU" w:eastAsia="en-AU"/>
        </w:rPr>
        <w:t>near shore areas.</w:t>
      </w:r>
      <w:r w:rsidR="007202F8">
        <w:rPr>
          <w:lang w:val="en-AU" w:eastAsia="en-AU"/>
        </w:rPr>
        <w:t xml:space="preserve"> To understand </w:t>
      </w:r>
      <w:r w:rsidR="00A3516B">
        <w:rPr>
          <w:lang w:val="en-AU" w:eastAsia="en-AU"/>
        </w:rPr>
        <w:t xml:space="preserve">the underlying factors driving the </w:t>
      </w:r>
      <w:r w:rsidR="007202F8">
        <w:rPr>
          <w:lang w:val="en-AU" w:eastAsia="en-AU"/>
        </w:rPr>
        <w:t>trends in pesticide levels</w:t>
      </w:r>
      <w:r w:rsidR="00A3516B">
        <w:rPr>
          <w:lang w:val="en-AU" w:eastAsia="en-AU"/>
        </w:rPr>
        <w:t xml:space="preserve"> in </w:t>
      </w:r>
      <w:r w:rsidR="008E6CDF">
        <w:rPr>
          <w:lang w:val="en-AU" w:eastAsia="en-AU"/>
        </w:rPr>
        <w:t>catchment runoff</w:t>
      </w:r>
      <w:r w:rsidR="007202F8">
        <w:rPr>
          <w:lang w:val="en-AU" w:eastAsia="en-AU"/>
        </w:rPr>
        <w:t>, long</w:t>
      </w:r>
      <w:r w:rsidR="00A3516B">
        <w:rPr>
          <w:lang w:val="en-AU" w:eastAsia="en-AU"/>
        </w:rPr>
        <w:t>er</w:t>
      </w:r>
      <w:r w:rsidR="007202F8">
        <w:rPr>
          <w:lang w:val="en-AU" w:eastAsia="en-AU"/>
        </w:rPr>
        <w:t xml:space="preserve"> term data are likely to be required.</w:t>
      </w:r>
      <w:r w:rsidR="00CC6412">
        <w:rPr>
          <w:lang w:val="en-AU" w:eastAsia="en-AU"/>
        </w:rPr>
        <w:t xml:space="preserve"> </w:t>
      </w:r>
      <w:r w:rsidR="007202F8">
        <w:rPr>
          <w:lang w:val="en-AU" w:eastAsia="en-AU"/>
        </w:rPr>
        <w:t>In the meantime, i</w:t>
      </w:r>
      <w:r w:rsidR="00CC6412">
        <w:rPr>
          <w:lang w:val="en-AU" w:eastAsia="en-AU"/>
        </w:rPr>
        <w:t xml:space="preserve">ndustry extension staff and updated land use maps would be a useful resource </w:t>
      </w:r>
      <w:r w:rsidR="00AC5E39">
        <w:rPr>
          <w:lang w:val="en-AU" w:eastAsia="en-AU"/>
        </w:rPr>
        <w:t>to</w:t>
      </w:r>
      <w:r w:rsidR="00CC6412">
        <w:rPr>
          <w:lang w:val="en-AU" w:eastAsia="en-AU"/>
        </w:rPr>
        <w:t xml:space="preserve"> identify changes in pesticide usage</w:t>
      </w:r>
      <w:r w:rsidR="00AC5E39">
        <w:rPr>
          <w:lang w:val="en-AU" w:eastAsia="en-AU"/>
        </w:rPr>
        <w:t xml:space="preserve"> and relating these changes to monitored pesticides under the MMP</w:t>
      </w:r>
      <w:r w:rsidR="007202F8">
        <w:rPr>
          <w:lang w:val="en-AU" w:eastAsia="en-AU"/>
        </w:rPr>
        <w:t>.</w:t>
      </w:r>
    </w:p>
    <w:p w14:paraId="15721037" w14:textId="7404DD63" w:rsidR="00CC6412" w:rsidRDefault="00CC6412" w:rsidP="00015606">
      <w:pPr>
        <w:spacing w:line="276" w:lineRule="auto"/>
        <w:rPr>
          <w:lang w:val="en-AU" w:eastAsia="en-AU"/>
        </w:rPr>
      </w:pPr>
    </w:p>
    <w:p w14:paraId="15721038" w14:textId="00244C3F" w:rsidR="003A1DCE" w:rsidRDefault="00A3516B" w:rsidP="00015606">
      <w:pPr>
        <w:spacing w:line="276" w:lineRule="auto"/>
        <w:rPr>
          <w:lang w:val="en-AU" w:eastAsia="en-AU"/>
        </w:rPr>
      </w:pPr>
      <w:r>
        <w:rPr>
          <w:lang w:val="en-AU" w:eastAsia="en-AU"/>
        </w:rPr>
        <w:t>Relatively low levels of PSII herbicides were detected at most sites in 2015-16 and for prior years (for which monitoring data are available)</w:t>
      </w:r>
      <w:r w:rsidR="00E259EC">
        <w:rPr>
          <w:lang w:val="en-AU" w:eastAsia="en-AU"/>
        </w:rPr>
        <w:t xml:space="preserve">. </w:t>
      </w:r>
      <w:r w:rsidR="00EE68E6">
        <w:rPr>
          <w:lang w:val="en-AU" w:eastAsia="en-AU"/>
        </w:rPr>
        <w:t xml:space="preserve">Whilst PSII herbicide exposure is not expected to be a </w:t>
      </w:r>
      <w:r w:rsidR="00130DE2">
        <w:rPr>
          <w:lang w:val="en-AU" w:eastAsia="en-AU"/>
        </w:rPr>
        <w:t>high-risk</w:t>
      </w:r>
      <w:r w:rsidR="00EE68E6">
        <w:rPr>
          <w:lang w:val="en-AU" w:eastAsia="en-AU"/>
        </w:rPr>
        <w:t xml:space="preserve"> </w:t>
      </w:r>
      <w:r w:rsidR="007202F8">
        <w:rPr>
          <w:lang w:val="en-AU" w:eastAsia="en-AU"/>
        </w:rPr>
        <w:t xml:space="preserve">factor </w:t>
      </w:r>
      <w:r w:rsidR="00EE68E6">
        <w:rPr>
          <w:lang w:val="en-AU" w:eastAsia="en-AU"/>
        </w:rPr>
        <w:t>for adverse impacts on Reef health, it is important to understand the c</w:t>
      </w:r>
      <w:r w:rsidR="00F26771">
        <w:rPr>
          <w:lang w:val="en-AU" w:eastAsia="en-AU"/>
        </w:rPr>
        <w:t>umulative impacts of l</w:t>
      </w:r>
      <w:r w:rsidR="0059608E">
        <w:rPr>
          <w:lang w:val="en-AU" w:eastAsia="en-AU"/>
        </w:rPr>
        <w:t xml:space="preserve">ow level chronic exposure to PSII herbicides </w:t>
      </w:r>
      <w:r w:rsidR="00E74200">
        <w:rPr>
          <w:lang w:val="en-AU" w:eastAsia="en-AU"/>
        </w:rPr>
        <w:t xml:space="preserve">and other pesticides </w:t>
      </w:r>
      <w:r w:rsidR="00E259EC">
        <w:rPr>
          <w:lang w:val="en-AU" w:eastAsia="en-AU"/>
        </w:rPr>
        <w:t>in conjunction with other stressors, e.g. light and/or h</w:t>
      </w:r>
      <w:r w:rsidR="004B1926">
        <w:rPr>
          <w:lang w:val="en-AU" w:eastAsia="en-AU"/>
        </w:rPr>
        <w:t>i</w:t>
      </w:r>
      <w:r w:rsidR="00EE68E6">
        <w:rPr>
          <w:lang w:val="en-AU" w:eastAsia="en-AU"/>
        </w:rPr>
        <w:t>gher sea temperatures</w:t>
      </w:r>
      <w:r w:rsidR="0059608E">
        <w:rPr>
          <w:lang w:val="en-AU" w:eastAsia="en-AU"/>
        </w:rPr>
        <w:t xml:space="preserve">. In particular, the compound effects of simultaneous stressors on key organisms on the Reef including the effects of global climate change (increasing sea temperatures, ocean acidification), an increase in the severity and frequency of damaging weather events such as cyclones, and increases in the frequency of flood events are not fully understood. In view of these multiple driving factors for change, interpreting trends remains </w:t>
      </w:r>
      <w:r w:rsidR="00285559">
        <w:rPr>
          <w:lang w:val="en-AU" w:eastAsia="en-AU"/>
        </w:rPr>
        <w:t>challenging</w:t>
      </w:r>
      <w:r w:rsidR="0059608E">
        <w:rPr>
          <w:lang w:val="en-AU" w:eastAsia="en-AU"/>
        </w:rPr>
        <w:t xml:space="preserve">, but is essential when ascertaining whether improving or declining water quality is driven by land management practices </w:t>
      </w:r>
      <w:r w:rsidR="00437E42">
        <w:rPr>
          <w:lang w:val="en-AU" w:eastAsia="en-AU"/>
        </w:rPr>
        <w:t xml:space="preserve">and success of Reef Plan initiatives </w:t>
      </w:r>
      <w:r w:rsidR="0059608E">
        <w:rPr>
          <w:lang w:val="en-AU" w:eastAsia="en-AU"/>
        </w:rPr>
        <w:t xml:space="preserve">or is an artefact of </w:t>
      </w:r>
      <w:r w:rsidR="00285559">
        <w:rPr>
          <w:lang w:val="en-AU" w:eastAsia="en-AU"/>
        </w:rPr>
        <w:t>climatic</w:t>
      </w:r>
      <w:r w:rsidR="0059608E">
        <w:rPr>
          <w:lang w:val="en-AU" w:eastAsia="en-AU"/>
        </w:rPr>
        <w:t xml:space="preserve"> conditions.</w:t>
      </w:r>
      <w:r w:rsidR="003A1DCE">
        <w:rPr>
          <w:lang w:val="en-AU" w:eastAsia="en-AU"/>
        </w:rPr>
        <w:t xml:space="preserve"> </w:t>
      </w:r>
      <w:r w:rsidR="00E533E4">
        <w:rPr>
          <w:lang w:val="en-AU" w:eastAsia="en-AU"/>
        </w:rPr>
        <w:t xml:space="preserve">Statistical models to elucidate underlying trends, where possible, are an important consideration for future assessments. However, for these models to be statistically robust, </w:t>
      </w:r>
      <w:r w:rsidR="00E74200">
        <w:rPr>
          <w:lang w:val="en-AU" w:eastAsia="en-AU"/>
        </w:rPr>
        <w:t xml:space="preserve">long-term </w:t>
      </w:r>
      <w:r w:rsidR="00E533E4">
        <w:rPr>
          <w:lang w:val="en-AU" w:eastAsia="en-AU"/>
        </w:rPr>
        <w:t xml:space="preserve">monitoring </w:t>
      </w:r>
      <w:r w:rsidR="00E74200">
        <w:rPr>
          <w:lang w:val="en-AU" w:eastAsia="en-AU"/>
        </w:rPr>
        <w:t>data</w:t>
      </w:r>
      <w:r w:rsidR="00E533E4">
        <w:rPr>
          <w:lang w:val="en-AU" w:eastAsia="en-AU"/>
        </w:rPr>
        <w:t xml:space="preserve"> are required</w:t>
      </w:r>
      <w:r w:rsidR="00E74200">
        <w:rPr>
          <w:lang w:val="en-AU" w:eastAsia="en-AU"/>
        </w:rPr>
        <w:t xml:space="preserve">. </w:t>
      </w:r>
      <w:r w:rsidR="00E533E4">
        <w:rPr>
          <w:lang w:val="en-AU" w:eastAsia="en-AU"/>
        </w:rPr>
        <w:t xml:space="preserve">This allows the </w:t>
      </w:r>
      <w:r w:rsidR="00E533E4">
        <w:rPr>
          <w:lang w:val="en-AU" w:eastAsia="en-AU"/>
        </w:rPr>
        <w:lastRenderedPageBreak/>
        <w:t xml:space="preserve">variability due to seasonal climatic changes to be differentiated from other factors, such as land management practices. Following changes to the sampling sites </w:t>
      </w:r>
      <w:r w:rsidR="00D97678">
        <w:rPr>
          <w:lang w:val="en-AU" w:eastAsia="en-AU"/>
        </w:rPr>
        <w:t>as a result of</w:t>
      </w:r>
      <w:r w:rsidR="00E533E4">
        <w:rPr>
          <w:lang w:val="en-AU" w:eastAsia="en-AU"/>
        </w:rPr>
        <w:t xml:space="preserve"> the 2013</w:t>
      </w:r>
      <w:r w:rsidR="008E6CDF">
        <w:rPr>
          <w:lang w:val="en-AU" w:eastAsia="en-AU"/>
        </w:rPr>
        <w:t>/2014</w:t>
      </w:r>
      <w:r w:rsidR="00E533E4">
        <w:rPr>
          <w:lang w:val="en-AU" w:eastAsia="en-AU"/>
        </w:rPr>
        <w:t xml:space="preserve"> MMP review, six of the current 11 fixed </w:t>
      </w:r>
      <w:r w:rsidR="008E6CDF">
        <w:rPr>
          <w:lang w:val="en-AU" w:eastAsia="en-AU"/>
        </w:rPr>
        <w:t xml:space="preserve">monitoring </w:t>
      </w:r>
      <w:r w:rsidR="00E533E4">
        <w:rPr>
          <w:lang w:val="en-AU" w:eastAsia="en-AU"/>
        </w:rPr>
        <w:t>sites have at most two years of monitoring data.</w:t>
      </w:r>
      <w:r w:rsidR="00D97678">
        <w:rPr>
          <w:lang w:val="en-AU" w:eastAsia="en-AU"/>
        </w:rPr>
        <w:t xml:space="preserve"> For these sites, additional years of data are necessary for </w:t>
      </w:r>
      <w:r>
        <w:rPr>
          <w:lang w:val="en-AU" w:eastAsia="en-AU"/>
        </w:rPr>
        <w:t>robust</w:t>
      </w:r>
      <w:r w:rsidR="00D97678">
        <w:rPr>
          <w:lang w:val="en-AU" w:eastAsia="en-AU"/>
        </w:rPr>
        <w:t xml:space="preserve"> trend analys</w:t>
      </w:r>
      <w:r>
        <w:rPr>
          <w:lang w:val="en-AU" w:eastAsia="en-AU"/>
        </w:rPr>
        <w:t>e</w:t>
      </w:r>
      <w:r w:rsidR="00D97678">
        <w:rPr>
          <w:lang w:val="en-AU" w:eastAsia="en-AU"/>
        </w:rPr>
        <w:t>s.</w:t>
      </w:r>
      <w:r w:rsidR="00E533E4">
        <w:rPr>
          <w:lang w:val="en-AU" w:eastAsia="en-AU"/>
        </w:rPr>
        <w:t xml:space="preserve"> </w:t>
      </w:r>
    </w:p>
    <w:p w14:paraId="15721039" w14:textId="77777777" w:rsidR="003A1DCE" w:rsidRDefault="003A1DCE" w:rsidP="00015606">
      <w:pPr>
        <w:spacing w:line="276" w:lineRule="auto"/>
        <w:rPr>
          <w:lang w:val="en-AU" w:eastAsia="en-AU"/>
        </w:rPr>
      </w:pPr>
    </w:p>
    <w:p w14:paraId="1572103A" w14:textId="25797DF5" w:rsidR="0059608E" w:rsidRDefault="00285559" w:rsidP="00015606">
      <w:pPr>
        <w:spacing w:line="276" w:lineRule="auto"/>
      </w:pPr>
      <w:r>
        <w:rPr>
          <w:lang w:val="en-AU" w:eastAsia="en-AU"/>
        </w:rPr>
        <w:t xml:space="preserve">Ultimately, </w:t>
      </w:r>
      <w:r w:rsidR="00AC5E39">
        <w:rPr>
          <w:lang w:val="en-AU" w:eastAsia="en-AU"/>
        </w:rPr>
        <w:t>a</w:t>
      </w:r>
      <w:r>
        <w:rPr>
          <w:lang w:val="en-AU" w:eastAsia="en-AU"/>
        </w:rPr>
        <w:t xml:space="preserve"> whole-of-system </w:t>
      </w:r>
      <w:r w:rsidR="00754B8C">
        <w:rPr>
          <w:lang w:val="en-AU" w:eastAsia="en-AU"/>
        </w:rPr>
        <w:t xml:space="preserve">pesticide exposure </w:t>
      </w:r>
      <w:r w:rsidR="00AC5E39">
        <w:rPr>
          <w:lang w:val="en-AU" w:eastAsia="en-AU"/>
        </w:rPr>
        <w:t>assessment</w:t>
      </w:r>
      <w:r>
        <w:rPr>
          <w:lang w:val="en-AU" w:eastAsia="en-AU"/>
        </w:rPr>
        <w:t xml:space="preserve"> </w:t>
      </w:r>
      <w:r w:rsidR="003A1DCE">
        <w:rPr>
          <w:lang w:val="en-AU" w:eastAsia="en-AU"/>
        </w:rPr>
        <w:t>may become possible through the eReefs framework</w:t>
      </w:r>
      <w:r w:rsidR="00442604">
        <w:rPr>
          <w:lang w:val="en-AU" w:eastAsia="en-AU"/>
        </w:rPr>
        <w:t>,</w:t>
      </w:r>
      <w:r w:rsidR="00442604" w:rsidRPr="00442604">
        <w:rPr>
          <w:lang w:val="en-AU" w:eastAsia="en-AU"/>
        </w:rPr>
        <w:t xml:space="preserve"> </w:t>
      </w:r>
      <w:r w:rsidR="00442604">
        <w:rPr>
          <w:lang w:val="en-AU" w:eastAsia="en-AU"/>
        </w:rPr>
        <w:t>a hydrodynamic model developed for the Reef system</w:t>
      </w:r>
      <w:r w:rsidR="003A1DCE">
        <w:rPr>
          <w:lang w:val="en-AU" w:eastAsia="en-AU"/>
        </w:rPr>
        <w:t xml:space="preserve">. Recent changes to the framework have opened opportunities to </w:t>
      </w:r>
      <w:r w:rsidR="00442604">
        <w:rPr>
          <w:lang w:val="en-AU" w:eastAsia="en-AU"/>
        </w:rPr>
        <w:t xml:space="preserve">potentially </w:t>
      </w:r>
      <w:r w:rsidR="003A1DCE">
        <w:rPr>
          <w:lang w:val="en-AU" w:eastAsia="en-AU"/>
        </w:rPr>
        <w:t xml:space="preserve">apply this model to end-of-catchment pesticide loads </w:t>
      </w:r>
      <w:r w:rsidR="00442604">
        <w:rPr>
          <w:lang w:val="en-AU" w:eastAsia="en-AU"/>
        </w:rPr>
        <w:t>and</w:t>
      </w:r>
      <w:r>
        <w:rPr>
          <w:lang w:val="en-AU" w:eastAsia="en-AU"/>
        </w:rPr>
        <w:t xml:space="preserve"> predict the distribution of disch</w:t>
      </w:r>
      <w:r w:rsidR="00442604">
        <w:rPr>
          <w:lang w:val="en-AU" w:eastAsia="en-AU"/>
        </w:rPr>
        <w:t>arged loads from each catchment</w:t>
      </w:r>
      <w:r w:rsidR="00E35EF8">
        <w:rPr>
          <w:lang w:val="en-AU" w:eastAsia="en-AU"/>
        </w:rPr>
        <w:t xml:space="preserve"> into the near-shore environment</w:t>
      </w:r>
      <w:r>
        <w:rPr>
          <w:lang w:val="en-AU" w:eastAsia="en-AU"/>
        </w:rPr>
        <w:t xml:space="preserve">. </w:t>
      </w:r>
      <w:r w:rsidR="006D05F4">
        <w:rPr>
          <w:lang w:val="en-AU" w:eastAsia="en-AU"/>
        </w:rPr>
        <w:t xml:space="preserve">Monitoring data generated through the current </w:t>
      </w:r>
      <w:r w:rsidR="00754B8C">
        <w:rPr>
          <w:lang w:val="en-AU" w:eastAsia="en-AU"/>
        </w:rPr>
        <w:t>MMP</w:t>
      </w:r>
      <w:r w:rsidR="006D05F4">
        <w:rPr>
          <w:lang w:val="en-AU" w:eastAsia="en-AU"/>
        </w:rPr>
        <w:t xml:space="preserve"> program </w:t>
      </w:r>
      <w:r w:rsidR="00754B8C">
        <w:rPr>
          <w:lang w:val="en-AU" w:eastAsia="en-AU"/>
        </w:rPr>
        <w:t>c</w:t>
      </w:r>
      <w:r w:rsidR="006D05F4">
        <w:rPr>
          <w:lang w:val="en-AU" w:eastAsia="en-AU"/>
        </w:rPr>
        <w:t>ould provide necessary field data for model validation both spatially and temporally. T</w:t>
      </w:r>
      <w:r w:rsidR="00E259EC">
        <w:rPr>
          <w:lang w:val="en-AU" w:eastAsia="en-AU"/>
        </w:rPr>
        <w:t>he e</w:t>
      </w:r>
      <w:r w:rsidR="006D05F4" w:rsidRPr="006D05F4">
        <w:rPr>
          <w:lang w:val="en-AU" w:eastAsia="en-AU"/>
        </w:rPr>
        <w:t>Reefs framework</w:t>
      </w:r>
      <w:r w:rsidR="00442604">
        <w:rPr>
          <w:lang w:val="en-AU" w:eastAsia="en-AU"/>
        </w:rPr>
        <w:t xml:space="preserve"> was</w:t>
      </w:r>
      <w:r w:rsidR="00DB7E43">
        <w:rPr>
          <w:lang w:val="en-AU" w:eastAsia="en-AU"/>
        </w:rPr>
        <w:t xml:space="preserve"> </w:t>
      </w:r>
      <w:r w:rsidR="006D05F4">
        <w:rPr>
          <w:lang w:val="en-AU" w:eastAsia="en-AU"/>
        </w:rPr>
        <w:t xml:space="preserve">recently applied to a case study to assess PSII herbicide risk in the Inshore Water Quality 2015-16 MMP report </w:t>
      </w:r>
      <w:r w:rsidR="00C91BF5">
        <w:rPr>
          <w:lang w:val="en-AU" w:eastAsia="en-AU"/>
        </w:rPr>
        <w:fldChar w:fldCharType="begin"/>
      </w:r>
      <w:r w:rsidR="00216883">
        <w:rPr>
          <w:lang w:val="en-AU" w:eastAsia="en-AU"/>
        </w:rPr>
        <w:instrText xml:space="preserve"> ADDIN EN.CITE &lt;EndNote&gt;&lt;Cite&gt;&lt;Author&gt;Waterhouse&lt;/Author&gt;&lt;Year&gt;2017&lt;/Year&gt;&lt;RecNum&gt;39&lt;/RecNum&gt;&lt;DisplayText&gt;(Waterhouse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C91BF5">
        <w:rPr>
          <w:lang w:val="en-AU" w:eastAsia="en-AU"/>
        </w:rPr>
        <w:fldChar w:fldCharType="separate"/>
      </w:r>
      <w:r w:rsidR="00216883">
        <w:rPr>
          <w:noProof/>
          <w:lang w:val="en-AU" w:eastAsia="en-AU"/>
        </w:rPr>
        <w:t>(Waterhouse et al., 2017b)</w:t>
      </w:r>
      <w:r w:rsidR="00C91BF5">
        <w:rPr>
          <w:lang w:val="en-AU" w:eastAsia="en-AU"/>
        </w:rPr>
        <w:fldChar w:fldCharType="end"/>
      </w:r>
      <w:r w:rsidR="00442604">
        <w:rPr>
          <w:lang w:val="en-AU" w:eastAsia="en-AU"/>
        </w:rPr>
        <w:t xml:space="preserve"> and recent changes to the framework may address limitations</w:t>
      </w:r>
      <w:r w:rsidR="00E35EF8">
        <w:rPr>
          <w:lang w:val="en-AU" w:eastAsia="en-AU"/>
        </w:rPr>
        <w:t xml:space="preserve"> that were</w:t>
      </w:r>
      <w:r w:rsidR="00442604">
        <w:rPr>
          <w:lang w:val="en-AU" w:eastAsia="en-AU"/>
        </w:rPr>
        <w:t xml:space="preserve"> identified </w:t>
      </w:r>
      <w:r w:rsidR="00E259EC">
        <w:rPr>
          <w:lang w:val="en-AU" w:eastAsia="en-AU"/>
        </w:rPr>
        <w:t>through</w:t>
      </w:r>
      <w:r w:rsidR="00442604">
        <w:rPr>
          <w:lang w:val="en-AU" w:eastAsia="en-AU"/>
        </w:rPr>
        <w:t xml:space="preserve"> the case study</w:t>
      </w:r>
      <w:r w:rsidR="006D05F4">
        <w:rPr>
          <w:lang w:val="en-AU" w:eastAsia="en-AU"/>
        </w:rPr>
        <w:t>.</w:t>
      </w:r>
      <w:r w:rsidR="006D05F4" w:rsidRPr="006D05F4">
        <w:rPr>
          <w:lang w:val="en-AU" w:eastAsia="en-AU"/>
        </w:rPr>
        <w:t xml:space="preserve"> </w:t>
      </w:r>
      <w:r w:rsidR="006D05F4">
        <w:rPr>
          <w:lang w:val="en-AU" w:eastAsia="en-AU"/>
        </w:rPr>
        <w:t>This framework would provide three-dimensional capability to predict pesticide concentrations at an</w:t>
      </w:r>
      <w:r w:rsidR="00754B8C">
        <w:rPr>
          <w:lang w:val="en-AU" w:eastAsia="en-AU"/>
        </w:rPr>
        <w:t xml:space="preserve">y point within the Reef lagoon, which increases spatial coverage of pesticide ‘monitoring’ to the whole-of-Reef, as well as generating information </w:t>
      </w:r>
      <w:r w:rsidR="008E6CDF">
        <w:rPr>
          <w:lang w:val="en-AU" w:eastAsia="en-AU"/>
        </w:rPr>
        <w:t>that</w:t>
      </w:r>
      <w:r w:rsidR="00754B8C">
        <w:rPr>
          <w:lang w:val="en-AU" w:eastAsia="en-AU"/>
        </w:rPr>
        <w:t xml:space="preserve"> can inform the optimal placement of passive samplers to capture and measure key pesticide pulses released from adjacent catchments. This information will</w:t>
      </w:r>
      <w:r w:rsidR="0059608E">
        <w:rPr>
          <w:lang w:val="en-AU" w:eastAsia="en-AU"/>
        </w:rPr>
        <w:t xml:space="preserve"> </w:t>
      </w:r>
      <w:r w:rsidR="00754B8C">
        <w:rPr>
          <w:lang w:val="en-AU" w:eastAsia="en-AU"/>
        </w:rPr>
        <w:t xml:space="preserve">facilitate </w:t>
      </w:r>
      <w:r w:rsidR="0059608E">
        <w:rPr>
          <w:lang w:val="en-AU" w:eastAsia="en-AU"/>
        </w:rPr>
        <w:t>insight i</w:t>
      </w:r>
      <w:r w:rsidR="006D05F4">
        <w:rPr>
          <w:lang w:val="en-AU" w:eastAsia="en-AU"/>
        </w:rPr>
        <w:t>nto impacts on ecosystem health</w:t>
      </w:r>
      <w:r w:rsidR="0059608E">
        <w:rPr>
          <w:lang w:val="en-AU" w:eastAsia="en-AU"/>
        </w:rPr>
        <w:t xml:space="preserve"> and assist in prioritising management action.</w:t>
      </w:r>
      <w:r w:rsidR="0059608E" w:rsidRPr="002265DC">
        <w:t xml:space="preserve"> </w:t>
      </w:r>
      <w:r w:rsidR="00754B8C">
        <w:t>Whilst m</w:t>
      </w:r>
      <w:r w:rsidR="0059608E">
        <w:t>onitoring an area as vast and complex as the Reef remains a challenge</w:t>
      </w:r>
      <w:r w:rsidR="00754B8C">
        <w:t>,</w:t>
      </w:r>
      <w:r w:rsidR="0059608E">
        <w:t xml:space="preserve"> long-term monitoring programs such as the MMP are valuable and sensitive tools that can assist in protecting such a </w:t>
      </w:r>
      <w:r w:rsidR="00E42DA6">
        <w:t>significant</w:t>
      </w:r>
      <w:r w:rsidR="0059608E">
        <w:t xml:space="preserve"> ecosystem.</w:t>
      </w:r>
    </w:p>
    <w:bookmarkEnd w:id="693"/>
    <w:p w14:paraId="1572103B" w14:textId="77777777" w:rsidR="007269AF" w:rsidRDefault="007269AF" w:rsidP="00015606">
      <w:pPr>
        <w:spacing w:line="276" w:lineRule="auto"/>
        <w:ind w:firstLine="357"/>
        <w:jc w:val="left"/>
        <w:rPr>
          <w:rFonts w:eastAsiaTheme="majorEastAsia" w:cstheme="majorBidi"/>
          <w:b/>
          <w:bCs/>
          <w:caps/>
          <w:sz w:val="32"/>
          <w:szCs w:val="32"/>
          <w:lang w:val="en-AU" w:eastAsia="en-AU"/>
        </w:rPr>
      </w:pPr>
      <w:r>
        <w:br w:type="page"/>
      </w:r>
    </w:p>
    <w:p w14:paraId="1572103C" w14:textId="54957AB3" w:rsidR="0059608E" w:rsidRPr="004E0EF8" w:rsidRDefault="00D97678" w:rsidP="00220439">
      <w:pPr>
        <w:pStyle w:val="Heading1"/>
        <w:keepNext/>
        <w:numPr>
          <w:ilvl w:val="0"/>
          <w:numId w:val="1"/>
        </w:numPr>
        <w:spacing w:before="120" w:after="480" w:line="240" w:lineRule="auto"/>
        <w:ind w:left="574"/>
        <w:jc w:val="both"/>
        <w:rPr>
          <w:rFonts w:eastAsia="Times New Roman" w:cs="Arial"/>
          <w:bCs w:val="0"/>
          <w:caps w:val="0"/>
          <w:kern w:val="28"/>
          <w:sz w:val="36"/>
          <w:szCs w:val="28"/>
          <w:lang w:eastAsia="en-US" w:bidi="ar-SA"/>
        </w:rPr>
      </w:pPr>
      <w:bookmarkStart w:id="710" w:name="_Toc502500024"/>
      <w:r>
        <w:rPr>
          <w:rFonts w:eastAsia="Times New Roman" w:cs="Arial"/>
          <w:bCs w:val="0"/>
          <w:caps w:val="0"/>
          <w:kern w:val="28"/>
          <w:sz w:val="36"/>
          <w:szCs w:val="28"/>
          <w:lang w:eastAsia="en-US" w:bidi="ar-SA"/>
        </w:rPr>
        <w:lastRenderedPageBreak/>
        <w:t>Conclusions and D</w:t>
      </w:r>
      <w:r w:rsidR="00494403" w:rsidRPr="004E0EF8">
        <w:rPr>
          <w:rFonts w:eastAsia="Times New Roman" w:cs="Arial"/>
          <w:bCs w:val="0"/>
          <w:caps w:val="0"/>
          <w:kern w:val="28"/>
          <w:sz w:val="36"/>
          <w:szCs w:val="28"/>
          <w:lang w:eastAsia="en-US" w:bidi="ar-SA"/>
        </w:rPr>
        <w:t>irections for Monitoring</w:t>
      </w:r>
      <w:bookmarkEnd w:id="710"/>
      <w:r w:rsidR="00494403" w:rsidRPr="004E0EF8">
        <w:rPr>
          <w:rFonts w:eastAsia="Times New Roman" w:cs="Arial"/>
          <w:bCs w:val="0"/>
          <w:caps w:val="0"/>
          <w:kern w:val="28"/>
          <w:sz w:val="36"/>
          <w:szCs w:val="28"/>
          <w:lang w:eastAsia="en-US" w:bidi="ar-SA"/>
        </w:rPr>
        <w:t xml:space="preserve"> </w:t>
      </w:r>
    </w:p>
    <w:p w14:paraId="5B71CC52" w14:textId="19CB760A" w:rsidR="00897624" w:rsidRDefault="005F5212" w:rsidP="00015606">
      <w:pPr>
        <w:tabs>
          <w:tab w:val="left" w:pos="10065"/>
        </w:tabs>
        <w:spacing w:line="276" w:lineRule="auto"/>
        <w:rPr>
          <w:lang w:val="en-AU" w:eastAsia="en-AU"/>
        </w:rPr>
      </w:pPr>
      <w:r>
        <w:rPr>
          <w:lang w:val="en-AU" w:eastAsia="en-AU"/>
        </w:rPr>
        <w:t>In conclusion</w:t>
      </w:r>
      <w:r w:rsidR="005703BB">
        <w:rPr>
          <w:lang w:val="en-AU" w:eastAsia="en-AU"/>
        </w:rPr>
        <w:t xml:space="preserve">, </w:t>
      </w:r>
      <w:r w:rsidR="00873220">
        <w:rPr>
          <w:lang w:val="en-AU" w:eastAsia="en-AU"/>
        </w:rPr>
        <w:t xml:space="preserve">overall, the DPSIR framework is an effective approach to understand the complexity of pressures </w:t>
      </w:r>
      <w:r w:rsidR="005A7B29">
        <w:rPr>
          <w:lang w:val="en-AU" w:eastAsia="en-AU"/>
        </w:rPr>
        <w:t>that may result in</w:t>
      </w:r>
      <w:r w:rsidR="00873220">
        <w:rPr>
          <w:lang w:val="en-AU" w:eastAsia="en-AU"/>
        </w:rPr>
        <w:t xml:space="preserve"> pesticides reaching sensitive Reef ecosystems. In 2015-16, trends in the pesticide monitoring data could be broadly interpreted in terms of high level pressure</w:t>
      </w:r>
      <w:r w:rsidR="005A7B29">
        <w:rPr>
          <w:lang w:val="en-AU" w:eastAsia="en-AU"/>
        </w:rPr>
        <w:t xml:space="preserve"> data</w:t>
      </w:r>
      <w:r w:rsidR="00873220">
        <w:rPr>
          <w:lang w:val="en-AU" w:eastAsia="en-AU"/>
        </w:rPr>
        <w:t>, mainly related to hydrological conditions; i.e. t</w:t>
      </w:r>
      <w:r w:rsidR="005703BB">
        <w:rPr>
          <w:lang w:val="en-AU" w:eastAsia="en-AU"/>
        </w:rPr>
        <w:t xml:space="preserve">he relatively low pesticide concentrations observed at </w:t>
      </w:r>
      <w:r w:rsidR="00992648">
        <w:rPr>
          <w:lang w:val="en-AU" w:eastAsia="en-AU"/>
        </w:rPr>
        <w:t>most</w:t>
      </w:r>
      <w:r w:rsidR="005703BB">
        <w:rPr>
          <w:lang w:val="en-AU" w:eastAsia="en-AU"/>
        </w:rPr>
        <w:t xml:space="preserve"> fixed monitoring sites were consistent with the </w:t>
      </w:r>
      <w:r>
        <w:rPr>
          <w:lang w:val="en-AU" w:eastAsia="en-AU"/>
        </w:rPr>
        <w:t xml:space="preserve">relatively low pressures affecting the </w:t>
      </w:r>
      <w:r w:rsidR="00992648">
        <w:rPr>
          <w:lang w:val="en-AU" w:eastAsia="en-AU"/>
        </w:rPr>
        <w:t xml:space="preserve">Reef </w:t>
      </w:r>
      <w:r>
        <w:rPr>
          <w:lang w:val="en-AU" w:eastAsia="en-AU"/>
        </w:rPr>
        <w:t>region throughout the year.</w:t>
      </w:r>
      <w:r w:rsidR="009C49BB">
        <w:rPr>
          <w:lang w:val="en-AU" w:eastAsia="en-AU"/>
        </w:rPr>
        <w:t xml:space="preserve"> Spatially, c</w:t>
      </w:r>
      <w:r w:rsidR="00992648">
        <w:rPr>
          <w:lang w:val="en-AU" w:eastAsia="en-AU"/>
        </w:rPr>
        <w:t>onsistent with previous years and land-usage</w:t>
      </w:r>
      <w:r w:rsidR="00992648" w:rsidRPr="00992648">
        <w:rPr>
          <w:lang w:val="en-AU" w:eastAsia="en-AU"/>
        </w:rPr>
        <w:t xml:space="preserve"> </w:t>
      </w:r>
      <w:r w:rsidR="00992648">
        <w:rPr>
          <w:lang w:val="en-AU" w:eastAsia="en-AU"/>
        </w:rPr>
        <w:t xml:space="preserve">in the adjacent catchments, highest </w:t>
      </w:r>
      <w:r w:rsidR="00CD705C">
        <w:rPr>
          <w:lang w:val="en-AU" w:eastAsia="en-AU"/>
        </w:rPr>
        <w:t xml:space="preserve">pesticide </w:t>
      </w:r>
      <w:r w:rsidR="00992648">
        <w:rPr>
          <w:lang w:val="en-AU" w:eastAsia="en-AU"/>
        </w:rPr>
        <w:t xml:space="preserve">concentrations were detected at the Mackay Whitsunday sites. </w:t>
      </w:r>
      <w:r w:rsidR="00511946">
        <w:rPr>
          <w:lang w:val="en-AU" w:eastAsia="en-AU"/>
        </w:rPr>
        <w:t>T</w:t>
      </w:r>
      <w:r w:rsidR="00C52CD4">
        <w:rPr>
          <w:lang w:val="en-AU" w:eastAsia="en-AU"/>
        </w:rPr>
        <w:t xml:space="preserve">he </w:t>
      </w:r>
      <w:r w:rsidR="00CD705C">
        <w:rPr>
          <w:lang w:val="en-AU" w:eastAsia="en-AU"/>
        </w:rPr>
        <w:t>longer-term change</w:t>
      </w:r>
      <w:r w:rsidR="00A8584F">
        <w:rPr>
          <w:lang w:val="en-AU" w:eastAsia="en-AU"/>
        </w:rPr>
        <w:t xml:space="preserve"> in </w:t>
      </w:r>
      <w:r w:rsidR="00897624">
        <w:rPr>
          <w:lang w:val="en-AU" w:eastAsia="en-AU"/>
        </w:rPr>
        <w:t xml:space="preserve">nearshore marine </w:t>
      </w:r>
      <w:r w:rsidR="00992648">
        <w:rPr>
          <w:lang w:val="en-AU" w:eastAsia="en-AU"/>
        </w:rPr>
        <w:t xml:space="preserve">pesticide levels </w:t>
      </w:r>
      <w:r w:rsidR="005A7B29">
        <w:rPr>
          <w:lang w:val="en-AU" w:eastAsia="en-AU"/>
        </w:rPr>
        <w:t>attributable</w:t>
      </w:r>
      <w:r w:rsidR="00A8584F">
        <w:rPr>
          <w:lang w:val="en-AU" w:eastAsia="en-AU"/>
        </w:rPr>
        <w:t xml:space="preserve"> to changed catchment land management practices</w:t>
      </w:r>
      <w:r w:rsidR="002C0A66">
        <w:rPr>
          <w:lang w:val="en-AU" w:eastAsia="en-AU"/>
        </w:rPr>
        <w:t xml:space="preserve">, which </w:t>
      </w:r>
      <w:r w:rsidR="00097EAA">
        <w:rPr>
          <w:lang w:val="en-AU" w:eastAsia="en-AU"/>
        </w:rPr>
        <w:t>is</w:t>
      </w:r>
      <w:r w:rsidR="002C0A66">
        <w:rPr>
          <w:lang w:val="en-AU" w:eastAsia="en-AU"/>
        </w:rPr>
        <w:t xml:space="preserve"> the focus of the Reef Plan,</w:t>
      </w:r>
      <w:r w:rsidR="00A8584F">
        <w:rPr>
          <w:lang w:val="en-AU" w:eastAsia="en-AU"/>
        </w:rPr>
        <w:t xml:space="preserve"> </w:t>
      </w:r>
      <w:r w:rsidR="00511946">
        <w:rPr>
          <w:lang w:val="en-AU" w:eastAsia="en-AU"/>
        </w:rPr>
        <w:t xml:space="preserve">however, </w:t>
      </w:r>
      <w:r w:rsidR="00CD705C">
        <w:rPr>
          <w:lang w:val="en-AU" w:eastAsia="en-AU"/>
        </w:rPr>
        <w:t xml:space="preserve">is </w:t>
      </w:r>
      <w:r w:rsidR="00CD705C">
        <w:t xml:space="preserve">statistically challenging </w:t>
      </w:r>
      <w:r w:rsidR="00CD705C">
        <w:rPr>
          <w:lang w:val="en-AU" w:eastAsia="en-AU"/>
        </w:rPr>
        <w:t>to</w:t>
      </w:r>
      <w:r w:rsidR="00C52CD4">
        <w:rPr>
          <w:lang w:val="en-AU" w:eastAsia="en-AU"/>
        </w:rPr>
        <w:t xml:space="preserve"> </w:t>
      </w:r>
      <w:r w:rsidR="00992648">
        <w:rPr>
          <w:lang w:val="en-AU" w:eastAsia="en-AU"/>
        </w:rPr>
        <w:t>elucidate</w:t>
      </w:r>
      <w:r w:rsidR="00A8584F">
        <w:rPr>
          <w:lang w:val="en-AU" w:eastAsia="en-AU"/>
        </w:rPr>
        <w:t>.</w:t>
      </w:r>
      <w:r w:rsidR="002C0A66" w:rsidRPr="002C0A66">
        <w:t xml:space="preserve"> </w:t>
      </w:r>
      <w:r w:rsidR="00CD705C">
        <w:t>W</w:t>
      </w:r>
      <w:r w:rsidR="002C0A66">
        <w:t xml:space="preserve">hether the </w:t>
      </w:r>
      <w:r w:rsidR="00ED01E3">
        <w:t>predicted</w:t>
      </w:r>
      <w:r w:rsidR="002C0A66">
        <w:t xml:space="preserve"> </w:t>
      </w:r>
      <w:r w:rsidR="00ED01E3" w:rsidRPr="00ED01E3">
        <w:t xml:space="preserve">34 per cent </w:t>
      </w:r>
      <w:r w:rsidR="002C0A66" w:rsidRPr="002C0A66">
        <w:rPr>
          <w:lang w:val="en-AU" w:eastAsia="en-AU"/>
        </w:rPr>
        <w:t xml:space="preserve">reduction in total pesticide loads across the </w:t>
      </w:r>
      <w:r w:rsidR="002C0A66">
        <w:rPr>
          <w:lang w:val="en-AU" w:eastAsia="en-AU"/>
        </w:rPr>
        <w:t>Reef catchments is reflected in the nearshore monitoring data</w:t>
      </w:r>
      <w:r w:rsidR="00CD705C">
        <w:rPr>
          <w:lang w:val="en-AU" w:eastAsia="en-AU"/>
        </w:rPr>
        <w:t xml:space="preserve"> is </w:t>
      </w:r>
      <w:r w:rsidR="005A7B29">
        <w:rPr>
          <w:lang w:val="en-AU" w:eastAsia="en-AU"/>
        </w:rPr>
        <w:t>unknown</w:t>
      </w:r>
      <w:r w:rsidR="002C0A66">
        <w:rPr>
          <w:lang w:val="en-AU" w:eastAsia="en-AU"/>
        </w:rPr>
        <w:t>.</w:t>
      </w:r>
    </w:p>
    <w:p w14:paraId="4073B4B3" w14:textId="77777777" w:rsidR="00CD705C" w:rsidRDefault="00CD705C" w:rsidP="00015606">
      <w:pPr>
        <w:tabs>
          <w:tab w:val="left" w:pos="10065"/>
        </w:tabs>
        <w:spacing w:line="276" w:lineRule="auto"/>
      </w:pPr>
    </w:p>
    <w:p w14:paraId="19ADC7EC" w14:textId="63A4BD4B" w:rsidR="005703BB" w:rsidRDefault="00CD705C" w:rsidP="00015606">
      <w:pPr>
        <w:tabs>
          <w:tab w:val="left" w:pos="10065"/>
        </w:tabs>
        <w:spacing w:line="276" w:lineRule="auto"/>
        <w:rPr>
          <w:lang w:val="en-AU" w:eastAsia="en-AU"/>
        </w:rPr>
      </w:pPr>
      <w:r>
        <w:t>Given the high inter- and intra-annual climatic and other pressure variability</w:t>
      </w:r>
      <w:r w:rsidR="00873220">
        <w:t>,</w:t>
      </w:r>
      <w:r>
        <w:t xml:space="preserve"> </w:t>
      </w:r>
      <w:r w:rsidR="00873220">
        <w:rPr>
          <w:lang w:val="en-AU" w:eastAsia="en-AU"/>
        </w:rPr>
        <w:t>meaningful</w:t>
      </w:r>
      <w:r w:rsidR="00DD41BB">
        <w:rPr>
          <w:lang w:val="en-AU" w:eastAsia="en-AU"/>
        </w:rPr>
        <w:t xml:space="preserve"> trend comparisons </w:t>
      </w:r>
      <w:r w:rsidR="00897624">
        <w:rPr>
          <w:lang w:val="en-AU" w:eastAsia="en-AU"/>
        </w:rPr>
        <w:t>require</w:t>
      </w:r>
      <w:r w:rsidR="00DD41BB">
        <w:rPr>
          <w:lang w:val="en-AU" w:eastAsia="en-AU"/>
        </w:rPr>
        <w:t xml:space="preserve"> l</w:t>
      </w:r>
      <w:r w:rsidR="00992648">
        <w:rPr>
          <w:lang w:val="en-AU" w:eastAsia="en-AU"/>
        </w:rPr>
        <w:t xml:space="preserve">ong term </w:t>
      </w:r>
      <w:r w:rsidR="009C49BB">
        <w:rPr>
          <w:lang w:val="en-AU" w:eastAsia="en-AU"/>
        </w:rPr>
        <w:t xml:space="preserve">and complete </w:t>
      </w:r>
      <w:r w:rsidR="00992648">
        <w:rPr>
          <w:lang w:val="en-AU" w:eastAsia="en-AU"/>
        </w:rPr>
        <w:t>monitoring data</w:t>
      </w:r>
      <w:r w:rsidR="00873220">
        <w:rPr>
          <w:lang w:val="en-AU" w:eastAsia="en-AU"/>
        </w:rPr>
        <w:t xml:space="preserve">. </w:t>
      </w:r>
      <w:r w:rsidR="00ED01E3">
        <w:rPr>
          <w:lang w:val="en-AU" w:eastAsia="en-AU"/>
        </w:rPr>
        <w:t xml:space="preserve">A particular focus for </w:t>
      </w:r>
      <w:r w:rsidR="00897624">
        <w:rPr>
          <w:lang w:val="en-AU" w:eastAsia="en-AU"/>
        </w:rPr>
        <w:t>future</w:t>
      </w:r>
      <w:r w:rsidR="00ED01E3">
        <w:rPr>
          <w:lang w:val="en-AU" w:eastAsia="en-AU"/>
        </w:rPr>
        <w:t xml:space="preserve"> years will be on f</w:t>
      </w:r>
      <w:r w:rsidR="00897624">
        <w:rPr>
          <w:lang w:val="en-AU" w:eastAsia="en-AU"/>
        </w:rPr>
        <w:t>i</w:t>
      </w:r>
      <w:r w:rsidR="00ED01E3">
        <w:rPr>
          <w:lang w:val="en-AU" w:eastAsia="en-AU"/>
        </w:rPr>
        <w:t xml:space="preserve">nding new ways to </w:t>
      </w:r>
      <w:r w:rsidR="00897624">
        <w:rPr>
          <w:lang w:val="en-AU" w:eastAsia="en-AU"/>
        </w:rPr>
        <w:t>minimise passive sampler losses and/or damage to achieve successful, consecutive deployments.</w:t>
      </w:r>
      <w:r w:rsidR="00992648">
        <w:rPr>
          <w:lang w:val="en-AU" w:eastAsia="en-AU"/>
        </w:rPr>
        <w:t xml:space="preserve"> Changes </w:t>
      </w:r>
      <w:r w:rsidR="005A7B29">
        <w:rPr>
          <w:lang w:val="en-AU" w:eastAsia="en-AU"/>
        </w:rPr>
        <w:t>to</w:t>
      </w:r>
      <w:r w:rsidR="00992648">
        <w:rPr>
          <w:lang w:val="en-AU" w:eastAsia="en-AU"/>
        </w:rPr>
        <w:t xml:space="preserve"> the </w:t>
      </w:r>
      <w:r w:rsidR="00873220">
        <w:rPr>
          <w:lang w:val="en-AU" w:eastAsia="en-AU"/>
        </w:rPr>
        <w:t xml:space="preserve">fixed </w:t>
      </w:r>
      <w:r w:rsidR="00992648">
        <w:rPr>
          <w:lang w:val="en-AU" w:eastAsia="en-AU"/>
        </w:rPr>
        <w:t xml:space="preserve">sampling sites </w:t>
      </w:r>
      <w:r w:rsidR="00873220">
        <w:rPr>
          <w:lang w:val="en-AU" w:eastAsia="en-AU"/>
        </w:rPr>
        <w:t xml:space="preserve">were </w:t>
      </w:r>
      <w:r w:rsidR="00992648">
        <w:rPr>
          <w:lang w:val="en-AU" w:eastAsia="en-AU"/>
        </w:rPr>
        <w:t xml:space="preserve">introduced in 2014-15 following </w:t>
      </w:r>
      <w:r w:rsidR="00873220">
        <w:rPr>
          <w:lang w:val="en-AU" w:eastAsia="en-AU"/>
        </w:rPr>
        <w:t>a</w:t>
      </w:r>
      <w:r w:rsidR="00992648">
        <w:rPr>
          <w:lang w:val="en-AU" w:eastAsia="en-AU"/>
        </w:rPr>
        <w:t xml:space="preserve"> review of the MMP programs</w:t>
      </w:r>
      <w:r w:rsidR="00873220">
        <w:rPr>
          <w:lang w:val="en-AU" w:eastAsia="en-AU"/>
        </w:rPr>
        <w:t xml:space="preserve">. This </w:t>
      </w:r>
      <w:r w:rsidR="00897624">
        <w:rPr>
          <w:lang w:val="en-AU" w:eastAsia="en-AU"/>
        </w:rPr>
        <w:t xml:space="preserve">means that over half of the current sites have only one or two years of continuous data. </w:t>
      </w:r>
      <w:r w:rsidR="00873220">
        <w:rPr>
          <w:lang w:val="en-AU" w:eastAsia="en-AU"/>
        </w:rPr>
        <w:t>P</w:t>
      </w:r>
      <w:r w:rsidR="00897624">
        <w:rPr>
          <w:lang w:val="en-AU" w:eastAsia="en-AU"/>
        </w:rPr>
        <w:t xml:space="preserve">ressures </w:t>
      </w:r>
      <w:r w:rsidR="00873220">
        <w:rPr>
          <w:lang w:val="en-AU" w:eastAsia="en-AU"/>
        </w:rPr>
        <w:t xml:space="preserve">over the last two monitoring years </w:t>
      </w:r>
      <w:r w:rsidR="00897624">
        <w:rPr>
          <w:lang w:val="en-AU" w:eastAsia="en-AU"/>
        </w:rPr>
        <w:t xml:space="preserve">have been relatively stable and longer-term data are required for these sites to understand how changes in pressures </w:t>
      </w:r>
      <w:r w:rsidR="00DA1014">
        <w:rPr>
          <w:lang w:val="en-AU" w:eastAsia="en-AU"/>
        </w:rPr>
        <w:t>a</w:t>
      </w:r>
      <w:r w:rsidR="00897624">
        <w:rPr>
          <w:lang w:val="en-AU" w:eastAsia="en-AU"/>
        </w:rPr>
        <w:t xml:space="preserve">ffect the observed pesticide concentrations. Temporal </w:t>
      </w:r>
      <w:r w:rsidR="00873220">
        <w:rPr>
          <w:lang w:val="en-AU" w:eastAsia="en-AU"/>
        </w:rPr>
        <w:t xml:space="preserve">concentration </w:t>
      </w:r>
      <w:r w:rsidR="00897624">
        <w:rPr>
          <w:lang w:val="en-AU" w:eastAsia="en-AU"/>
        </w:rPr>
        <w:t xml:space="preserve">data for catchment </w:t>
      </w:r>
      <w:r w:rsidR="00873220">
        <w:rPr>
          <w:lang w:val="en-AU" w:eastAsia="en-AU"/>
        </w:rPr>
        <w:t>pesticide discharge to the Reef lagoon</w:t>
      </w:r>
      <w:r w:rsidR="00897624">
        <w:rPr>
          <w:lang w:val="en-AU" w:eastAsia="en-AU"/>
        </w:rPr>
        <w:t xml:space="preserve"> </w:t>
      </w:r>
      <w:r w:rsidR="00DA1014">
        <w:rPr>
          <w:lang w:val="en-AU" w:eastAsia="en-AU"/>
        </w:rPr>
        <w:t>should</w:t>
      </w:r>
      <w:r w:rsidR="00897624">
        <w:rPr>
          <w:lang w:val="en-AU" w:eastAsia="en-AU"/>
        </w:rPr>
        <w:t xml:space="preserve"> also be considered, where possible, in future reports.</w:t>
      </w:r>
      <w:r w:rsidR="00DA1014">
        <w:rPr>
          <w:lang w:val="en-AU" w:eastAsia="en-AU"/>
        </w:rPr>
        <w:t xml:space="preserve"> This will allow a more direct, temporal comparison between end-of-catchment pesticide data for major flow events and the levels reaching fixed monitoring sites.</w:t>
      </w:r>
    </w:p>
    <w:p w14:paraId="0281869A" w14:textId="689E8BDA" w:rsidR="005F5212" w:rsidRDefault="005F5212" w:rsidP="00015606">
      <w:pPr>
        <w:tabs>
          <w:tab w:val="left" w:pos="10065"/>
        </w:tabs>
        <w:spacing w:line="276" w:lineRule="auto"/>
        <w:rPr>
          <w:lang w:val="en-AU" w:eastAsia="en-AU"/>
        </w:rPr>
      </w:pPr>
    </w:p>
    <w:p w14:paraId="256816EB" w14:textId="0F6BC7E8" w:rsidR="005F5212" w:rsidRDefault="00DA1014" w:rsidP="00015606">
      <w:pPr>
        <w:tabs>
          <w:tab w:val="left" w:pos="10065"/>
        </w:tabs>
        <w:spacing w:line="276" w:lineRule="auto"/>
        <w:rPr>
          <w:lang w:val="en-AU" w:eastAsia="en-AU"/>
        </w:rPr>
      </w:pPr>
      <w:r>
        <w:rPr>
          <w:rFonts w:cs="Arial"/>
          <w:lang w:val="en-AU"/>
        </w:rPr>
        <w:t>The current pesticide metric, t</w:t>
      </w:r>
      <w:r w:rsidR="00873220">
        <w:rPr>
          <w:rFonts w:cs="Arial"/>
          <w:lang w:val="en-AU"/>
        </w:rPr>
        <w:t>he PSII-HEq index</w:t>
      </w:r>
      <w:r>
        <w:rPr>
          <w:rFonts w:cs="Arial"/>
          <w:lang w:val="en-AU"/>
        </w:rPr>
        <w:t>,</w:t>
      </w:r>
      <w:r w:rsidR="00873220">
        <w:rPr>
          <w:rFonts w:cs="Arial"/>
          <w:lang w:val="en-AU"/>
        </w:rPr>
        <w:t xml:space="preserve"> was identified as a suitable</w:t>
      </w:r>
      <w:r w:rsidR="005A7B29">
        <w:rPr>
          <w:rFonts w:cs="Arial"/>
          <w:lang w:val="en-AU"/>
        </w:rPr>
        <w:t xml:space="preserve"> </w:t>
      </w:r>
      <w:r w:rsidR="005E4B31">
        <w:rPr>
          <w:rFonts w:cs="Arial"/>
          <w:lang w:val="en-AU"/>
        </w:rPr>
        <w:t xml:space="preserve">interim </w:t>
      </w:r>
      <w:r w:rsidR="005A7B29">
        <w:rPr>
          <w:rFonts w:cs="Arial"/>
          <w:lang w:val="en-AU"/>
        </w:rPr>
        <w:t>risk</w:t>
      </w:r>
      <w:r w:rsidR="00873220">
        <w:rPr>
          <w:rFonts w:cs="Arial"/>
          <w:lang w:val="en-AU"/>
        </w:rPr>
        <w:t xml:space="preserve"> indicator </w:t>
      </w:r>
      <w:r>
        <w:rPr>
          <w:rFonts w:cs="Arial"/>
          <w:lang w:val="en-AU"/>
        </w:rPr>
        <w:t>in the 2013/4</w:t>
      </w:r>
      <w:r w:rsidR="00873220">
        <w:rPr>
          <w:rFonts w:cs="Arial"/>
          <w:lang w:val="en-AU"/>
        </w:rPr>
        <w:t xml:space="preserve"> review </w:t>
      </w:r>
      <w:r>
        <w:rPr>
          <w:rFonts w:cs="Arial"/>
          <w:lang w:val="en-AU"/>
        </w:rPr>
        <w:t xml:space="preserve">of the pesticide MMP. However, the limitations with this metric are well recognised and ultimately, a pesticide metric that can assess ecological risk to marine Reef organisms from mixtures of pesticides with different modes of action is paramount. The current </w:t>
      </w:r>
      <w:r w:rsidRPr="00DA1014">
        <w:rPr>
          <w:lang w:val="en-AU" w:eastAsia="en-AU"/>
        </w:rPr>
        <w:t>ms-PAF</w:t>
      </w:r>
      <w:r>
        <w:rPr>
          <w:rFonts w:cs="Arial"/>
          <w:lang w:val="en-AU"/>
        </w:rPr>
        <w:t xml:space="preserve"> model is a step towards this goal (see case study in Section 8) and </w:t>
      </w:r>
      <w:r>
        <w:rPr>
          <w:lang w:val="en-AU" w:eastAsia="en-AU"/>
        </w:rPr>
        <w:t>w</w:t>
      </w:r>
      <w:r w:rsidRPr="00DA1014">
        <w:rPr>
          <w:lang w:val="en-AU" w:eastAsia="en-AU"/>
        </w:rPr>
        <w:t xml:space="preserve">hen </w:t>
      </w:r>
      <w:r w:rsidR="005E4B31" w:rsidRPr="00DA1014">
        <w:rPr>
          <w:lang w:val="en-AU" w:eastAsia="en-AU"/>
        </w:rPr>
        <w:t>develop</w:t>
      </w:r>
      <w:r w:rsidR="005E4B31">
        <w:rPr>
          <w:lang w:val="en-AU" w:eastAsia="en-AU"/>
        </w:rPr>
        <w:t>ment of</w:t>
      </w:r>
      <w:r w:rsidR="005E4B31" w:rsidRPr="00DA1014">
        <w:rPr>
          <w:lang w:val="en-AU" w:eastAsia="en-AU"/>
        </w:rPr>
        <w:t xml:space="preserve"> </w:t>
      </w:r>
      <w:r w:rsidRPr="00DA1014">
        <w:rPr>
          <w:lang w:val="en-AU" w:eastAsia="en-AU"/>
        </w:rPr>
        <w:t xml:space="preserve">the non-additive model has been </w:t>
      </w:r>
      <w:r w:rsidR="005E4B31">
        <w:rPr>
          <w:lang w:val="en-AU" w:eastAsia="en-AU"/>
        </w:rPr>
        <w:t xml:space="preserve">completed </w:t>
      </w:r>
      <w:r w:rsidRPr="00DA1014">
        <w:rPr>
          <w:lang w:val="en-AU" w:eastAsia="en-AU"/>
        </w:rPr>
        <w:t xml:space="preserve">by DSITI, this will be a highly valuable and the recommended </w:t>
      </w:r>
      <w:r>
        <w:rPr>
          <w:lang w:val="en-AU" w:eastAsia="en-AU"/>
        </w:rPr>
        <w:t xml:space="preserve">risk assessment </w:t>
      </w:r>
      <w:r w:rsidRPr="00DA1014">
        <w:rPr>
          <w:lang w:val="en-AU" w:eastAsia="en-AU"/>
        </w:rPr>
        <w:t>tool</w:t>
      </w:r>
      <w:r>
        <w:rPr>
          <w:lang w:val="en-AU" w:eastAsia="en-AU"/>
        </w:rPr>
        <w:t xml:space="preserve">. In the meantime, to avoid </w:t>
      </w:r>
      <w:r w:rsidRPr="00DA1014">
        <w:rPr>
          <w:lang w:val="en-AU" w:eastAsia="en-AU"/>
        </w:rPr>
        <w:t xml:space="preserve">retrospective adjustments and </w:t>
      </w:r>
      <w:r w:rsidR="005A7B29">
        <w:rPr>
          <w:lang w:val="en-AU" w:eastAsia="en-AU"/>
        </w:rPr>
        <w:t>consistent</w:t>
      </w:r>
      <w:r w:rsidRPr="00DA1014">
        <w:rPr>
          <w:lang w:val="en-AU" w:eastAsia="en-AU"/>
        </w:rPr>
        <w:t xml:space="preserve"> </w:t>
      </w:r>
      <w:r w:rsidR="005E4B31" w:rsidRPr="00DA1014">
        <w:rPr>
          <w:lang w:val="en-AU" w:eastAsia="en-AU"/>
        </w:rPr>
        <w:t xml:space="preserve">risk </w:t>
      </w:r>
      <w:r w:rsidRPr="00DA1014">
        <w:rPr>
          <w:lang w:val="en-AU" w:eastAsia="en-AU"/>
        </w:rPr>
        <w:t>assessment</w:t>
      </w:r>
      <w:r w:rsidR="005A7B29">
        <w:rPr>
          <w:lang w:val="en-AU" w:eastAsia="en-AU"/>
        </w:rPr>
        <w:t>, the PSII-HEq Index</w:t>
      </w:r>
      <w:r w:rsidR="005E4B31">
        <w:rPr>
          <w:lang w:val="en-AU" w:eastAsia="en-AU"/>
        </w:rPr>
        <w:t xml:space="preserve"> will continue to be used</w:t>
      </w:r>
      <w:r w:rsidR="005A7B29">
        <w:rPr>
          <w:lang w:val="en-AU" w:eastAsia="en-AU"/>
        </w:rPr>
        <w:t>.</w:t>
      </w:r>
    </w:p>
    <w:p w14:paraId="34568E04" w14:textId="77777777" w:rsidR="005A7B29" w:rsidRDefault="005A7B29" w:rsidP="005A7B29">
      <w:pPr>
        <w:tabs>
          <w:tab w:val="left" w:pos="10065"/>
        </w:tabs>
        <w:spacing w:line="276" w:lineRule="auto"/>
        <w:rPr>
          <w:lang w:val="en-AU" w:eastAsia="en-AU"/>
        </w:rPr>
      </w:pPr>
    </w:p>
    <w:p w14:paraId="15721041" w14:textId="035103B2" w:rsidR="000C1191" w:rsidRDefault="005F5212" w:rsidP="00E5786A">
      <w:pPr>
        <w:tabs>
          <w:tab w:val="left" w:pos="10065"/>
        </w:tabs>
        <w:spacing w:after="120" w:line="276" w:lineRule="auto"/>
        <w:rPr>
          <w:lang w:val="en-AU" w:eastAsia="en-AU"/>
        </w:rPr>
      </w:pPr>
      <w:r>
        <w:rPr>
          <w:lang w:val="en-AU" w:eastAsia="en-AU"/>
        </w:rPr>
        <w:t>Going forward, c</w:t>
      </w:r>
      <w:r w:rsidR="0059608E">
        <w:rPr>
          <w:lang w:val="en-AU" w:eastAsia="en-AU"/>
        </w:rPr>
        <w:t>ontinu</w:t>
      </w:r>
      <w:r w:rsidR="005703BB">
        <w:rPr>
          <w:lang w:val="en-AU" w:eastAsia="en-AU"/>
        </w:rPr>
        <w:t>ed</w:t>
      </w:r>
      <w:r w:rsidR="0059608E">
        <w:rPr>
          <w:lang w:val="en-AU" w:eastAsia="en-AU"/>
        </w:rPr>
        <w:t xml:space="preserve"> efforts will be made to seek opportunities to collaborate with other Reef Plan programs (such as </w:t>
      </w:r>
      <w:r w:rsidR="003023DF">
        <w:rPr>
          <w:lang w:val="en-AU" w:eastAsia="en-AU"/>
        </w:rPr>
        <w:t>GBRCLMP</w:t>
      </w:r>
      <w:r w:rsidR="0059608E">
        <w:rPr>
          <w:lang w:val="en-AU" w:eastAsia="en-AU"/>
        </w:rPr>
        <w:t xml:space="preserve">) to provide a more </w:t>
      </w:r>
      <w:r w:rsidR="003023DF">
        <w:rPr>
          <w:lang w:val="en-AU" w:eastAsia="en-AU"/>
        </w:rPr>
        <w:t>integrated</w:t>
      </w:r>
      <w:r w:rsidR="0059608E">
        <w:rPr>
          <w:lang w:val="en-AU" w:eastAsia="en-AU"/>
        </w:rPr>
        <w:t xml:space="preserve"> view of</w:t>
      </w:r>
      <w:r w:rsidR="0059608E" w:rsidRPr="00450A4F">
        <w:rPr>
          <w:lang w:val="en-AU" w:eastAsia="en-AU"/>
        </w:rPr>
        <w:t xml:space="preserve"> management practice adoption, paddock scale monitoring, catchment monitoring and marine monitoring</w:t>
      </w:r>
      <w:r w:rsidR="0059608E" w:rsidRPr="00083C9C">
        <w:rPr>
          <w:lang w:val="en-AU" w:eastAsia="en-AU"/>
        </w:rPr>
        <w:t xml:space="preserve"> </w:t>
      </w:r>
      <w:r w:rsidR="0059608E">
        <w:rPr>
          <w:lang w:val="en-AU" w:eastAsia="en-AU"/>
        </w:rPr>
        <w:t>that will i</w:t>
      </w:r>
      <w:r w:rsidR="0059608E" w:rsidRPr="00450A4F">
        <w:rPr>
          <w:lang w:val="en-AU" w:eastAsia="en-AU"/>
        </w:rPr>
        <w:t xml:space="preserve">mprove information on the </w:t>
      </w:r>
      <w:r w:rsidR="005A7B29">
        <w:rPr>
          <w:lang w:val="en-AU" w:eastAsia="en-AU"/>
        </w:rPr>
        <w:t xml:space="preserve">temporal </w:t>
      </w:r>
      <w:r w:rsidR="00E5786A">
        <w:rPr>
          <w:lang w:val="en-AU" w:eastAsia="en-AU"/>
        </w:rPr>
        <w:t>pressures</w:t>
      </w:r>
      <w:r w:rsidR="0059608E" w:rsidRPr="00450A4F">
        <w:rPr>
          <w:lang w:val="en-AU" w:eastAsia="en-AU"/>
        </w:rPr>
        <w:t xml:space="preserve"> </w:t>
      </w:r>
      <w:r w:rsidR="00E5786A">
        <w:rPr>
          <w:lang w:val="en-AU" w:eastAsia="en-AU"/>
        </w:rPr>
        <w:t>driving</w:t>
      </w:r>
      <w:r w:rsidR="0059608E" w:rsidRPr="00450A4F">
        <w:rPr>
          <w:lang w:val="en-AU" w:eastAsia="en-AU"/>
        </w:rPr>
        <w:t xml:space="preserve"> </w:t>
      </w:r>
      <w:r w:rsidR="00173519">
        <w:rPr>
          <w:lang w:val="en-AU" w:eastAsia="en-AU"/>
        </w:rPr>
        <w:t>pesticide</w:t>
      </w:r>
      <w:r w:rsidR="00E5786A">
        <w:rPr>
          <w:lang w:val="en-AU" w:eastAsia="en-AU"/>
        </w:rPr>
        <w:t xml:space="preserve"> exposure of </w:t>
      </w:r>
      <w:r w:rsidR="0059608E">
        <w:rPr>
          <w:lang w:val="en-AU" w:eastAsia="en-AU"/>
        </w:rPr>
        <w:t xml:space="preserve">critical ecosystems. Other areas of </w:t>
      </w:r>
      <w:r w:rsidR="00173519">
        <w:rPr>
          <w:lang w:val="en-AU" w:eastAsia="en-AU"/>
        </w:rPr>
        <w:t xml:space="preserve">potential </w:t>
      </w:r>
      <w:r w:rsidR="0059608E">
        <w:rPr>
          <w:lang w:val="en-AU" w:eastAsia="en-AU"/>
        </w:rPr>
        <w:t xml:space="preserve">focus will be </w:t>
      </w:r>
      <w:r w:rsidR="000C1191">
        <w:rPr>
          <w:lang w:val="en-AU" w:eastAsia="en-AU"/>
        </w:rPr>
        <w:t>to</w:t>
      </w:r>
      <w:r w:rsidR="00E5786A">
        <w:rPr>
          <w:lang w:val="en-AU" w:eastAsia="en-AU"/>
        </w:rPr>
        <w:t>:</w:t>
      </w:r>
    </w:p>
    <w:p w14:paraId="15721043" w14:textId="4B8025E7" w:rsidR="000C1191" w:rsidRDefault="0085127C" w:rsidP="00E5786A">
      <w:pPr>
        <w:pStyle w:val="ListParagraph"/>
        <w:numPr>
          <w:ilvl w:val="0"/>
          <w:numId w:val="8"/>
        </w:numPr>
        <w:tabs>
          <w:tab w:val="left" w:pos="10065"/>
        </w:tabs>
        <w:spacing w:after="120" w:line="276" w:lineRule="auto"/>
        <w:ind w:left="714" w:hanging="357"/>
        <w:contextualSpacing w:val="0"/>
        <w:rPr>
          <w:lang w:val="en-AU" w:eastAsia="en-AU"/>
        </w:rPr>
      </w:pPr>
      <w:r>
        <w:rPr>
          <w:lang w:val="en-AU" w:eastAsia="en-AU"/>
        </w:rPr>
        <w:t>C</w:t>
      </w:r>
      <w:r w:rsidR="0059608E" w:rsidRPr="000C1191">
        <w:rPr>
          <w:lang w:val="en-AU" w:eastAsia="en-AU"/>
        </w:rPr>
        <w:t xml:space="preserve">ontinue to develop analytical methods to </w:t>
      </w:r>
      <w:r w:rsidR="00E35EF8">
        <w:rPr>
          <w:lang w:val="en-AU" w:eastAsia="en-AU"/>
        </w:rPr>
        <w:t>quantify the concentrations of</w:t>
      </w:r>
      <w:r w:rsidR="0059608E" w:rsidRPr="000C1191">
        <w:rPr>
          <w:lang w:val="en-AU" w:eastAsia="en-AU"/>
        </w:rPr>
        <w:t xml:space="preserve"> </w:t>
      </w:r>
      <w:r w:rsidR="00E35EF8">
        <w:rPr>
          <w:lang w:val="en-AU" w:eastAsia="en-AU"/>
        </w:rPr>
        <w:t>other pesticides</w:t>
      </w:r>
      <w:r w:rsidR="0059608E" w:rsidRPr="000C1191">
        <w:rPr>
          <w:lang w:val="en-AU" w:eastAsia="en-AU"/>
        </w:rPr>
        <w:t xml:space="preserve"> which are likely to have an increasing contribution to </w:t>
      </w:r>
      <w:r w:rsidR="00E35EF8">
        <w:rPr>
          <w:lang w:val="en-AU" w:eastAsia="en-AU"/>
        </w:rPr>
        <w:t>pesticide</w:t>
      </w:r>
      <w:r w:rsidR="0059608E" w:rsidRPr="000C1191">
        <w:rPr>
          <w:lang w:val="en-AU" w:eastAsia="en-AU"/>
        </w:rPr>
        <w:t xml:space="preserve"> loads </w:t>
      </w:r>
      <w:r w:rsidR="005E4B31">
        <w:rPr>
          <w:lang w:val="en-AU" w:eastAsia="en-AU"/>
        </w:rPr>
        <w:t xml:space="preserve">discharged </w:t>
      </w:r>
      <w:r w:rsidR="0059608E" w:rsidRPr="000C1191">
        <w:rPr>
          <w:lang w:val="en-AU" w:eastAsia="en-AU"/>
        </w:rPr>
        <w:t>into the Reef</w:t>
      </w:r>
      <w:r w:rsidR="005E4B31">
        <w:rPr>
          <w:lang w:val="en-AU" w:eastAsia="en-AU"/>
        </w:rPr>
        <w:t xml:space="preserve"> lagoon</w:t>
      </w:r>
      <w:r w:rsidR="00E5786A">
        <w:rPr>
          <w:lang w:val="en-AU" w:eastAsia="en-AU"/>
        </w:rPr>
        <w:t>;</w:t>
      </w:r>
    </w:p>
    <w:p w14:paraId="15721044" w14:textId="6B0D4396" w:rsidR="000C1191" w:rsidRDefault="0085127C" w:rsidP="00E5786A">
      <w:pPr>
        <w:pStyle w:val="ListParagraph"/>
        <w:numPr>
          <w:ilvl w:val="0"/>
          <w:numId w:val="8"/>
        </w:numPr>
        <w:tabs>
          <w:tab w:val="left" w:pos="10065"/>
        </w:tabs>
        <w:spacing w:after="120" w:line="276" w:lineRule="auto"/>
        <w:ind w:left="714" w:hanging="357"/>
        <w:contextualSpacing w:val="0"/>
        <w:rPr>
          <w:lang w:val="en-AU" w:eastAsia="en-AU"/>
        </w:rPr>
      </w:pPr>
      <w:r>
        <w:rPr>
          <w:lang w:val="en-AU" w:eastAsia="en-AU"/>
        </w:rPr>
        <w:t>C</w:t>
      </w:r>
      <w:r w:rsidR="000C1191">
        <w:rPr>
          <w:lang w:val="en-AU" w:eastAsia="en-AU"/>
        </w:rPr>
        <w:t>onsider condu</w:t>
      </w:r>
      <w:r w:rsidR="00CC166B">
        <w:rPr>
          <w:lang w:val="en-AU" w:eastAsia="en-AU"/>
        </w:rPr>
        <w:t xml:space="preserve">cting further field calibration studies to measure the uptake of </w:t>
      </w:r>
      <w:r w:rsidR="00E35EF8">
        <w:rPr>
          <w:lang w:val="en-AU" w:eastAsia="en-AU"/>
        </w:rPr>
        <w:t xml:space="preserve">other pesticides </w:t>
      </w:r>
      <w:r w:rsidR="00CC166B">
        <w:rPr>
          <w:lang w:val="en-AU" w:eastAsia="en-AU"/>
        </w:rPr>
        <w:t>and provide better estimates of water concentration</w:t>
      </w:r>
      <w:r w:rsidR="00E5786A">
        <w:rPr>
          <w:lang w:val="en-AU" w:eastAsia="en-AU"/>
        </w:rPr>
        <w:t>s;</w:t>
      </w:r>
    </w:p>
    <w:p w14:paraId="15721045" w14:textId="73090CFC" w:rsidR="0059608E" w:rsidRDefault="0085127C" w:rsidP="00E5786A">
      <w:pPr>
        <w:pStyle w:val="ListParagraph"/>
        <w:numPr>
          <w:ilvl w:val="0"/>
          <w:numId w:val="8"/>
        </w:numPr>
        <w:tabs>
          <w:tab w:val="left" w:pos="10065"/>
        </w:tabs>
        <w:spacing w:after="120" w:line="276" w:lineRule="auto"/>
        <w:ind w:left="714" w:hanging="357"/>
        <w:contextualSpacing w:val="0"/>
        <w:rPr>
          <w:lang w:val="en-AU" w:eastAsia="en-AU"/>
        </w:rPr>
      </w:pPr>
      <w:r>
        <w:rPr>
          <w:lang w:val="en-AU" w:eastAsia="en-AU"/>
        </w:rPr>
        <w:t xml:space="preserve">Develop statistical approaches to separate inter-annual </w:t>
      </w:r>
      <w:r w:rsidR="00E5786A">
        <w:rPr>
          <w:lang w:val="en-AU" w:eastAsia="en-AU"/>
        </w:rPr>
        <w:t xml:space="preserve">and inter-event </w:t>
      </w:r>
      <w:r>
        <w:rPr>
          <w:lang w:val="en-AU" w:eastAsia="en-AU"/>
        </w:rPr>
        <w:t>effects of flow variability on long-term trends in pesticide levels</w:t>
      </w:r>
      <w:r w:rsidR="00E5786A">
        <w:rPr>
          <w:lang w:val="en-AU" w:eastAsia="en-AU"/>
        </w:rPr>
        <w:t>,</w:t>
      </w:r>
      <w:r>
        <w:rPr>
          <w:lang w:val="en-AU" w:eastAsia="en-AU"/>
        </w:rPr>
        <w:t xml:space="preserve"> to better assess </w:t>
      </w:r>
      <w:r w:rsidR="00E5786A">
        <w:rPr>
          <w:lang w:val="en-AU" w:eastAsia="en-AU"/>
        </w:rPr>
        <w:t>changes in pesticide levels that are attributable to improved land management practices in the adjacent catchments;</w:t>
      </w:r>
    </w:p>
    <w:p w14:paraId="15721047" w14:textId="000E98DE" w:rsidR="006A27D8" w:rsidRPr="005E4B31" w:rsidRDefault="005A7B29" w:rsidP="00305667">
      <w:pPr>
        <w:pStyle w:val="ListParagraph"/>
        <w:numPr>
          <w:ilvl w:val="0"/>
          <w:numId w:val="8"/>
        </w:numPr>
        <w:tabs>
          <w:tab w:val="left" w:pos="10065"/>
        </w:tabs>
        <w:spacing w:after="120" w:line="276" w:lineRule="auto"/>
        <w:contextualSpacing w:val="0"/>
        <w:rPr>
          <w:lang w:val="en-AU" w:eastAsia="en-AU"/>
        </w:rPr>
      </w:pPr>
      <w:r w:rsidRPr="005E4B31">
        <w:rPr>
          <w:lang w:val="en-AU" w:eastAsia="en-AU"/>
        </w:rPr>
        <w:lastRenderedPageBreak/>
        <w:t xml:space="preserve">Work with the </w:t>
      </w:r>
      <w:r w:rsidR="005E4B31">
        <w:rPr>
          <w:lang w:val="en-AU" w:eastAsia="en-AU"/>
        </w:rPr>
        <w:t xml:space="preserve">Inshore </w:t>
      </w:r>
      <w:r w:rsidRPr="005E4B31">
        <w:rPr>
          <w:lang w:val="en-AU" w:eastAsia="en-AU"/>
        </w:rPr>
        <w:t>Water Quality MMP team to further a</w:t>
      </w:r>
      <w:r w:rsidR="00E5786A" w:rsidRPr="005E4B31">
        <w:rPr>
          <w:lang w:val="en-AU" w:eastAsia="en-AU"/>
        </w:rPr>
        <w:t xml:space="preserve">ssess </w:t>
      </w:r>
      <w:r w:rsidRPr="005E4B31">
        <w:rPr>
          <w:lang w:val="en-AU" w:eastAsia="en-AU"/>
        </w:rPr>
        <w:t xml:space="preserve">the </w:t>
      </w:r>
      <w:r w:rsidR="00E5786A" w:rsidRPr="005E4B31">
        <w:rPr>
          <w:lang w:val="en-AU" w:eastAsia="en-AU"/>
        </w:rPr>
        <w:t>eReef</w:t>
      </w:r>
      <w:r w:rsidRPr="005E4B31">
        <w:rPr>
          <w:lang w:val="en-AU" w:eastAsia="en-AU"/>
        </w:rPr>
        <w:t>s framework</w:t>
      </w:r>
      <w:r w:rsidR="00E5786A" w:rsidRPr="005E4B31">
        <w:rPr>
          <w:lang w:val="en-AU" w:eastAsia="en-AU"/>
        </w:rPr>
        <w:t xml:space="preserve"> as a tool to predict </w:t>
      </w:r>
      <w:r w:rsidR="00D812AE" w:rsidRPr="005E4B31">
        <w:rPr>
          <w:lang w:val="en-AU" w:eastAsia="en-AU"/>
        </w:rPr>
        <w:t xml:space="preserve">spatial and temporal trends in pesticide concentrations in the Reef lagoon </w:t>
      </w:r>
      <w:r w:rsidR="00E5786A" w:rsidRPr="005E4B31">
        <w:rPr>
          <w:lang w:val="en-AU" w:eastAsia="en-AU"/>
        </w:rPr>
        <w:t>and undertake a preliminary model investigation of a specific catchment region</w:t>
      </w:r>
      <w:r w:rsidR="00D812AE" w:rsidRPr="005E4B31">
        <w:rPr>
          <w:lang w:val="en-AU" w:eastAsia="en-AU"/>
        </w:rPr>
        <w:t xml:space="preserve"> </w:t>
      </w:r>
      <w:r w:rsidR="00E5786A" w:rsidRPr="005E4B31">
        <w:rPr>
          <w:lang w:val="en-AU" w:eastAsia="en-AU"/>
        </w:rPr>
        <w:t xml:space="preserve">to compare predicted pesticide concentrations with </w:t>
      </w:r>
      <w:r w:rsidR="00D812AE" w:rsidRPr="005E4B31">
        <w:rPr>
          <w:lang w:val="en-AU" w:eastAsia="en-AU"/>
        </w:rPr>
        <w:t>historic monitoring</w:t>
      </w:r>
      <w:r w:rsidR="00E5786A" w:rsidRPr="005E4B31">
        <w:rPr>
          <w:lang w:val="en-AU" w:eastAsia="en-AU"/>
        </w:rPr>
        <w:t xml:space="preserve"> data.</w:t>
      </w:r>
      <w:r w:rsidR="006A27D8" w:rsidRPr="005E4B31">
        <w:rPr>
          <w:lang w:val="en-AU" w:eastAsia="en-AU"/>
        </w:rPr>
        <w:br w:type="page"/>
      </w:r>
    </w:p>
    <w:p w14:paraId="15721048" w14:textId="77777777" w:rsidR="0059608E" w:rsidRPr="004E0EF8" w:rsidRDefault="00494403" w:rsidP="00220439">
      <w:pPr>
        <w:pStyle w:val="Heading1"/>
        <w:keepNext/>
        <w:numPr>
          <w:ilvl w:val="0"/>
          <w:numId w:val="1"/>
        </w:numPr>
        <w:spacing w:before="120" w:after="480" w:line="240" w:lineRule="auto"/>
        <w:ind w:left="574"/>
        <w:jc w:val="both"/>
        <w:rPr>
          <w:rFonts w:eastAsia="Times New Roman" w:cs="Arial"/>
          <w:bCs w:val="0"/>
          <w:caps w:val="0"/>
          <w:kern w:val="28"/>
          <w:sz w:val="36"/>
          <w:szCs w:val="28"/>
          <w:lang w:eastAsia="en-US" w:bidi="ar-SA"/>
        </w:rPr>
      </w:pPr>
      <w:bookmarkStart w:id="711" w:name="_Toc461457781"/>
      <w:bookmarkStart w:id="712" w:name="_Toc502500025"/>
      <w:r w:rsidRPr="004E0EF8">
        <w:rPr>
          <w:rFonts w:eastAsia="Times New Roman" w:cs="Arial"/>
          <w:bCs w:val="0"/>
          <w:caps w:val="0"/>
          <w:kern w:val="28"/>
          <w:sz w:val="36"/>
          <w:szCs w:val="28"/>
          <w:lang w:eastAsia="en-US" w:bidi="ar-SA"/>
        </w:rPr>
        <w:lastRenderedPageBreak/>
        <w:t>References</w:t>
      </w:r>
      <w:bookmarkEnd w:id="711"/>
      <w:bookmarkEnd w:id="712"/>
    </w:p>
    <w:p w14:paraId="335AC905" w14:textId="77777777" w:rsidR="00873220" w:rsidRPr="005E4B31" w:rsidRDefault="00C91BF5" w:rsidP="005E4B31">
      <w:pPr>
        <w:pStyle w:val="EndNoteBibliography"/>
        <w:ind w:left="426" w:hanging="426"/>
        <w:rPr>
          <w:sz w:val="20"/>
          <w:szCs w:val="20"/>
        </w:rPr>
      </w:pPr>
      <w:r w:rsidRPr="005E4B31">
        <w:rPr>
          <w:sz w:val="20"/>
          <w:szCs w:val="20"/>
        </w:rPr>
        <w:fldChar w:fldCharType="begin"/>
      </w:r>
      <w:r w:rsidR="006C60D9" w:rsidRPr="005E4B31">
        <w:rPr>
          <w:sz w:val="20"/>
          <w:szCs w:val="20"/>
        </w:rPr>
        <w:instrText xml:space="preserve"> ADDIN EN.REFLIST </w:instrText>
      </w:r>
      <w:r w:rsidRPr="005E4B31">
        <w:rPr>
          <w:sz w:val="20"/>
          <w:szCs w:val="20"/>
        </w:rPr>
        <w:fldChar w:fldCharType="separate"/>
      </w:r>
      <w:r w:rsidR="00873220" w:rsidRPr="005E4B31">
        <w:rPr>
          <w:sz w:val="20"/>
          <w:szCs w:val="20"/>
        </w:rPr>
        <w:t>ABS (2010). "4619.0 - Land Management Practices in the Great Barrier Reef Catchments, Preliminary, 2008-09." Retrieved 6 November, 2014.</w:t>
      </w:r>
    </w:p>
    <w:p w14:paraId="369A83D9" w14:textId="77777777" w:rsidR="00873220" w:rsidRPr="005E4B31" w:rsidRDefault="00873220" w:rsidP="005E4B31">
      <w:pPr>
        <w:pStyle w:val="EndNoteBibliography"/>
        <w:ind w:left="426" w:hanging="426"/>
        <w:rPr>
          <w:sz w:val="20"/>
          <w:szCs w:val="20"/>
        </w:rPr>
      </w:pPr>
      <w:r w:rsidRPr="005E4B31">
        <w:rPr>
          <w:sz w:val="20"/>
          <w:szCs w:val="20"/>
        </w:rPr>
        <w:t xml:space="preserve">Álvarez-Romero, J.G., M. Devlin, E.T. da Silva, C. Petus, N.C. Ban, R.L. Pressey, J. Kool, J.J. Roberts, S. Cerdeira-Estrada and A.S. Wenger (2013). A novel approach to model exposure of coastal-marine ecosystems to riverine flood plumes based on remote sensing techniques. </w:t>
      </w:r>
      <w:r w:rsidRPr="005E4B31">
        <w:rPr>
          <w:sz w:val="20"/>
          <w:szCs w:val="20"/>
          <w:u w:val="single"/>
        </w:rPr>
        <w:t>Journal of environmental management</w:t>
      </w:r>
      <w:r w:rsidRPr="005E4B31">
        <w:rPr>
          <w:sz w:val="20"/>
          <w:szCs w:val="20"/>
        </w:rPr>
        <w:t xml:space="preserve"> </w:t>
      </w:r>
      <w:r w:rsidRPr="005E4B31">
        <w:rPr>
          <w:b/>
          <w:sz w:val="20"/>
          <w:szCs w:val="20"/>
        </w:rPr>
        <w:t>119</w:t>
      </w:r>
      <w:r w:rsidRPr="005E4B31">
        <w:rPr>
          <w:sz w:val="20"/>
          <w:szCs w:val="20"/>
        </w:rPr>
        <w:t xml:space="preserve">: 194-207. </w:t>
      </w:r>
    </w:p>
    <w:p w14:paraId="5FDC1619" w14:textId="77777777" w:rsidR="00873220" w:rsidRPr="005E4B31" w:rsidRDefault="00873220" w:rsidP="005E4B31">
      <w:pPr>
        <w:pStyle w:val="EndNoteBibliography"/>
        <w:ind w:left="426" w:hanging="426"/>
        <w:rPr>
          <w:sz w:val="20"/>
          <w:szCs w:val="20"/>
        </w:rPr>
      </w:pPr>
      <w:r w:rsidRPr="005E4B31">
        <w:rPr>
          <w:sz w:val="20"/>
          <w:szCs w:val="20"/>
        </w:rPr>
        <w:t xml:space="preserve">ANZECC and ARMCANZ (2000a). Australian and New Zealand Guidelines for Fresh and Marine Water Quality. Volume 1. The Guidelines (Chapters 1-7). National Water Quality Management Strategy Paper No. 4. Australian &amp; New Zealand Environment &amp; Conservation Council and the Agriculture &amp; Resource Management Council of Australia &amp; New Zealand. </w:t>
      </w:r>
      <w:r w:rsidRPr="005E4B31">
        <w:rPr>
          <w:b/>
          <w:sz w:val="20"/>
          <w:szCs w:val="20"/>
        </w:rPr>
        <w:t>1</w:t>
      </w:r>
      <w:r w:rsidRPr="005E4B31">
        <w:rPr>
          <w:sz w:val="20"/>
          <w:szCs w:val="20"/>
        </w:rPr>
        <w:t>.</w:t>
      </w:r>
    </w:p>
    <w:p w14:paraId="3C5FD624" w14:textId="77777777" w:rsidR="00873220" w:rsidRPr="005E4B31" w:rsidRDefault="00873220" w:rsidP="005E4B31">
      <w:pPr>
        <w:pStyle w:val="EndNoteBibliography"/>
        <w:ind w:left="426" w:hanging="426"/>
        <w:rPr>
          <w:sz w:val="20"/>
          <w:szCs w:val="20"/>
        </w:rPr>
      </w:pPr>
      <w:r w:rsidRPr="005E4B31">
        <w:rPr>
          <w:sz w:val="20"/>
          <w:szCs w:val="20"/>
        </w:rPr>
        <w:t xml:space="preserve">ANZECC and ARMCANZ (2000b). Australian and New Zealand Guidelines for Fresh and Marine Water Quality. Volume 2. Aquatic Ecosystems — Rationale and Background Information (Chapter 8). National Water Quality Management Strategy Paper No. 4. Australian &amp; New Zealand Environment &amp; Conservation Council and the Agriculture &amp; Resource Management Council of Australia &amp; New Zealand. </w:t>
      </w:r>
      <w:r w:rsidRPr="005E4B31">
        <w:rPr>
          <w:b/>
          <w:sz w:val="20"/>
          <w:szCs w:val="20"/>
        </w:rPr>
        <w:t>2</w:t>
      </w:r>
      <w:r w:rsidRPr="005E4B31">
        <w:rPr>
          <w:sz w:val="20"/>
          <w:szCs w:val="20"/>
        </w:rPr>
        <w:t>.</w:t>
      </w:r>
    </w:p>
    <w:p w14:paraId="7D9C492B" w14:textId="77777777" w:rsidR="00873220" w:rsidRPr="005E4B31" w:rsidRDefault="00873220" w:rsidP="005E4B31">
      <w:pPr>
        <w:pStyle w:val="EndNoteBibliography"/>
        <w:ind w:left="426" w:hanging="426"/>
        <w:rPr>
          <w:sz w:val="20"/>
          <w:szCs w:val="20"/>
        </w:rPr>
      </w:pPr>
      <w:r w:rsidRPr="005E4B31">
        <w:rPr>
          <w:sz w:val="20"/>
          <w:szCs w:val="20"/>
        </w:rPr>
        <w:t xml:space="preserve">Backhaus, T., M. Faust, M. Scholze, P. Gramatica, M. Vighi and L.H. Grimme (2004). Joint algal toxicity of phenylurea herbicides is equally predictable by concentration addition and independent action. </w:t>
      </w:r>
      <w:r w:rsidRPr="005E4B31">
        <w:rPr>
          <w:sz w:val="20"/>
          <w:szCs w:val="20"/>
          <w:u w:val="single"/>
        </w:rPr>
        <w:t>Environmental toxicology and chemistry</w:t>
      </w:r>
      <w:r w:rsidRPr="005E4B31">
        <w:rPr>
          <w:sz w:val="20"/>
          <w:szCs w:val="20"/>
        </w:rPr>
        <w:t xml:space="preserve"> </w:t>
      </w:r>
      <w:r w:rsidRPr="005E4B31">
        <w:rPr>
          <w:b/>
          <w:sz w:val="20"/>
          <w:szCs w:val="20"/>
        </w:rPr>
        <w:t>23</w:t>
      </w:r>
      <w:r w:rsidRPr="005E4B31">
        <w:rPr>
          <w:sz w:val="20"/>
          <w:szCs w:val="20"/>
        </w:rPr>
        <w:t xml:space="preserve">(2): 258-264. </w:t>
      </w:r>
    </w:p>
    <w:p w14:paraId="698F866E" w14:textId="77777777" w:rsidR="00873220" w:rsidRPr="005E4B31" w:rsidRDefault="00873220" w:rsidP="005E4B31">
      <w:pPr>
        <w:pStyle w:val="EndNoteBibliography"/>
        <w:ind w:left="426" w:hanging="426"/>
        <w:rPr>
          <w:sz w:val="20"/>
          <w:szCs w:val="20"/>
        </w:rPr>
      </w:pPr>
      <w:r w:rsidRPr="005E4B31">
        <w:rPr>
          <w:sz w:val="20"/>
          <w:szCs w:val="20"/>
        </w:rPr>
        <w:t xml:space="preserve">Bainbridge, Z.T., J.E. Brodie, J.W. Faithful, D.A. Sydes and S.E. Lewis (2009). Identifying the land-based sources of suspended sediments, nutrients and pesticides discharged to the Great Barrier Reef from the Tully–Murray Basin, Queensland, Australia. </w:t>
      </w:r>
      <w:r w:rsidRPr="005E4B31">
        <w:rPr>
          <w:sz w:val="20"/>
          <w:szCs w:val="20"/>
          <w:u w:val="single"/>
        </w:rPr>
        <w:t>Marine and Freshwater Research</w:t>
      </w:r>
      <w:r w:rsidRPr="005E4B31">
        <w:rPr>
          <w:sz w:val="20"/>
          <w:szCs w:val="20"/>
        </w:rPr>
        <w:t xml:space="preserve"> </w:t>
      </w:r>
      <w:r w:rsidRPr="005E4B31">
        <w:rPr>
          <w:b/>
          <w:sz w:val="20"/>
          <w:szCs w:val="20"/>
        </w:rPr>
        <w:t>60</w:t>
      </w:r>
      <w:r w:rsidRPr="005E4B31">
        <w:rPr>
          <w:sz w:val="20"/>
          <w:szCs w:val="20"/>
        </w:rPr>
        <w:t xml:space="preserve">(11): 1081-1090. </w:t>
      </w:r>
    </w:p>
    <w:p w14:paraId="3BD8C539" w14:textId="77777777" w:rsidR="00873220" w:rsidRPr="005E4B31" w:rsidRDefault="00873220" w:rsidP="005E4B31">
      <w:pPr>
        <w:pStyle w:val="EndNoteBibliography"/>
        <w:ind w:left="426" w:hanging="426"/>
        <w:rPr>
          <w:sz w:val="20"/>
          <w:szCs w:val="20"/>
        </w:rPr>
      </w:pPr>
      <w:r w:rsidRPr="005E4B31">
        <w:rPr>
          <w:sz w:val="20"/>
          <w:szCs w:val="20"/>
        </w:rPr>
        <w:t>Batley, G.E., R. van Dam, M.S.J. Warne, J.C. Chapman, D.R. Fox, C.W. Hickey and J.L. Stauber (2014). Revision of the Method for Deriving Water Quality Guideline Values for Toxicants. A Water for a Healthy Country Flagship Report. Prepared for the Council of Australian Government’s Standing Council on Environment and Water (SCEW). CSIRO.</w:t>
      </w:r>
    </w:p>
    <w:p w14:paraId="1F155C89" w14:textId="77777777" w:rsidR="00873220" w:rsidRPr="005E4B31" w:rsidRDefault="00873220" w:rsidP="005E4B31">
      <w:pPr>
        <w:pStyle w:val="EndNoteBibliography"/>
        <w:ind w:left="426" w:hanging="426"/>
        <w:rPr>
          <w:sz w:val="20"/>
          <w:szCs w:val="20"/>
        </w:rPr>
      </w:pPr>
      <w:r w:rsidRPr="005E4B31">
        <w:rPr>
          <w:sz w:val="20"/>
          <w:szCs w:val="20"/>
        </w:rPr>
        <w:t xml:space="preserve">Bentley, C., M. Devlin, C. Paxman, K. Chue and J. Mueller (2012). Pesticide monitoring in inshore waters of the Great Barrier Reef using both time-integrated and event monitoring techniques (2011-2012). </w:t>
      </w:r>
    </w:p>
    <w:p w14:paraId="4D388331" w14:textId="1572DDAF" w:rsidR="00873220" w:rsidRPr="005E4B31" w:rsidRDefault="00873220" w:rsidP="005E4B31">
      <w:pPr>
        <w:pStyle w:val="EndNoteBibliography"/>
        <w:ind w:left="426" w:hanging="426"/>
        <w:rPr>
          <w:sz w:val="20"/>
          <w:szCs w:val="20"/>
        </w:rPr>
      </w:pPr>
      <w:r w:rsidRPr="005E4B31">
        <w:rPr>
          <w:sz w:val="20"/>
          <w:szCs w:val="20"/>
        </w:rPr>
        <w:t xml:space="preserve">BOM (2016). "ENSO Wrap-Up." Retrieved 17 June 2016, from </w:t>
      </w:r>
      <w:hyperlink r:id="rId47" w:history="1">
        <w:r w:rsidRPr="005E4B31">
          <w:rPr>
            <w:rStyle w:val="Hyperlink"/>
            <w:rFonts w:cs="Arial"/>
            <w:sz w:val="20"/>
            <w:szCs w:val="20"/>
          </w:rPr>
          <w:t>http://www.bom.gov.au/climate/enso/</w:t>
        </w:r>
      </w:hyperlink>
      <w:r w:rsidRPr="005E4B31">
        <w:rPr>
          <w:sz w:val="20"/>
          <w:szCs w:val="20"/>
        </w:rPr>
        <w:t>.</w:t>
      </w:r>
    </w:p>
    <w:p w14:paraId="622A2ACF" w14:textId="77777777" w:rsidR="00873220" w:rsidRPr="005E4B31" w:rsidRDefault="00873220" w:rsidP="005E4B31">
      <w:pPr>
        <w:pStyle w:val="EndNoteBibliography"/>
        <w:ind w:left="426" w:hanging="426"/>
        <w:rPr>
          <w:sz w:val="20"/>
          <w:szCs w:val="20"/>
        </w:rPr>
      </w:pPr>
      <w:r w:rsidRPr="005E4B31">
        <w:rPr>
          <w:sz w:val="20"/>
          <w:szCs w:val="20"/>
        </w:rPr>
        <w:t xml:space="preserve">Booij, K., F. Smedes and E.M. Van Weerlee (2002). Spiking of performance reference compounds in low density polyethylene and silicone passive water samplers. </w:t>
      </w:r>
      <w:r w:rsidRPr="005E4B31">
        <w:rPr>
          <w:sz w:val="20"/>
          <w:szCs w:val="20"/>
          <w:u w:val="single"/>
        </w:rPr>
        <w:t>Chemosphere</w:t>
      </w:r>
      <w:r w:rsidRPr="005E4B31">
        <w:rPr>
          <w:sz w:val="20"/>
          <w:szCs w:val="20"/>
        </w:rPr>
        <w:t xml:space="preserve"> </w:t>
      </w:r>
      <w:r w:rsidRPr="005E4B31">
        <w:rPr>
          <w:b/>
          <w:sz w:val="20"/>
          <w:szCs w:val="20"/>
        </w:rPr>
        <w:t>46</w:t>
      </w:r>
      <w:r w:rsidRPr="005E4B31">
        <w:rPr>
          <w:sz w:val="20"/>
          <w:szCs w:val="20"/>
        </w:rPr>
        <w:t xml:space="preserve">(8): 1157-1161. </w:t>
      </w:r>
    </w:p>
    <w:p w14:paraId="7559908B" w14:textId="77777777" w:rsidR="00873220" w:rsidRPr="005E4B31" w:rsidRDefault="00873220" w:rsidP="005E4B31">
      <w:pPr>
        <w:pStyle w:val="EndNoteBibliography"/>
        <w:ind w:left="426" w:hanging="426"/>
        <w:rPr>
          <w:sz w:val="20"/>
          <w:szCs w:val="20"/>
        </w:rPr>
      </w:pPr>
      <w:r w:rsidRPr="005E4B31">
        <w:rPr>
          <w:sz w:val="20"/>
          <w:szCs w:val="20"/>
        </w:rPr>
        <w:t>Brodie, J., J. Waterhouse, B. Schaffelke, F. Kroon, P. Thorburn, J. Rolfe, J. Johnson, K. Fabricius, S. Lewis, M. Devlin, M. Warne and L. McKenzie (2013). Scientific Consensus Statement. Land use impacts on Great Barrier Reef water quality and ecosystem condition. The State of Queensland, Reef Water Quality Protection Plan Secretariat.</w:t>
      </w:r>
    </w:p>
    <w:p w14:paraId="7E7E4B6D" w14:textId="1D571FC6" w:rsidR="00873220" w:rsidRPr="005E4B31" w:rsidRDefault="00873220" w:rsidP="005E4B31">
      <w:pPr>
        <w:pStyle w:val="EndNoteBibliography"/>
        <w:ind w:left="426" w:hanging="426"/>
        <w:rPr>
          <w:sz w:val="20"/>
          <w:szCs w:val="20"/>
        </w:rPr>
      </w:pPr>
      <w:r w:rsidRPr="005E4B31">
        <w:rPr>
          <w:sz w:val="20"/>
          <w:szCs w:val="20"/>
        </w:rPr>
        <w:t xml:space="preserve">Brodie, J.E., F.J. Kroon, B. Schaffelke, E.C. Wolanski, S.E. Lewis, M.J. Devlin, I.C. Bohnet, Z.T. Bainbridge, J. Waterhouse and A.M. Davis (2012). Terrestrial pollutant runoff to the Great Barrier Reef: An update of issues, priorities and management responses. </w:t>
      </w:r>
      <w:r w:rsidRPr="005E4B31">
        <w:rPr>
          <w:sz w:val="20"/>
          <w:szCs w:val="20"/>
          <w:u w:val="single"/>
        </w:rPr>
        <w:t>Marine pollution bulletin</w:t>
      </w:r>
      <w:r w:rsidRPr="005E4B31">
        <w:rPr>
          <w:sz w:val="20"/>
          <w:szCs w:val="20"/>
        </w:rPr>
        <w:t xml:space="preserve"> </w:t>
      </w:r>
      <w:r w:rsidRPr="005E4B31">
        <w:rPr>
          <w:b/>
          <w:sz w:val="20"/>
          <w:szCs w:val="20"/>
        </w:rPr>
        <w:t>65</w:t>
      </w:r>
      <w:r w:rsidRPr="005E4B31">
        <w:rPr>
          <w:sz w:val="20"/>
          <w:szCs w:val="20"/>
        </w:rPr>
        <w:t xml:space="preserve">(4–9): 81-100. DOI: </w:t>
      </w:r>
      <w:hyperlink r:id="rId48" w:history="1">
        <w:r w:rsidRPr="005E4B31">
          <w:rPr>
            <w:rStyle w:val="Hyperlink"/>
            <w:rFonts w:cs="Arial"/>
            <w:sz w:val="20"/>
            <w:szCs w:val="20"/>
          </w:rPr>
          <w:t>http://dx.doi.org/10.1016/j.marpolbul.2011.12.012</w:t>
        </w:r>
      </w:hyperlink>
    </w:p>
    <w:p w14:paraId="3BC428B9" w14:textId="77777777" w:rsidR="00873220" w:rsidRPr="005E4B31" w:rsidRDefault="00873220" w:rsidP="005E4B31">
      <w:pPr>
        <w:pStyle w:val="EndNoteBibliography"/>
        <w:ind w:left="426" w:hanging="426"/>
        <w:rPr>
          <w:sz w:val="20"/>
          <w:szCs w:val="20"/>
          <w:u w:val="single"/>
        </w:rPr>
      </w:pPr>
      <w:r w:rsidRPr="005E4B31">
        <w:rPr>
          <w:sz w:val="20"/>
          <w:szCs w:val="20"/>
        </w:rPr>
        <w:t xml:space="preserve">Brodie, J.E., L.A. McKergow, I.P. Prosser, M. Furnas, A.O. Hughes and H. Hunter (2003). Sources of sediment and nutrient exports to the Great Barrier Reef World Heritage Area. </w:t>
      </w:r>
      <w:r w:rsidRPr="005E4B31">
        <w:rPr>
          <w:sz w:val="20"/>
          <w:szCs w:val="20"/>
          <w:u w:val="single"/>
        </w:rPr>
        <w:t>Report. Australian Centre for Tropical Freshwater Research, Townsville, Australia.</w:t>
      </w:r>
    </w:p>
    <w:p w14:paraId="06B0E694" w14:textId="22AFCE4D" w:rsidR="00873220" w:rsidRPr="005E4B31" w:rsidRDefault="00873220" w:rsidP="005E4B31">
      <w:pPr>
        <w:pStyle w:val="EndNoteBibliography"/>
        <w:ind w:left="426" w:hanging="426"/>
        <w:rPr>
          <w:sz w:val="20"/>
          <w:szCs w:val="20"/>
        </w:rPr>
      </w:pPr>
      <w:r w:rsidRPr="005E4B31">
        <w:rPr>
          <w:sz w:val="20"/>
          <w:szCs w:val="20"/>
        </w:rPr>
        <w:t xml:space="preserve">Bureau of Meteorology (2017). "Daily rainfall totals for Australia." Retrieved 15 June, 2016, from </w:t>
      </w:r>
      <w:hyperlink r:id="rId49" w:history="1">
        <w:r w:rsidRPr="005E4B31">
          <w:rPr>
            <w:rStyle w:val="Hyperlink"/>
            <w:rFonts w:cs="Arial"/>
            <w:sz w:val="20"/>
            <w:szCs w:val="20"/>
          </w:rPr>
          <w:t>http://www.bom.gov.au/jsp/awap/rain/index.jsp</w:t>
        </w:r>
      </w:hyperlink>
      <w:r w:rsidRPr="005E4B31">
        <w:rPr>
          <w:sz w:val="20"/>
          <w:szCs w:val="20"/>
        </w:rPr>
        <w:t>.</w:t>
      </w:r>
    </w:p>
    <w:p w14:paraId="47A4FACC" w14:textId="77777777" w:rsidR="00873220" w:rsidRPr="005E4B31" w:rsidRDefault="00873220" w:rsidP="005E4B31">
      <w:pPr>
        <w:pStyle w:val="EndNoteBibliography"/>
        <w:ind w:left="426" w:hanging="426"/>
        <w:rPr>
          <w:sz w:val="20"/>
          <w:szCs w:val="20"/>
        </w:rPr>
      </w:pPr>
      <w:r w:rsidRPr="005E4B31">
        <w:rPr>
          <w:sz w:val="20"/>
          <w:szCs w:val="20"/>
        </w:rPr>
        <w:t xml:space="preserve">Cantin, N.E., A.P. Negri and B.L. Willis (2007). Photoinhibition from chronic herbicide exposure reduces reproductive output of reef-building corals. </w:t>
      </w:r>
      <w:r w:rsidRPr="005E4B31">
        <w:rPr>
          <w:sz w:val="20"/>
          <w:szCs w:val="20"/>
          <w:u w:val="single"/>
        </w:rPr>
        <w:t>Marine Ecology Progress Series</w:t>
      </w:r>
      <w:r w:rsidRPr="005E4B31">
        <w:rPr>
          <w:sz w:val="20"/>
          <w:szCs w:val="20"/>
        </w:rPr>
        <w:t xml:space="preserve"> </w:t>
      </w:r>
      <w:r w:rsidRPr="005E4B31">
        <w:rPr>
          <w:b/>
          <w:sz w:val="20"/>
          <w:szCs w:val="20"/>
        </w:rPr>
        <w:t>344</w:t>
      </w:r>
      <w:r w:rsidRPr="005E4B31">
        <w:rPr>
          <w:sz w:val="20"/>
          <w:szCs w:val="20"/>
        </w:rPr>
        <w:t xml:space="preserve">: 81-93. </w:t>
      </w:r>
    </w:p>
    <w:p w14:paraId="7CE27CBE" w14:textId="31CCC941" w:rsidR="00873220" w:rsidRPr="005E4B31" w:rsidRDefault="00873220" w:rsidP="005E4B31">
      <w:pPr>
        <w:pStyle w:val="EndNoteBibliography"/>
        <w:ind w:left="426" w:hanging="426"/>
        <w:rPr>
          <w:sz w:val="20"/>
          <w:szCs w:val="20"/>
        </w:rPr>
      </w:pPr>
      <w:r w:rsidRPr="005E4B31">
        <w:rPr>
          <w:sz w:val="20"/>
          <w:szCs w:val="20"/>
        </w:rPr>
        <w:t xml:space="preserve">Commonwealth of Australia (2015). Reef 2050 Long-Term Sustainability Plan. </w:t>
      </w:r>
      <w:hyperlink r:id="rId50" w:history="1">
        <w:r w:rsidRPr="005E4B31">
          <w:rPr>
            <w:rStyle w:val="Hyperlink"/>
            <w:rFonts w:cs="Arial"/>
            <w:sz w:val="20"/>
            <w:szCs w:val="20"/>
          </w:rPr>
          <w:t>http://www.environment.gov.au/marine/gbr/publications/highlights-long-term-sustainability-plan</w:t>
        </w:r>
      </w:hyperlink>
      <w:r w:rsidRPr="005E4B31">
        <w:rPr>
          <w:sz w:val="20"/>
          <w:szCs w:val="20"/>
        </w:rPr>
        <w:t>.</w:t>
      </w:r>
    </w:p>
    <w:p w14:paraId="2AD1BB10" w14:textId="72E471E1" w:rsidR="00873220" w:rsidRPr="005E4B31" w:rsidRDefault="00873220" w:rsidP="005E4B31">
      <w:pPr>
        <w:pStyle w:val="EndNoteBibliography"/>
        <w:ind w:left="426" w:hanging="426"/>
        <w:rPr>
          <w:sz w:val="20"/>
          <w:szCs w:val="20"/>
        </w:rPr>
      </w:pPr>
      <w:r w:rsidRPr="005E4B31">
        <w:rPr>
          <w:sz w:val="20"/>
          <w:szCs w:val="20"/>
        </w:rPr>
        <w:t xml:space="preserve">Davis, A.M., S.E. Lewis, J.E. Brodie and A. Benson (2014). The potential benefits of herbicide regulation: A cautionary note for the Great Barrier Reef catchment area. </w:t>
      </w:r>
      <w:r w:rsidRPr="005E4B31">
        <w:rPr>
          <w:sz w:val="20"/>
          <w:szCs w:val="20"/>
          <w:u w:val="single"/>
        </w:rPr>
        <w:t>Science of The Total Environment</w:t>
      </w:r>
      <w:r w:rsidRPr="005E4B31">
        <w:rPr>
          <w:sz w:val="20"/>
          <w:szCs w:val="20"/>
        </w:rPr>
        <w:t xml:space="preserve"> </w:t>
      </w:r>
      <w:r w:rsidRPr="005E4B31">
        <w:rPr>
          <w:b/>
          <w:sz w:val="20"/>
          <w:szCs w:val="20"/>
        </w:rPr>
        <w:t>490</w:t>
      </w:r>
      <w:r w:rsidRPr="005E4B31">
        <w:rPr>
          <w:sz w:val="20"/>
          <w:szCs w:val="20"/>
        </w:rPr>
        <w:t xml:space="preserve">: 81-92. DOI: </w:t>
      </w:r>
      <w:hyperlink r:id="rId51" w:history="1">
        <w:r w:rsidRPr="005E4B31">
          <w:rPr>
            <w:rStyle w:val="Hyperlink"/>
            <w:rFonts w:cs="Arial"/>
            <w:sz w:val="20"/>
            <w:szCs w:val="20"/>
          </w:rPr>
          <w:t>http://dx.doi.org/10.1016/j.scitotenv.2014.04.005</w:t>
        </w:r>
      </w:hyperlink>
    </w:p>
    <w:p w14:paraId="1E5DCCDC" w14:textId="77777777" w:rsidR="00873220" w:rsidRPr="005E4B31" w:rsidRDefault="00873220" w:rsidP="005E4B31">
      <w:pPr>
        <w:pStyle w:val="EndNoteBibliography"/>
        <w:ind w:left="426" w:hanging="426"/>
        <w:rPr>
          <w:sz w:val="20"/>
          <w:szCs w:val="20"/>
        </w:rPr>
      </w:pPr>
      <w:r w:rsidRPr="005E4B31">
        <w:rPr>
          <w:sz w:val="20"/>
          <w:szCs w:val="20"/>
        </w:rPr>
        <w:t xml:space="preserve">De’ath, G., K.E. Fabricius, H. Sweatman and M. Puotinen (2012). The 27–year decline of coral cover on the Great Barrier Reef and its causes. </w:t>
      </w:r>
      <w:r w:rsidRPr="005E4B31">
        <w:rPr>
          <w:sz w:val="20"/>
          <w:szCs w:val="20"/>
          <w:u w:val="single"/>
        </w:rPr>
        <w:t>Proceedings of the National Academy of Sciences</w:t>
      </w:r>
      <w:r w:rsidRPr="005E4B31">
        <w:rPr>
          <w:sz w:val="20"/>
          <w:szCs w:val="20"/>
        </w:rPr>
        <w:t xml:space="preserve"> </w:t>
      </w:r>
      <w:r w:rsidRPr="005E4B31">
        <w:rPr>
          <w:b/>
          <w:sz w:val="20"/>
          <w:szCs w:val="20"/>
        </w:rPr>
        <w:t>109</w:t>
      </w:r>
      <w:r w:rsidRPr="005E4B31">
        <w:rPr>
          <w:sz w:val="20"/>
          <w:szCs w:val="20"/>
        </w:rPr>
        <w:t>(44): 17995-17999. DOI: 10.1073/pnas.1208909109</w:t>
      </w:r>
    </w:p>
    <w:p w14:paraId="631E13E4" w14:textId="77777777" w:rsidR="00873220" w:rsidRPr="005E4B31" w:rsidRDefault="00873220" w:rsidP="005E4B31">
      <w:pPr>
        <w:pStyle w:val="EndNoteBibliography"/>
        <w:ind w:left="426" w:hanging="426"/>
        <w:rPr>
          <w:sz w:val="20"/>
          <w:szCs w:val="20"/>
        </w:rPr>
      </w:pPr>
      <w:r w:rsidRPr="005E4B31">
        <w:rPr>
          <w:sz w:val="20"/>
          <w:szCs w:val="20"/>
        </w:rPr>
        <w:t xml:space="preserve">Devlin, M., S. Lewis, A. Davis, R. Smith, A. Negri, M. Thompson and M. Poggio (2015). Advancing our understanding of the source, management, transport and impacts of pesticides on the Great Barrier Reef 2011 - 2015. </w:t>
      </w:r>
      <w:r w:rsidRPr="005E4B31">
        <w:rPr>
          <w:sz w:val="20"/>
          <w:szCs w:val="20"/>
        </w:rPr>
        <w:lastRenderedPageBreak/>
        <w:t>. Tropical Water and Aquatic Ecosystem Research (TropWATER), James Cook University, Cairns.</w:t>
      </w:r>
    </w:p>
    <w:p w14:paraId="2BCF95C4" w14:textId="77777777" w:rsidR="00873220" w:rsidRPr="005E4B31" w:rsidRDefault="00873220" w:rsidP="005E4B31">
      <w:pPr>
        <w:pStyle w:val="EndNoteBibliography"/>
        <w:ind w:left="426" w:hanging="426"/>
        <w:rPr>
          <w:sz w:val="20"/>
          <w:szCs w:val="20"/>
        </w:rPr>
      </w:pPr>
      <w:r w:rsidRPr="005E4B31">
        <w:rPr>
          <w:sz w:val="20"/>
          <w:szCs w:val="20"/>
        </w:rPr>
        <w:t xml:space="preserve">Devlin, M. and B. Schaffelke (2009). Spatial extent of riverine flood plumes and exposure of marine ecosystems in the Tully coastal region, Great Barrier Reef. </w:t>
      </w:r>
      <w:r w:rsidRPr="005E4B31">
        <w:rPr>
          <w:sz w:val="20"/>
          <w:szCs w:val="20"/>
          <w:u w:val="single"/>
        </w:rPr>
        <w:t>Marine and Freshwater Research</w:t>
      </w:r>
      <w:r w:rsidRPr="005E4B31">
        <w:rPr>
          <w:sz w:val="20"/>
          <w:szCs w:val="20"/>
        </w:rPr>
        <w:t xml:space="preserve"> </w:t>
      </w:r>
      <w:r w:rsidRPr="005E4B31">
        <w:rPr>
          <w:b/>
          <w:sz w:val="20"/>
          <w:szCs w:val="20"/>
        </w:rPr>
        <w:t>60</w:t>
      </w:r>
      <w:r w:rsidRPr="005E4B31">
        <w:rPr>
          <w:sz w:val="20"/>
          <w:szCs w:val="20"/>
        </w:rPr>
        <w:t xml:space="preserve">: 1109-1122. </w:t>
      </w:r>
    </w:p>
    <w:p w14:paraId="3E6755C2" w14:textId="77777777" w:rsidR="00873220" w:rsidRPr="005E4B31" w:rsidRDefault="00873220" w:rsidP="005E4B31">
      <w:pPr>
        <w:pStyle w:val="EndNoteBibliography"/>
        <w:ind w:left="426" w:hanging="426"/>
        <w:rPr>
          <w:sz w:val="20"/>
          <w:szCs w:val="20"/>
        </w:rPr>
      </w:pPr>
      <w:r w:rsidRPr="005E4B31">
        <w:rPr>
          <w:sz w:val="20"/>
          <w:szCs w:val="20"/>
        </w:rPr>
        <w:t>Devlin, M.J., A. Wenger, C. Petus, E.T. da Silva, J. DeBose and J. Álvarez-Romero (2012). Reef Rescue Marine Monitoring Program. Final Report of JCU Activities 2011/12– Flood Plumes and Extreme weather monitoring for the Great Barrier Reef Marine Park Authority. James Cook University. Townsville.</w:t>
      </w:r>
    </w:p>
    <w:p w14:paraId="687A745C" w14:textId="05003EDC" w:rsidR="00873220" w:rsidRPr="005E4B31" w:rsidRDefault="00873220" w:rsidP="005E4B31">
      <w:pPr>
        <w:pStyle w:val="EndNoteBibliography"/>
        <w:ind w:left="426" w:hanging="426"/>
        <w:rPr>
          <w:sz w:val="20"/>
          <w:szCs w:val="20"/>
        </w:rPr>
      </w:pPr>
      <w:r w:rsidRPr="005E4B31">
        <w:rPr>
          <w:sz w:val="20"/>
          <w:szCs w:val="20"/>
        </w:rPr>
        <w:t xml:space="preserve">DoE (2016). "National Water Quality Management Strategy." Retrieved 14 June, 2016, from </w:t>
      </w:r>
      <w:hyperlink r:id="rId52" w:anchor="process" w:history="1">
        <w:r w:rsidRPr="005E4B31">
          <w:rPr>
            <w:rStyle w:val="Hyperlink"/>
            <w:rFonts w:cs="Arial"/>
            <w:sz w:val="20"/>
            <w:szCs w:val="20"/>
          </w:rPr>
          <w:t>https://www.environment.gov.au/water/quality/national-water-quality-management-strategy#process</w:t>
        </w:r>
      </w:hyperlink>
      <w:r w:rsidRPr="005E4B31">
        <w:rPr>
          <w:sz w:val="20"/>
          <w:szCs w:val="20"/>
        </w:rPr>
        <w:t>.</w:t>
      </w:r>
    </w:p>
    <w:p w14:paraId="0B5FEF43" w14:textId="77777777" w:rsidR="00873220" w:rsidRPr="005E4B31" w:rsidRDefault="00873220" w:rsidP="005E4B31">
      <w:pPr>
        <w:pStyle w:val="EndNoteBibliography"/>
        <w:ind w:left="426" w:hanging="426"/>
        <w:rPr>
          <w:sz w:val="20"/>
          <w:szCs w:val="20"/>
        </w:rPr>
      </w:pPr>
      <w:r w:rsidRPr="005E4B31">
        <w:rPr>
          <w:sz w:val="20"/>
          <w:szCs w:val="20"/>
        </w:rPr>
        <w:t>DSITI (2012a). Land use summary 1999–2009 for the Fitzroy NRM region. Queensland Department of Science, Information Technology, Innovation and the Arts, Brisbane.</w:t>
      </w:r>
    </w:p>
    <w:p w14:paraId="7AB16FBF" w14:textId="77777777" w:rsidR="00873220" w:rsidRPr="005E4B31" w:rsidRDefault="00873220" w:rsidP="005E4B31">
      <w:pPr>
        <w:pStyle w:val="EndNoteBibliography"/>
        <w:ind w:left="426" w:hanging="426"/>
        <w:rPr>
          <w:sz w:val="20"/>
          <w:szCs w:val="20"/>
        </w:rPr>
      </w:pPr>
      <w:r w:rsidRPr="005E4B31">
        <w:rPr>
          <w:sz w:val="20"/>
          <w:szCs w:val="20"/>
        </w:rPr>
        <w:t>DSITI (2012b). Land use summary 1999–2009 for the Wet Tropics NRM region. Queensland Department of Science, Information Technology, Innovation and the Arts, Brisbane.</w:t>
      </w:r>
    </w:p>
    <w:p w14:paraId="490E9FFC" w14:textId="77777777" w:rsidR="00873220" w:rsidRPr="005E4B31" w:rsidRDefault="00873220" w:rsidP="005E4B31">
      <w:pPr>
        <w:pStyle w:val="EndNoteBibliography"/>
        <w:ind w:left="426" w:hanging="426"/>
        <w:rPr>
          <w:sz w:val="20"/>
          <w:szCs w:val="20"/>
        </w:rPr>
      </w:pPr>
      <w:r w:rsidRPr="005E4B31">
        <w:rPr>
          <w:sz w:val="20"/>
          <w:szCs w:val="20"/>
        </w:rPr>
        <w:t>DSITI (2012c). Land use summary 1999–2009: Burdekin NRM region. Queensland Department of Science, Information Technology, Innovation and the Arts, Brisbane.</w:t>
      </w:r>
    </w:p>
    <w:p w14:paraId="3DC011A5" w14:textId="77777777" w:rsidR="00873220" w:rsidRPr="005E4B31" w:rsidRDefault="00873220" w:rsidP="005E4B31">
      <w:pPr>
        <w:pStyle w:val="EndNoteBibliography"/>
        <w:ind w:left="426" w:hanging="426"/>
        <w:rPr>
          <w:sz w:val="20"/>
          <w:szCs w:val="20"/>
        </w:rPr>
      </w:pPr>
      <w:r w:rsidRPr="005E4B31">
        <w:rPr>
          <w:sz w:val="20"/>
          <w:szCs w:val="20"/>
        </w:rPr>
        <w:t>DSITI (2012d). Land use summary 1999–2009: Great Barrier Reef catchments. Brisbane, Queensland Department of Science, Information Technology, Innovation and the Arts.</w:t>
      </w:r>
    </w:p>
    <w:p w14:paraId="037C04A4" w14:textId="77777777" w:rsidR="00873220" w:rsidRPr="005E4B31" w:rsidRDefault="00873220" w:rsidP="005E4B31">
      <w:pPr>
        <w:pStyle w:val="EndNoteBibliography"/>
        <w:ind w:left="426" w:hanging="426"/>
        <w:rPr>
          <w:sz w:val="20"/>
          <w:szCs w:val="20"/>
        </w:rPr>
      </w:pPr>
      <w:r w:rsidRPr="005E4B31">
        <w:rPr>
          <w:sz w:val="20"/>
          <w:szCs w:val="20"/>
        </w:rPr>
        <w:t>DSITI (2012e). Land use Summary 1999–2009: Mackay–Whitsunday NRM Region. Queensland Department of Science, Information Technology, Innovation and the Arts, Brisbane.</w:t>
      </w:r>
    </w:p>
    <w:p w14:paraId="6E682E36" w14:textId="77777777" w:rsidR="00873220" w:rsidRPr="005E4B31" w:rsidRDefault="00873220" w:rsidP="005E4B31">
      <w:pPr>
        <w:pStyle w:val="EndNoteBibliography"/>
        <w:ind w:left="426" w:hanging="426"/>
        <w:rPr>
          <w:sz w:val="20"/>
          <w:szCs w:val="20"/>
        </w:rPr>
      </w:pPr>
      <w:r w:rsidRPr="005E4B31">
        <w:rPr>
          <w:sz w:val="20"/>
          <w:szCs w:val="20"/>
        </w:rPr>
        <w:t>DSITI (2015). Notification of Reported Exceedances of Pesticide Water Quality Guidelines in 2015–16 No.7. Deparment of Science, Information Technology and Innovation, Brisbane.</w:t>
      </w:r>
    </w:p>
    <w:p w14:paraId="4C7A2E2B" w14:textId="77777777" w:rsidR="00873220" w:rsidRPr="005E4B31" w:rsidRDefault="00873220" w:rsidP="005E4B31">
      <w:pPr>
        <w:pStyle w:val="EndNoteBibliography"/>
        <w:ind w:left="426" w:hanging="426"/>
        <w:rPr>
          <w:sz w:val="20"/>
          <w:szCs w:val="20"/>
        </w:rPr>
      </w:pPr>
      <w:r w:rsidRPr="005E4B31">
        <w:rPr>
          <w:sz w:val="20"/>
          <w:szCs w:val="20"/>
        </w:rPr>
        <w:t>DSITI (2017). Comparison of the proposed ecosystem protection guideline values for diuron in fresh and marine ecosystems with the existing guideline and protective concentration values. Brisbane, Australia, Department of Science, Information Technology and Innovation, Water Quality and Investigations</w:t>
      </w:r>
      <w:r w:rsidRPr="005E4B31">
        <w:rPr>
          <w:b/>
          <w:sz w:val="20"/>
          <w:szCs w:val="20"/>
        </w:rPr>
        <w:t xml:space="preserve">: </w:t>
      </w:r>
      <w:r w:rsidRPr="005E4B31">
        <w:rPr>
          <w:sz w:val="20"/>
          <w:szCs w:val="20"/>
        </w:rPr>
        <w:t>9 pp.</w:t>
      </w:r>
    </w:p>
    <w:p w14:paraId="06AB03A9" w14:textId="77777777" w:rsidR="00873220" w:rsidRPr="005E4B31" w:rsidRDefault="00873220" w:rsidP="005E4B31">
      <w:pPr>
        <w:pStyle w:val="EndNoteBibliography"/>
        <w:ind w:left="426" w:hanging="426"/>
        <w:rPr>
          <w:sz w:val="20"/>
          <w:szCs w:val="20"/>
        </w:rPr>
      </w:pPr>
      <w:r w:rsidRPr="005E4B31">
        <w:rPr>
          <w:sz w:val="20"/>
          <w:szCs w:val="20"/>
        </w:rPr>
        <w:t xml:space="preserve">Escher, B.I., P. Quayle, R. Muller, U. Schreiber and J.F. Mueller (2006). Passive sampling of herbicides combined with effect analysis in algae using a novel high-throughput phytotoxicity assay (Maxi-Imaging-PAM). </w:t>
      </w:r>
      <w:r w:rsidRPr="005E4B31">
        <w:rPr>
          <w:sz w:val="20"/>
          <w:szCs w:val="20"/>
          <w:u w:val="single"/>
        </w:rPr>
        <w:t>Journal of Environmental Monitoring</w:t>
      </w:r>
      <w:r w:rsidRPr="005E4B31">
        <w:rPr>
          <w:sz w:val="20"/>
          <w:szCs w:val="20"/>
        </w:rPr>
        <w:t xml:space="preserve"> </w:t>
      </w:r>
      <w:r w:rsidRPr="005E4B31">
        <w:rPr>
          <w:b/>
          <w:sz w:val="20"/>
          <w:szCs w:val="20"/>
        </w:rPr>
        <w:t>8</w:t>
      </w:r>
      <w:r w:rsidRPr="005E4B31">
        <w:rPr>
          <w:sz w:val="20"/>
          <w:szCs w:val="20"/>
        </w:rPr>
        <w:t xml:space="preserve">(4): 456-464. </w:t>
      </w:r>
    </w:p>
    <w:p w14:paraId="21F1358C" w14:textId="77777777" w:rsidR="00873220" w:rsidRPr="005E4B31" w:rsidRDefault="00873220" w:rsidP="005E4B31">
      <w:pPr>
        <w:pStyle w:val="EndNoteBibliography"/>
        <w:ind w:left="426" w:hanging="426"/>
        <w:rPr>
          <w:sz w:val="20"/>
          <w:szCs w:val="20"/>
        </w:rPr>
      </w:pPr>
      <w:r w:rsidRPr="005E4B31">
        <w:rPr>
          <w:sz w:val="20"/>
          <w:szCs w:val="20"/>
        </w:rPr>
        <w:t xml:space="preserve">Faust, M., R. Altenburger, T. Backhaus, H. Blanck, W. Boedeker, P. Gramatica, V. Hamer, M. Scholze, M. Vighi and L. Grimme (2001). Predicting the joint algal toxicity of multi-component s-triazine mixtures at low-effect concentrations of individual toxicants. </w:t>
      </w:r>
      <w:r w:rsidRPr="005E4B31">
        <w:rPr>
          <w:sz w:val="20"/>
          <w:szCs w:val="20"/>
          <w:u w:val="single"/>
        </w:rPr>
        <w:t>Aquatic Toxicology</w:t>
      </w:r>
      <w:r w:rsidRPr="005E4B31">
        <w:rPr>
          <w:sz w:val="20"/>
          <w:szCs w:val="20"/>
        </w:rPr>
        <w:t xml:space="preserve"> </w:t>
      </w:r>
      <w:r w:rsidRPr="005E4B31">
        <w:rPr>
          <w:b/>
          <w:sz w:val="20"/>
          <w:szCs w:val="20"/>
        </w:rPr>
        <w:t>56</w:t>
      </w:r>
      <w:r w:rsidRPr="005E4B31">
        <w:rPr>
          <w:sz w:val="20"/>
          <w:szCs w:val="20"/>
        </w:rPr>
        <w:t xml:space="preserve">(1): 13-32. </w:t>
      </w:r>
    </w:p>
    <w:p w14:paraId="3FA43A43" w14:textId="77777777" w:rsidR="00873220" w:rsidRPr="005E4B31" w:rsidRDefault="00873220" w:rsidP="005E4B31">
      <w:pPr>
        <w:pStyle w:val="EndNoteBibliography"/>
        <w:ind w:left="426" w:hanging="426"/>
        <w:rPr>
          <w:sz w:val="20"/>
          <w:szCs w:val="20"/>
        </w:rPr>
      </w:pPr>
      <w:r w:rsidRPr="005E4B31">
        <w:rPr>
          <w:sz w:val="20"/>
          <w:szCs w:val="20"/>
        </w:rPr>
        <w:t xml:space="preserve">Flores, F., C.J. Collier, P. Mercurio and A.P. Negri (2013) Phytotoxicity of Four Photosystem II Herbicides to Tropical Seagrasses. </w:t>
      </w:r>
      <w:r w:rsidRPr="005E4B31">
        <w:rPr>
          <w:b/>
          <w:sz w:val="20"/>
          <w:szCs w:val="20"/>
        </w:rPr>
        <w:t>8</w:t>
      </w:r>
      <w:r w:rsidRPr="005E4B31">
        <w:rPr>
          <w:sz w:val="20"/>
          <w:szCs w:val="20"/>
        </w:rPr>
        <w:t>,   DOI: 10.1371/journal.pone.0075798</w:t>
      </w:r>
    </w:p>
    <w:p w14:paraId="12BB472B" w14:textId="77777777" w:rsidR="00873220" w:rsidRPr="005E4B31" w:rsidRDefault="00873220" w:rsidP="005E4B31">
      <w:pPr>
        <w:pStyle w:val="EndNoteBibliography"/>
        <w:ind w:left="426" w:hanging="426"/>
        <w:rPr>
          <w:sz w:val="20"/>
          <w:szCs w:val="20"/>
        </w:rPr>
      </w:pPr>
      <w:r w:rsidRPr="005E4B31">
        <w:rPr>
          <w:sz w:val="20"/>
          <w:szCs w:val="20"/>
        </w:rPr>
        <w:t>Gallen, C., M. Devlin, C. Paxman, A. Banks and J. Mueller (2013). Pesticide monitoring in inshore waters of the Great Barrier Reef using both time-integrated and event monitoring techniques (2012-2013). The University of Queensland, The National Research Centre for Environmental Toxicology (Entox).</w:t>
      </w:r>
    </w:p>
    <w:p w14:paraId="588FB824" w14:textId="77777777" w:rsidR="00873220" w:rsidRPr="005E4B31" w:rsidRDefault="00873220" w:rsidP="005E4B31">
      <w:pPr>
        <w:pStyle w:val="EndNoteBibliography"/>
        <w:ind w:left="426" w:hanging="426"/>
        <w:rPr>
          <w:sz w:val="20"/>
          <w:szCs w:val="20"/>
        </w:rPr>
      </w:pPr>
      <w:r w:rsidRPr="005E4B31">
        <w:rPr>
          <w:sz w:val="20"/>
          <w:szCs w:val="20"/>
        </w:rPr>
        <w:t>Gallen, C., M. Devlin, K. Thompson, C. Paxman and J. Mueller (2014). Pesticide monitoring in inshore waters of the Great Barrier Reef using both time-integrated and event monitoring techniques (2013-2014). The University of Queensland, The National Research Centre for Environmental Toxicology (Entox).</w:t>
      </w:r>
    </w:p>
    <w:p w14:paraId="02B7CDC8" w14:textId="77777777" w:rsidR="00873220" w:rsidRPr="005E4B31" w:rsidRDefault="00873220" w:rsidP="005E4B31">
      <w:pPr>
        <w:pStyle w:val="EndNoteBibliography"/>
        <w:ind w:left="426" w:hanging="426"/>
        <w:rPr>
          <w:sz w:val="20"/>
          <w:szCs w:val="20"/>
        </w:rPr>
      </w:pPr>
      <w:r w:rsidRPr="005E4B31">
        <w:rPr>
          <w:sz w:val="20"/>
          <w:szCs w:val="20"/>
        </w:rPr>
        <w:t>Gallen, C., K. Thompson, C. Paxman, M. Devlin and J. Mueller (2016). Marine Monitoring Program.  Annual Report for inshore pesticide monitoring: 2014 to 2015. Report for the Great Barrier Reef Marine Park Authority, The University of Queensland, The National Research Centre for Environmental Toxicology (Entox), Brisbane.</w:t>
      </w:r>
    </w:p>
    <w:p w14:paraId="14EED01C" w14:textId="77777777" w:rsidR="00873220" w:rsidRPr="005E4B31" w:rsidRDefault="00873220" w:rsidP="005E4B31">
      <w:pPr>
        <w:pStyle w:val="EndNoteBibliography"/>
        <w:ind w:left="426" w:hanging="426"/>
        <w:rPr>
          <w:sz w:val="20"/>
          <w:szCs w:val="20"/>
        </w:rPr>
      </w:pPr>
      <w:r w:rsidRPr="005E4B31">
        <w:rPr>
          <w:sz w:val="20"/>
          <w:szCs w:val="20"/>
        </w:rPr>
        <w:t>GBRMPA (2010). Water Quality Guidelines for the Great Barrier Reef Marine Park. Revised Edition 2010. Great Barrier Reef Marine Park Authority, Townsville.</w:t>
      </w:r>
    </w:p>
    <w:p w14:paraId="196928BF" w14:textId="1FA58472" w:rsidR="00873220" w:rsidRPr="005E4B31" w:rsidRDefault="00873220" w:rsidP="005E4B31">
      <w:pPr>
        <w:pStyle w:val="EndNoteBibliography"/>
        <w:ind w:left="426" w:hanging="426"/>
        <w:rPr>
          <w:sz w:val="20"/>
          <w:szCs w:val="20"/>
        </w:rPr>
      </w:pPr>
      <w:r w:rsidRPr="005E4B31">
        <w:rPr>
          <w:sz w:val="20"/>
          <w:szCs w:val="20"/>
        </w:rPr>
        <w:t xml:space="preserve">GBRMPA (2011). "Marine Monitoring Program." from </w:t>
      </w:r>
      <w:hyperlink r:id="rId53" w:history="1">
        <w:r w:rsidRPr="005E4B31">
          <w:rPr>
            <w:rStyle w:val="Hyperlink"/>
            <w:rFonts w:cs="Arial"/>
            <w:sz w:val="20"/>
            <w:szCs w:val="20"/>
          </w:rPr>
          <w:t>http://www.gbrmpa.gov.au/managing-the-reef/how-the-reefs-managed/reef-2050-marine-monitoring-program</w:t>
        </w:r>
      </w:hyperlink>
      <w:r w:rsidRPr="005E4B31">
        <w:rPr>
          <w:sz w:val="20"/>
          <w:szCs w:val="20"/>
        </w:rPr>
        <w:t>.</w:t>
      </w:r>
    </w:p>
    <w:p w14:paraId="59C5D914" w14:textId="77777777" w:rsidR="00873220" w:rsidRPr="005E4B31" w:rsidRDefault="00873220" w:rsidP="005E4B31">
      <w:pPr>
        <w:pStyle w:val="EndNoteBibliography"/>
        <w:ind w:left="426" w:hanging="426"/>
        <w:rPr>
          <w:sz w:val="20"/>
          <w:szCs w:val="20"/>
        </w:rPr>
      </w:pPr>
      <w:r w:rsidRPr="005E4B31">
        <w:rPr>
          <w:sz w:val="20"/>
          <w:szCs w:val="20"/>
        </w:rPr>
        <w:t>GBRMPA (2013). Great Barrier Reef Region Strategic Assessment: Strategic assessment report. Great Barrier Reef Marine Park Authority, Townsville.</w:t>
      </w:r>
    </w:p>
    <w:p w14:paraId="43383E12" w14:textId="77777777" w:rsidR="00873220" w:rsidRPr="005E4B31" w:rsidRDefault="00873220" w:rsidP="005E4B31">
      <w:pPr>
        <w:pStyle w:val="EndNoteBibliography"/>
        <w:ind w:left="426" w:hanging="426"/>
        <w:rPr>
          <w:sz w:val="20"/>
          <w:szCs w:val="20"/>
        </w:rPr>
      </w:pPr>
      <w:r w:rsidRPr="005E4B31">
        <w:rPr>
          <w:sz w:val="20"/>
          <w:szCs w:val="20"/>
        </w:rPr>
        <w:t>GBRMPA (2014). Great Barrier Reef Outlook Report 2014. Great Barrier Reef Marine Park Authority, Townsville.</w:t>
      </w:r>
    </w:p>
    <w:p w14:paraId="687FC322" w14:textId="77777777" w:rsidR="00873220" w:rsidRPr="005E4B31" w:rsidRDefault="00873220" w:rsidP="005E4B31">
      <w:pPr>
        <w:pStyle w:val="EndNoteBibliography"/>
        <w:ind w:left="426" w:hanging="426"/>
        <w:rPr>
          <w:sz w:val="20"/>
          <w:szCs w:val="20"/>
        </w:rPr>
      </w:pPr>
      <w:r w:rsidRPr="005E4B31">
        <w:rPr>
          <w:sz w:val="20"/>
          <w:szCs w:val="20"/>
        </w:rPr>
        <w:t>GBRMPA (2016). Marine Monitoring Program: Quality Assurance and Quality Control Manual 2015-2016. Townsville, Great Barrier Reef Marine Park Authority.</w:t>
      </w:r>
    </w:p>
    <w:p w14:paraId="448BC3DD" w14:textId="2BC4494C" w:rsidR="00873220" w:rsidRPr="005E4B31" w:rsidRDefault="00873220" w:rsidP="005E4B31">
      <w:pPr>
        <w:pStyle w:val="EndNoteBibliography"/>
        <w:ind w:left="426" w:hanging="426"/>
        <w:rPr>
          <w:sz w:val="20"/>
          <w:szCs w:val="20"/>
        </w:rPr>
      </w:pPr>
      <w:r w:rsidRPr="005E4B31">
        <w:rPr>
          <w:sz w:val="20"/>
          <w:szCs w:val="20"/>
        </w:rPr>
        <w:t xml:space="preserve">GBRMPA (2017). Water Quality Guidelines for the Great Barrier Reef. Great Barrier Reef Marine Park Authority, Townsville, Queensland, Australia. </w:t>
      </w:r>
      <w:hyperlink r:id="rId54" w:history="1">
        <w:r w:rsidRPr="005E4B31">
          <w:rPr>
            <w:rStyle w:val="Hyperlink"/>
            <w:rFonts w:cs="Arial"/>
            <w:sz w:val="20"/>
            <w:szCs w:val="20"/>
          </w:rPr>
          <w:t>http://www.gbrmpa.gov.au/managing-the-reef/how-the-reefs-managed/water-quality-in-the-great-barrier-reef/water-quality-guidelines-for-the-great-barrier-reef</w:t>
        </w:r>
      </w:hyperlink>
      <w:r w:rsidRPr="005E4B31">
        <w:rPr>
          <w:sz w:val="20"/>
          <w:szCs w:val="20"/>
        </w:rPr>
        <w:t>.</w:t>
      </w:r>
    </w:p>
    <w:p w14:paraId="49E92013" w14:textId="77777777" w:rsidR="00873220" w:rsidRPr="005E4B31" w:rsidRDefault="00873220" w:rsidP="005E4B31">
      <w:pPr>
        <w:pStyle w:val="EndNoteBibliography"/>
        <w:ind w:left="426" w:hanging="426"/>
        <w:rPr>
          <w:sz w:val="20"/>
          <w:szCs w:val="20"/>
        </w:rPr>
      </w:pPr>
      <w:r w:rsidRPr="005E4B31">
        <w:rPr>
          <w:sz w:val="20"/>
          <w:szCs w:val="20"/>
        </w:rPr>
        <w:t xml:space="preserve">Jones, R.J. and A.P. Kerswell (2003). Phytotoxicity of photosystem II (PSII) herbicides to coral. </w:t>
      </w:r>
      <w:r w:rsidRPr="005E4B31">
        <w:rPr>
          <w:sz w:val="20"/>
          <w:szCs w:val="20"/>
          <w:u w:val="single"/>
        </w:rPr>
        <w:t>Marine Ecology Progress Series</w:t>
      </w:r>
      <w:r w:rsidRPr="005E4B31">
        <w:rPr>
          <w:sz w:val="20"/>
          <w:szCs w:val="20"/>
        </w:rPr>
        <w:t xml:space="preserve"> </w:t>
      </w:r>
      <w:r w:rsidRPr="005E4B31">
        <w:rPr>
          <w:b/>
          <w:sz w:val="20"/>
          <w:szCs w:val="20"/>
        </w:rPr>
        <w:t>261</w:t>
      </w:r>
      <w:r w:rsidRPr="005E4B31">
        <w:rPr>
          <w:sz w:val="20"/>
          <w:szCs w:val="20"/>
        </w:rPr>
        <w:t xml:space="preserve">: 149-159. </w:t>
      </w:r>
    </w:p>
    <w:p w14:paraId="1D3C530C" w14:textId="77777777" w:rsidR="00873220" w:rsidRPr="005E4B31" w:rsidRDefault="00873220" w:rsidP="005E4B31">
      <w:pPr>
        <w:pStyle w:val="EndNoteBibliography"/>
        <w:ind w:left="426" w:hanging="426"/>
        <w:rPr>
          <w:sz w:val="20"/>
          <w:szCs w:val="20"/>
        </w:rPr>
      </w:pPr>
      <w:r w:rsidRPr="005E4B31">
        <w:rPr>
          <w:sz w:val="20"/>
          <w:szCs w:val="20"/>
        </w:rPr>
        <w:t xml:space="preserve">Kaserzon, S., D.W. Hawker, K. Kennedy, M. Bartkow, S. Carter, K. Booij and J. Mueller (2014). Characterisation and comparison of the uptake of ionizable and polar pesticides, pharmaceuticals and personal care products by POCIS and Chemcatchers. </w:t>
      </w:r>
      <w:r w:rsidRPr="005E4B31">
        <w:rPr>
          <w:sz w:val="20"/>
          <w:szCs w:val="20"/>
          <w:u w:val="single"/>
        </w:rPr>
        <w:t>Environmental Science: Processes &amp; Impacts</w:t>
      </w:r>
      <w:r w:rsidRPr="005E4B31">
        <w:rPr>
          <w:sz w:val="20"/>
          <w:szCs w:val="20"/>
        </w:rPr>
        <w:t xml:space="preserve"> </w:t>
      </w:r>
      <w:r w:rsidRPr="005E4B31">
        <w:rPr>
          <w:b/>
          <w:sz w:val="20"/>
          <w:szCs w:val="20"/>
        </w:rPr>
        <w:t>16</w:t>
      </w:r>
      <w:r w:rsidRPr="005E4B31">
        <w:rPr>
          <w:sz w:val="20"/>
          <w:szCs w:val="20"/>
        </w:rPr>
        <w:t xml:space="preserve">(11): 2517-2526. </w:t>
      </w:r>
    </w:p>
    <w:p w14:paraId="6B2F8436" w14:textId="77777777" w:rsidR="00873220" w:rsidRPr="005E4B31" w:rsidRDefault="00873220" w:rsidP="005E4B31">
      <w:pPr>
        <w:pStyle w:val="EndNoteBibliography"/>
        <w:ind w:left="426" w:hanging="426"/>
        <w:rPr>
          <w:sz w:val="20"/>
          <w:szCs w:val="20"/>
        </w:rPr>
      </w:pPr>
      <w:r w:rsidRPr="005E4B31">
        <w:rPr>
          <w:sz w:val="20"/>
          <w:szCs w:val="20"/>
        </w:rPr>
        <w:t xml:space="preserve">Kennedy, K., C. Bentley, C. Paxman, A. Dunn, A. Heffernan, S. Kaserzon and J. Mueller (2010a). Final Report-Monitoring of organic chemicals in the Great Barrier Reef Marine Park using time integrated monitoring tools (2009-2010). </w:t>
      </w:r>
    </w:p>
    <w:p w14:paraId="183D3A70" w14:textId="77777777" w:rsidR="00873220" w:rsidRPr="005E4B31" w:rsidRDefault="00873220" w:rsidP="005E4B31">
      <w:pPr>
        <w:pStyle w:val="EndNoteBibliography"/>
        <w:ind w:left="426" w:hanging="426"/>
        <w:rPr>
          <w:sz w:val="20"/>
          <w:szCs w:val="20"/>
        </w:rPr>
      </w:pPr>
      <w:r w:rsidRPr="005E4B31">
        <w:rPr>
          <w:sz w:val="20"/>
          <w:szCs w:val="20"/>
        </w:rPr>
        <w:t>Kennedy, K., M. Devlin, C. Bentley, C. Paxman, K. Chue and J. Mueller (2012). Pesticide monitoring in inshore waters of the Great Barrier Reef using both time-integrated and event monitoring techniques (2010-2011). The University of Queensland, The National Research Centre for Environmental Toxicology (Entox).</w:t>
      </w:r>
    </w:p>
    <w:p w14:paraId="75C37F35" w14:textId="77777777" w:rsidR="00873220" w:rsidRPr="005E4B31" w:rsidRDefault="00873220" w:rsidP="005E4B31">
      <w:pPr>
        <w:pStyle w:val="EndNoteBibliography"/>
        <w:ind w:left="426" w:hanging="426"/>
        <w:rPr>
          <w:sz w:val="20"/>
          <w:szCs w:val="20"/>
        </w:rPr>
      </w:pPr>
      <w:r w:rsidRPr="005E4B31">
        <w:rPr>
          <w:sz w:val="20"/>
          <w:szCs w:val="20"/>
        </w:rPr>
        <w:t>Kennedy, K., C. Paxman, A. Dunn, J. O'Brien and J.F. Mueller (2010b). Monitoring of organic chemicals in the Great Barrier Reef Marine Park and selected tributaries using time integrated monitoring tools (2008-2009), The National Research Centre for Environmental Toxicology, The University of Queensland.</w:t>
      </w:r>
    </w:p>
    <w:p w14:paraId="384D1724" w14:textId="77777777" w:rsidR="00873220" w:rsidRPr="005E4B31" w:rsidRDefault="00873220" w:rsidP="005E4B31">
      <w:pPr>
        <w:pStyle w:val="EndNoteBibliography"/>
        <w:ind w:left="426" w:hanging="426"/>
        <w:rPr>
          <w:sz w:val="20"/>
          <w:szCs w:val="20"/>
        </w:rPr>
      </w:pPr>
      <w:r w:rsidRPr="005E4B31">
        <w:rPr>
          <w:sz w:val="20"/>
          <w:szCs w:val="20"/>
        </w:rPr>
        <w:t>King, O.C., R.A. Smith and W.M.S. J. (2017a). Proposed Default Guideline Values for Toxicants: Diuron – Marine. Brisbane, Australia, Department of Science, Information Technology and Innovation</w:t>
      </w:r>
      <w:r w:rsidRPr="005E4B31">
        <w:rPr>
          <w:b/>
          <w:sz w:val="20"/>
          <w:szCs w:val="20"/>
        </w:rPr>
        <w:t xml:space="preserve">: </w:t>
      </w:r>
      <w:r w:rsidRPr="005E4B31">
        <w:rPr>
          <w:sz w:val="20"/>
          <w:szCs w:val="20"/>
        </w:rPr>
        <w:t xml:space="preserve">pp 37 </w:t>
      </w:r>
    </w:p>
    <w:p w14:paraId="761060BA" w14:textId="77777777" w:rsidR="00873220" w:rsidRPr="005E4B31" w:rsidRDefault="00873220" w:rsidP="005E4B31">
      <w:pPr>
        <w:pStyle w:val="EndNoteBibliography"/>
        <w:ind w:left="426" w:hanging="426"/>
        <w:rPr>
          <w:sz w:val="20"/>
          <w:szCs w:val="20"/>
        </w:rPr>
      </w:pPr>
      <w:r w:rsidRPr="005E4B31">
        <w:rPr>
          <w:sz w:val="20"/>
          <w:szCs w:val="20"/>
        </w:rPr>
        <w:t>King, O.C., R.A. Smith and M.S.J. Warne (2017b). Proposed default guideline values for the protection of aquatic ecosystems: Diuron – freshwater. Brisbane, Australia, Department of Science, Information Technology and Innovation</w:t>
      </w:r>
      <w:r w:rsidRPr="005E4B31">
        <w:rPr>
          <w:b/>
          <w:sz w:val="20"/>
          <w:szCs w:val="20"/>
        </w:rPr>
        <w:t xml:space="preserve">: </w:t>
      </w:r>
      <w:r w:rsidRPr="005E4B31">
        <w:rPr>
          <w:sz w:val="20"/>
          <w:szCs w:val="20"/>
        </w:rPr>
        <w:t>pp 58.</w:t>
      </w:r>
    </w:p>
    <w:p w14:paraId="4E709600" w14:textId="77777777" w:rsidR="00873220" w:rsidRPr="005E4B31" w:rsidRDefault="00873220" w:rsidP="005E4B31">
      <w:pPr>
        <w:pStyle w:val="EndNoteBibliography"/>
        <w:ind w:left="426" w:hanging="426"/>
        <w:rPr>
          <w:sz w:val="20"/>
          <w:szCs w:val="20"/>
        </w:rPr>
      </w:pPr>
      <w:r w:rsidRPr="005E4B31">
        <w:rPr>
          <w:sz w:val="20"/>
          <w:szCs w:val="20"/>
        </w:rPr>
        <w:t>Kroon, F., R. Turner, R. Smith, M. Warne, H. Hunter, R. Bartley, S. Wilkinson, S. Lewis, D. Waters and C. Carroll (2013). 2013 Scientific Consensus Statement: Chapter 4 Sources of sediment, nutrients, pesticides and other pollutants in the Great Barrier Reef catchment.</w:t>
      </w:r>
    </w:p>
    <w:p w14:paraId="0EE54FF8" w14:textId="77777777" w:rsidR="00873220" w:rsidRPr="005E4B31" w:rsidRDefault="00873220" w:rsidP="005E4B31">
      <w:pPr>
        <w:pStyle w:val="EndNoteBibliography"/>
        <w:ind w:left="426" w:hanging="426"/>
        <w:rPr>
          <w:sz w:val="20"/>
          <w:szCs w:val="20"/>
        </w:rPr>
      </w:pPr>
      <w:r w:rsidRPr="005E4B31">
        <w:rPr>
          <w:sz w:val="20"/>
          <w:szCs w:val="20"/>
        </w:rPr>
        <w:t xml:space="preserve">Kroon, F.J., P.M. Kuhnert, B.L. Henderson, S.N. Wilkinson, A. Kinsey-Henderson, B. Abbott, J.E. Brodie and R.D. Turner (2012). River loads of suspended solids, nitrogen, phosphorus and herbicides delivered to the Great Barrier Reef lagoon. </w:t>
      </w:r>
      <w:r w:rsidRPr="005E4B31">
        <w:rPr>
          <w:sz w:val="20"/>
          <w:szCs w:val="20"/>
          <w:u w:val="single"/>
        </w:rPr>
        <w:t>Marine pollution bulletin</w:t>
      </w:r>
      <w:r w:rsidRPr="005E4B31">
        <w:rPr>
          <w:sz w:val="20"/>
          <w:szCs w:val="20"/>
        </w:rPr>
        <w:t xml:space="preserve"> </w:t>
      </w:r>
      <w:r w:rsidRPr="005E4B31">
        <w:rPr>
          <w:b/>
          <w:sz w:val="20"/>
          <w:szCs w:val="20"/>
        </w:rPr>
        <w:t>65</w:t>
      </w:r>
      <w:r w:rsidRPr="005E4B31">
        <w:rPr>
          <w:sz w:val="20"/>
          <w:szCs w:val="20"/>
        </w:rPr>
        <w:t>(4-9): 167-181. DOI: 10.1016/j.marpolbul.2011.10.018</w:t>
      </w:r>
    </w:p>
    <w:p w14:paraId="1C1777C3" w14:textId="77777777" w:rsidR="00873220" w:rsidRPr="005E4B31" w:rsidRDefault="00873220" w:rsidP="005E4B31">
      <w:pPr>
        <w:pStyle w:val="EndNoteBibliography"/>
        <w:ind w:left="426" w:hanging="426"/>
        <w:rPr>
          <w:sz w:val="20"/>
          <w:szCs w:val="20"/>
        </w:rPr>
      </w:pPr>
      <w:r w:rsidRPr="005E4B31">
        <w:rPr>
          <w:sz w:val="20"/>
          <w:szCs w:val="20"/>
        </w:rPr>
        <w:t>Kuhnert, P.M., Y. Liu, B. Henderson, J. Dambacher, E. Lawrence and F. Kroon (2015). Review of the Marine Monitoring Program (MMP), Final Report for the Great Barrier Reef Marine Park Authority (GBRMPA). CSIRO, Australia.</w:t>
      </w:r>
    </w:p>
    <w:p w14:paraId="2A7232AC" w14:textId="77777777" w:rsidR="00873220" w:rsidRPr="005E4B31" w:rsidRDefault="00873220" w:rsidP="005E4B31">
      <w:pPr>
        <w:pStyle w:val="EndNoteBibliography"/>
        <w:ind w:left="426" w:hanging="426"/>
        <w:rPr>
          <w:sz w:val="20"/>
          <w:szCs w:val="20"/>
        </w:rPr>
      </w:pPr>
      <w:r w:rsidRPr="005E4B31">
        <w:rPr>
          <w:sz w:val="20"/>
          <w:szCs w:val="20"/>
        </w:rPr>
        <w:t>Larson, J., J. Leon, C. McGrath and R. Trancoso (2013). Review of the catchment processes relevant to the Great Barrier Reef region. Great Barrier Reef Marine Park Authority, Townsville.</w:t>
      </w:r>
    </w:p>
    <w:p w14:paraId="31936393" w14:textId="77777777" w:rsidR="00873220" w:rsidRPr="005E4B31" w:rsidRDefault="00873220" w:rsidP="005E4B31">
      <w:pPr>
        <w:pStyle w:val="EndNoteBibliography"/>
        <w:ind w:left="426" w:hanging="426"/>
        <w:rPr>
          <w:sz w:val="20"/>
          <w:szCs w:val="20"/>
        </w:rPr>
      </w:pPr>
      <w:r w:rsidRPr="005E4B31">
        <w:rPr>
          <w:sz w:val="20"/>
          <w:szCs w:val="20"/>
        </w:rPr>
        <w:t xml:space="preserve">Lewis, S., J. Brodie, J. Andersen, J. Armour, C. Baillie, A. Davis, G. Eaglesham, A. Elledge, E. Fillols, F. Flores, C. Gallen, R. Kookana, J. McHugh, B. Masters, P. Mercurio, C. Mortimore, J. Mueller, A. Negri, D. O’Brien, D. Oliver, B. Packett, C. Paxman, S. Rojas-Ponce, M. Shaw, M. Silburn, R. Smith, C. Thornton, R. Turner and M. Warne (2014). Pesticide Dynamics in the Great Barrier Reef Catchment and Lagoon: Management Practices (Sugar, Grazing, Bananas) and Risk Assessments: Overview report for project number RRRD037 and RRRD038. Report to the Reef Rescue Water Quality Research &amp; Development Program. Reef and Rainforest Research Centre , Cairns </w:t>
      </w:r>
    </w:p>
    <w:p w14:paraId="3551B792" w14:textId="77777777" w:rsidR="00873220" w:rsidRPr="005E4B31" w:rsidRDefault="00873220" w:rsidP="005E4B31">
      <w:pPr>
        <w:pStyle w:val="EndNoteBibliography"/>
        <w:ind w:left="426" w:hanging="426"/>
        <w:rPr>
          <w:sz w:val="20"/>
          <w:szCs w:val="20"/>
        </w:rPr>
      </w:pPr>
      <w:r w:rsidRPr="005E4B31">
        <w:rPr>
          <w:sz w:val="20"/>
          <w:szCs w:val="20"/>
        </w:rPr>
        <w:t>Lewis, S., J.E. Brodie, E. Ledee and M. Alewijnse (2006). The Spatial Extent of Delivery of Terrestrial Materials from the Burdekin Region in the GBR Lagoon ACTFR Report No. 06/02 Australian Centre for Tropical Freshwater Research,  Burdekin Dry Tropics NRM.</w:t>
      </w:r>
    </w:p>
    <w:p w14:paraId="74D506A5" w14:textId="77777777" w:rsidR="00873220" w:rsidRPr="005E4B31" w:rsidRDefault="00873220" w:rsidP="005E4B31">
      <w:pPr>
        <w:pStyle w:val="EndNoteBibliography"/>
        <w:ind w:left="426" w:hanging="426"/>
        <w:rPr>
          <w:sz w:val="20"/>
          <w:szCs w:val="20"/>
        </w:rPr>
      </w:pPr>
      <w:r w:rsidRPr="005E4B31">
        <w:rPr>
          <w:sz w:val="20"/>
          <w:szCs w:val="20"/>
        </w:rPr>
        <w:t xml:space="preserve">Lewis, S.E., J.E. Brodie, Z.T. Bainbridge, K.W. Rohde, A.M. Davis, B.L. Masters, M. Maughan, M.J. Devlin, J.F. Mueller and B. Schaffelke (2009). Herbicides: a new threat to the Great Barrier Reef. </w:t>
      </w:r>
      <w:r w:rsidRPr="005E4B31">
        <w:rPr>
          <w:sz w:val="20"/>
          <w:szCs w:val="20"/>
          <w:u w:val="single"/>
        </w:rPr>
        <w:t>Environmental Pollution</w:t>
      </w:r>
      <w:r w:rsidRPr="005E4B31">
        <w:rPr>
          <w:sz w:val="20"/>
          <w:szCs w:val="20"/>
        </w:rPr>
        <w:t xml:space="preserve"> </w:t>
      </w:r>
      <w:r w:rsidRPr="005E4B31">
        <w:rPr>
          <w:b/>
          <w:sz w:val="20"/>
          <w:szCs w:val="20"/>
        </w:rPr>
        <w:t>157</w:t>
      </w:r>
      <w:r w:rsidRPr="005E4B31">
        <w:rPr>
          <w:sz w:val="20"/>
          <w:szCs w:val="20"/>
        </w:rPr>
        <w:t xml:space="preserve">(8): 2470-2484. </w:t>
      </w:r>
    </w:p>
    <w:p w14:paraId="3C81CED7" w14:textId="77777777" w:rsidR="00873220" w:rsidRPr="005E4B31" w:rsidRDefault="00873220" w:rsidP="005E4B31">
      <w:pPr>
        <w:pStyle w:val="EndNoteBibliography"/>
        <w:ind w:left="426" w:hanging="426"/>
        <w:rPr>
          <w:sz w:val="20"/>
          <w:szCs w:val="20"/>
        </w:rPr>
      </w:pPr>
      <w:r w:rsidRPr="005E4B31">
        <w:rPr>
          <w:sz w:val="20"/>
          <w:szCs w:val="20"/>
        </w:rPr>
        <w:t>Lewis, S.E., D.M. Silburn, M. Shaw, A. Davis, D.S. O’Brien, D. Oliver, J.E. Brodie, J.S. Andersen, R. Kookana, E. Fillols, S. Rojas-Ponce, J. McHugh and C. Baillie (2013). Pesticides in the sugarcane industry: an evaluation of improved management practices. Report to the Reef Rescue Water Quality Research &amp; Development Program. Reef and Rainforest Research Centre, Cairns.</w:t>
      </w:r>
    </w:p>
    <w:p w14:paraId="33D4E390" w14:textId="77777777" w:rsidR="00873220" w:rsidRPr="005E4B31" w:rsidRDefault="00873220" w:rsidP="005E4B31">
      <w:pPr>
        <w:pStyle w:val="EndNoteBibliography"/>
        <w:ind w:left="426" w:hanging="426"/>
        <w:rPr>
          <w:sz w:val="20"/>
          <w:szCs w:val="20"/>
        </w:rPr>
      </w:pPr>
      <w:r w:rsidRPr="005E4B31">
        <w:rPr>
          <w:sz w:val="20"/>
          <w:szCs w:val="20"/>
        </w:rPr>
        <w:t xml:space="preserve">Magnusson, M., K. Heimann, P. Quayle and A.P. Negri (2010). Additive toxicity of herbicide mixtures and comparative sensitivity of tropical benthic microalgae. </w:t>
      </w:r>
      <w:r w:rsidRPr="005E4B31">
        <w:rPr>
          <w:sz w:val="20"/>
          <w:szCs w:val="20"/>
          <w:u w:val="single"/>
        </w:rPr>
        <w:t>Marine pollution bulletin</w:t>
      </w:r>
      <w:r w:rsidRPr="005E4B31">
        <w:rPr>
          <w:sz w:val="20"/>
          <w:szCs w:val="20"/>
        </w:rPr>
        <w:t xml:space="preserve"> </w:t>
      </w:r>
      <w:r w:rsidRPr="005E4B31">
        <w:rPr>
          <w:b/>
          <w:sz w:val="20"/>
          <w:szCs w:val="20"/>
        </w:rPr>
        <w:t>60</w:t>
      </w:r>
      <w:r w:rsidRPr="005E4B31">
        <w:rPr>
          <w:sz w:val="20"/>
          <w:szCs w:val="20"/>
        </w:rPr>
        <w:t xml:space="preserve">(11): 1978-1987. </w:t>
      </w:r>
    </w:p>
    <w:p w14:paraId="1C98AFC9" w14:textId="77777777" w:rsidR="00873220" w:rsidRPr="005E4B31" w:rsidRDefault="00873220" w:rsidP="005E4B31">
      <w:pPr>
        <w:pStyle w:val="EndNoteBibliography"/>
        <w:ind w:left="426" w:hanging="426"/>
        <w:rPr>
          <w:sz w:val="20"/>
          <w:szCs w:val="20"/>
        </w:rPr>
      </w:pPr>
      <w:r w:rsidRPr="005E4B31">
        <w:rPr>
          <w:sz w:val="20"/>
          <w:szCs w:val="20"/>
        </w:rPr>
        <w:t xml:space="preserve">Magnusson, M., K. Heimann, M. Ridd and A.P. Negri (2012). Chronic herbicide exposures affect the sensitivity and community structure of tropical benthic microalgae. </w:t>
      </w:r>
      <w:r w:rsidRPr="005E4B31">
        <w:rPr>
          <w:sz w:val="20"/>
          <w:szCs w:val="20"/>
          <w:u w:val="single"/>
        </w:rPr>
        <w:t>Marine pollution bulletin</w:t>
      </w:r>
      <w:r w:rsidRPr="005E4B31">
        <w:rPr>
          <w:sz w:val="20"/>
          <w:szCs w:val="20"/>
        </w:rPr>
        <w:t xml:space="preserve"> </w:t>
      </w:r>
      <w:r w:rsidRPr="005E4B31">
        <w:rPr>
          <w:b/>
          <w:sz w:val="20"/>
          <w:szCs w:val="20"/>
        </w:rPr>
        <w:t>65</w:t>
      </w:r>
      <w:r w:rsidRPr="005E4B31">
        <w:rPr>
          <w:sz w:val="20"/>
          <w:szCs w:val="20"/>
        </w:rPr>
        <w:t xml:space="preserve">(4): 363-372. </w:t>
      </w:r>
    </w:p>
    <w:p w14:paraId="2B365907" w14:textId="77777777" w:rsidR="00873220" w:rsidRPr="005E4B31" w:rsidRDefault="00873220" w:rsidP="005E4B31">
      <w:pPr>
        <w:pStyle w:val="EndNoteBibliography"/>
        <w:ind w:left="426" w:hanging="426"/>
        <w:rPr>
          <w:sz w:val="20"/>
          <w:szCs w:val="20"/>
        </w:rPr>
      </w:pPr>
      <w:r w:rsidRPr="005E4B31">
        <w:rPr>
          <w:sz w:val="20"/>
          <w:szCs w:val="20"/>
        </w:rPr>
        <w:lastRenderedPageBreak/>
        <w:t>McKenzie, L., C. Collier, L. Langlois, R. Yoshida, N. Smith and M. Waycott (2017). Marine Monitoring Program: Annual Report for inshore seagrass monitoring 2015-2016. Report for the Great Barrier Reef Marine Park Authority, Great Barrier Reef Marine Park Authority, Townsville, 243pp.</w:t>
      </w:r>
    </w:p>
    <w:p w14:paraId="6A6823F3" w14:textId="77777777" w:rsidR="00873220" w:rsidRPr="005E4B31" w:rsidRDefault="00873220" w:rsidP="005E4B31">
      <w:pPr>
        <w:pStyle w:val="EndNoteBibliography"/>
        <w:ind w:left="426" w:hanging="426"/>
        <w:rPr>
          <w:sz w:val="20"/>
          <w:szCs w:val="20"/>
        </w:rPr>
      </w:pPr>
      <w:r w:rsidRPr="005E4B31">
        <w:rPr>
          <w:sz w:val="20"/>
          <w:szCs w:val="20"/>
        </w:rPr>
        <w:t xml:space="preserve">Muller, R., U. Schreiber, B.I. Escher, P. Quayle, S.M.B. Nash and J.F. Mueller (2008). Rapid exposure assessment of PSII herbicides in surface water using a novel chlorophyll a fluorescence imaging assay. </w:t>
      </w:r>
      <w:r w:rsidRPr="005E4B31">
        <w:rPr>
          <w:sz w:val="20"/>
          <w:szCs w:val="20"/>
          <w:u w:val="single"/>
        </w:rPr>
        <w:t>Science of The Total Environment</w:t>
      </w:r>
      <w:r w:rsidRPr="005E4B31">
        <w:rPr>
          <w:sz w:val="20"/>
          <w:szCs w:val="20"/>
        </w:rPr>
        <w:t xml:space="preserve"> </w:t>
      </w:r>
      <w:r w:rsidRPr="005E4B31">
        <w:rPr>
          <w:b/>
          <w:sz w:val="20"/>
          <w:szCs w:val="20"/>
        </w:rPr>
        <w:t>401</w:t>
      </w:r>
      <w:r w:rsidRPr="005E4B31">
        <w:rPr>
          <w:sz w:val="20"/>
          <w:szCs w:val="20"/>
        </w:rPr>
        <w:t xml:space="preserve">(1): 51-59. </w:t>
      </w:r>
    </w:p>
    <w:p w14:paraId="1349FDE3" w14:textId="77777777" w:rsidR="00873220" w:rsidRPr="005E4B31" w:rsidRDefault="00873220" w:rsidP="005E4B31">
      <w:pPr>
        <w:pStyle w:val="EndNoteBibliography"/>
        <w:ind w:left="426" w:hanging="426"/>
        <w:rPr>
          <w:sz w:val="20"/>
          <w:szCs w:val="20"/>
        </w:rPr>
      </w:pPr>
      <w:r w:rsidRPr="005E4B31">
        <w:rPr>
          <w:sz w:val="20"/>
          <w:szCs w:val="20"/>
        </w:rPr>
        <w:t xml:space="preserve">Nash, S.B., K. McMahon, G. Eaglesham and J. Müller (2005). Application of a novel phytotoxicity assay for the detection of herbicides in Hervey Bay and the Great Sandy Straits. </w:t>
      </w:r>
      <w:r w:rsidRPr="005E4B31">
        <w:rPr>
          <w:sz w:val="20"/>
          <w:szCs w:val="20"/>
          <w:u w:val="single"/>
        </w:rPr>
        <w:t>Marine pollution bulletin</w:t>
      </w:r>
      <w:r w:rsidRPr="005E4B31">
        <w:rPr>
          <w:sz w:val="20"/>
          <w:szCs w:val="20"/>
        </w:rPr>
        <w:t xml:space="preserve"> </w:t>
      </w:r>
      <w:r w:rsidRPr="005E4B31">
        <w:rPr>
          <w:b/>
          <w:sz w:val="20"/>
          <w:szCs w:val="20"/>
        </w:rPr>
        <w:t>51</w:t>
      </w:r>
      <w:r w:rsidRPr="005E4B31">
        <w:rPr>
          <w:sz w:val="20"/>
          <w:szCs w:val="20"/>
        </w:rPr>
        <w:t xml:space="preserve">(1): 351-360. </w:t>
      </w:r>
    </w:p>
    <w:p w14:paraId="7CEA3C3F" w14:textId="77777777" w:rsidR="00873220" w:rsidRPr="005E4B31" w:rsidRDefault="00873220" w:rsidP="005E4B31">
      <w:pPr>
        <w:pStyle w:val="EndNoteBibliography"/>
        <w:ind w:left="426" w:hanging="426"/>
        <w:rPr>
          <w:sz w:val="20"/>
          <w:szCs w:val="20"/>
        </w:rPr>
      </w:pPr>
      <w:r w:rsidRPr="005E4B31">
        <w:rPr>
          <w:sz w:val="20"/>
          <w:szCs w:val="20"/>
        </w:rPr>
        <w:t xml:space="preserve">Negri, A., C. Vollhardt, C. Humphrey, A. Heyward, R. Jones, G. Eaglesham and K. Fabricius (2005). Effects of the herbicide diuron on the early life history stages of coral. </w:t>
      </w:r>
      <w:r w:rsidRPr="005E4B31">
        <w:rPr>
          <w:sz w:val="20"/>
          <w:szCs w:val="20"/>
          <w:u w:val="single"/>
        </w:rPr>
        <w:t>Marine pollution bulletin</w:t>
      </w:r>
      <w:r w:rsidRPr="005E4B31">
        <w:rPr>
          <w:sz w:val="20"/>
          <w:szCs w:val="20"/>
        </w:rPr>
        <w:t xml:space="preserve"> </w:t>
      </w:r>
      <w:r w:rsidRPr="005E4B31">
        <w:rPr>
          <w:b/>
          <w:sz w:val="20"/>
          <w:szCs w:val="20"/>
        </w:rPr>
        <w:t>51</w:t>
      </w:r>
      <w:r w:rsidRPr="005E4B31">
        <w:rPr>
          <w:sz w:val="20"/>
          <w:szCs w:val="20"/>
        </w:rPr>
        <w:t xml:space="preserve">(1): 370-383. </w:t>
      </w:r>
    </w:p>
    <w:p w14:paraId="2976B73E" w14:textId="77777777" w:rsidR="00873220" w:rsidRPr="005E4B31" w:rsidRDefault="00873220" w:rsidP="005E4B31">
      <w:pPr>
        <w:pStyle w:val="EndNoteBibliography"/>
        <w:ind w:left="426" w:hanging="426"/>
        <w:rPr>
          <w:sz w:val="20"/>
          <w:szCs w:val="20"/>
        </w:rPr>
      </w:pPr>
      <w:r w:rsidRPr="005E4B31">
        <w:rPr>
          <w:sz w:val="20"/>
          <w:szCs w:val="20"/>
        </w:rPr>
        <w:t xml:space="preserve">Negri, A.P., F. Flores, P. Mercurio, J.F. Mueller and C.J. Collier (2015). Lethal and sub-lethal chronic effects of the herbicide diuron on seagrass. </w:t>
      </w:r>
      <w:r w:rsidRPr="005E4B31">
        <w:rPr>
          <w:sz w:val="20"/>
          <w:szCs w:val="20"/>
          <w:u w:val="single"/>
        </w:rPr>
        <w:t>Aquatic Toxicology</w:t>
      </w:r>
      <w:r w:rsidRPr="005E4B31">
        <w:rPr>
          <w:sz w:val="20"/>
          <w:szCs w:val="20"/>
        </w:rPr>
        <w:t xml:space="preserve"> </w:t>
      </w:r>
      <w:r w:rsidRPr="005E4B31">
        <w:rPr>
          <w:b/>
          <w:sz w:val="20"/>
          <w:szCs w:val="20"/>
        </w:rPr>
        <w:t>165</w:t>
      </w:r>
      <w:r w:rsidRPr="005E4B31">
        <w:rPr>
          <w:sz w:val="20"/>
          <w:szCs w:val="20"/>
        </w:rPr>
        <w:t xml:space="preserve">: 73-83. </w:t>
      </w:r>
    </w:p>
    <w:p w14:paraId="75396233" w14:textId="77777777" w:rsidR="00873220" w:rsidRPr="005E4B31" w:rsidRDefault="00873220" w:rsidP="005E4B31">
      <w:pPr>
        <w:pStyle w:val="EndNoteBibliography"/>
        <w:ind w:left="426" w:hanging="426"/>
        <w:rPr>
          <w:sz w:val="20"/>
          <w:szCs w:val="20"/>
        </w:rPr>
      </w:pPr>
      <w:r w:rsidRPr="005E4B31">
        <w:rPr>
          <w:sz w:val="20"/>
          <w:szCs w:val="20"/>
        </w:rPr>
        <w:t xml:space="preserve">Negri, A.P., F. Flores, T. Röthig and S. Uthicke (2011). Herbicides increase the vulnerability of corals to rising sea surface temperature. </w:t>
      </w:r>
      <w:r w:rsidRPr="005E4B31">
        <w:rPr>
          <w:sz w:val="20"/>
          <w:szCs w:val="20"/>
          <w:u w:val="single"/>
        </w:rPr>
        <w:t>Limnology and Oceanography</w:t>
      </w:r>
      <w:r w:rsidRPr="005E4B31">
        <w:rPr>
          <w:sz w:val="20"/>
          <w:szCs w:val="20"/>
        </w:rPr>
        <w:t xml:space="preserve"> </w:t>
      </w:r>
      <w:r w:rsidRPr="005E4B31">
        <w:rPr>
          <w:b/>
          <w:sz w:val="20"/>
          <w:szCs w:val="20"/>
        </w:rPr>
        <w:t>56</w:t>
      </w:r>
      <w:r w:rsidRPr="005E4B31">
        <w:rPr>
          <w:sz w:val="20"/>
          <w:szCs w:val="20"/>
        </w:rPr>
        <w:t xml:space="preserve">(2): 471-485. </w:t>
      </w:r>
    </w:p>
    <w:p w14:paraId="7E741782" w14:textId="77777777" w:rsidR="00873220" w:rsidRPr="005E4B31" w:rsidRDefault="00873220" w:rsidP="005E4B31">
      <w:pPr>
        <w:pStyle w:val="EndNoteBibliography"/>
        <w:ind w:left="426" w:hanging="426"/>
        <w:rPr>
          <w:sz w:val="20"/>
          <w:szCs w:val="20"/>
        </w:rPr>
      </w:pPr>
      <w:r w:rsidRPr="005E4B31">
        <w:rPr>
          <w:sz w:val="20"/>
          <w:szCs w:val="20"/>
        </w:rPr>
        <w:t xml:space="preserve">Negri, A.P., P. Mercurio, F. Flores and J.F. Mueller (2014). Pesticide dynamics in the Great Barrier Reef catchment and lagoon: grazing, bananas and grain. Herbicide persistence in the marine environment. Report to the Reef Rescue Water Quality Research &amp; Development Program. Reef and Rainforest Research Centre Limited, Cairns </w:t>
      </w:r>
    </w:p>
    <w:p w14:paraId="4A8A4351" w14:textId="0AA7D1B5" w:rsidR="00873220" w:rsidRPr="005E4B31" w:rsidRDefault="00873220" w:rsidP="005E4B31">
      <w:pPr>
        <w:pStyle w:val="EndNoteBibliography"/>
        <w:ind w:left="426" w:hanging="426"/>
        <w:rPr>
          <w:sz w:val="20"/>
          <w:szCs w:val="20"/>
        </w:rPr>
      </w:pPr>
      <w:r w:rsidRPr="005E4B31">
        <w:rPr>
          <w:sz w:val="20"/>
          <w:szCs w:val="20"/>
        </w:rPr>
        <w:t xml:space="preserve">NESP (2016). "Ecotoxicology of pesticides on the Great Barrier Reef for guideline development and risk assessments. National Environmental Science Programme - Project 3.1.5." from </w:t>
      </w:r>
      <w:hyperlink r:id="rId55" w:history="1">
        <w:r w:rsidRPr="005E4B31">
          <w:rPr>
            <w:rStyle w:val="Hyperlink"/>
            <w:rFonts w:cs="Arial"/>
            <w:sz w:val="20"/>
            <w:szCs w:val="20"/>
          </w:rPr>
          <w:t>http://nesptropical.edu.au/index.php/round-3-projects/project-3-1-5/</w:t>
        </w:r>
      </w:hyperlink>
      <w:r w:rsidRPr="005E4B31">
        <w:rPr>
          <w:sz w:val="20"/>
          <w:szCs w:val="20"/>
        </w:rPr>
        <w:t>.</w:t>
      </w:r>
    </w:p>
    <w:p w14:paraId="43D31D66" w14:textId="77777777" w:rsidR="00873220" w:rsidRPr="005E4B31" w:rsidRDefault="00873220" w:rsidP="005E4B31">
      <w:pPr>
        <w:pStyle w:val="EndNoteBibliography"/>
        <w:ind w:left="426" w:hanging="426"/>
        <w:rPr>
          <w:sz w:val="20"/>
          <w:szCs w:val="20"/>
        </w:rPr>
      </w:pPr>
      <w:r w:rsidRPr="005E4B31">
        <w:rPr>
          <w:sz w:val="20"/>
          <w:szCs w:val="20"/>
        </w:rPr>
        <w:t xml:space="preserve">O’Brien, D., M. Bartkow and J.F. Mueller (2011a). Determination of deployment specific chemical uptake rates for SDB-RPD Empore disk using a passive flow monitor (PFM). </w:t>
      </w:r>
      <w:r w:rsidRPr="005E4B31">
        <w:rPr>
          <w:sz w:val="20"/>
          <w:szCs w:val="20"/>
          <w:u w:val="single"/>
        </w:rPr>
        <w:t>Chemosphere</w:t>
      </w:r>
      <w:r w:rsidRPr="005E4B31">
        <w:rPr>
          <w:sz w:val="20"/>
          <w:szCs w:val="20"/>
        </w:rPr>
        <w:t xml:space="preserve"> </w:t>
      </w:r>
      <w:r w:rsidRPr="005E4B31">
        <w:rPr>
          <w:b/>
          <w:sz w:val="20"/>
          <w:szCs w:val="20"/>
        </w:rPr>
        <w:t>83</w:t>
      </w:r>
      <w:r w:rsidRPr="005E4B31">
        <w:rPr>
          <w:sz w:val="20"/>
          <w:szCs w:val="20"/>
        </w:rPr>
        <w:t xml:space="preserve">(9): 1290-1295. </w:t>
      </w:r>
    </w:p>
    <w:p w14:paraId="4C19E742" w14:textId="77777777" w:rsidR="00873220" w:rsidRPr="005E4B31" w:rsidRDefault="00873220" w:rsidP="005E4B31">
      <w:pPr>
        <w:pStyle w:val="EndNoteBibliography"/>
        <w:ind w:left="426" w:hanging="426"/>
        <w:rPr>
          <w:sz w:val="20"/>
          <w:szCs w:val="20"/>
        </w:rPr>
      </w:pPr>
      <w:r w:rsidRPr="005E4B31">
        <w:rPr>
          <w:sz w:val="20"/>
          <w:szCs w:val="20"/>
        </w:rPr>
        <w:t xml:space="preserve">O’Brien, D., S. Lewis, A. Davis, C. Gallen, R. Smith, R. Turner, M. Warne, S. Turner, S. Caswell and J.F. Mueller (2016). Spatial and temporal variability in pesticide exposure downstream of a heavily irrigated cropping area: application of different monitoring techniques. </w:t>
      </w:r>
      <w:r w:rsidRPr="005E4B31">
        <w:rPr>
          <w:sz w:val="20"/>
          <w:szCs w:val="20"/>
          <w:u w:val="single"/>
        </w:rPr>
        <w:t>Journal of agricultural and food chemistry</w:t>
      </w:r>
      <w:r w:rsidRPr="005E4B31">
        <w:rPr>
          <w:sz w:val="20"/>
          <w:szCs w:val="20"/>
        </w:rPr>
        <w:t xml:space="preserve"> </w:t>
      </w:r>
      <w:r w:rsidRPr="005E4B31">
        <w:rPr>
          <w:b/>
          <w:sz w:val="20"/>
          <w:szCs w:val="20"/>
        </w:rPr>
        <w:t>64</w:t>
      </w:r>
      <w:r w:rsidRPr="005E4B31">
        <w:rPr>
          <w:sz w:val="20"/>
          <w:szCs w:val="20"/>
        </w:rPr>
        <w:t xml:space="preserve">(20): 3975-3989. </w:t>
      </w:r>
    </w:p>
    <w:p w14:paraId="152F1DD2" w14:textId="77777777" w:rsidR="00873220" w:rsidRPr="005E4B31" w:rsidRDefault="00873220" w:rsidP="005E4B31">
      <w:pPr>
        <w:pStyle w:val="EndNoteBibliography"/>
        <w:ind w:left="426" w:hanging="426"/>
        <w:rPr>
          <w:sz w:val="20"/>
          <w:szCs w:val="20"/>
        </w:rPr>
      </w:pPr>
      <w:r w:rsidRPr="005E4B31">
        <w:rPr>
          <w:sz w:val="20"/>
          <w:szCs w:val="20"/>
        </w:rPr>
        <w:t xml:space="preserve">O’Brien, D.S., K. Booij, D.W. Hawker and J.F. Mueller (2011b). Method for the in situ calibration of a passive phosphate sampler in estuarine and marine waters. </w:t>
      </w:r>
      <w:r w:rsidRPr="005E4B31">
        <w:rPr>
          <w:sz w:val="20"/>
          <w:szCs w:val="20"/>
          <w:u w:val="single"/>
        </w:rPr>
        <w:t>Environmental science &amp; technology</w:t>
      </w:r>
      <w:r w:rsidRPr="005E4B31">
        <w:rPr>
          <w:sz w:val="20"/>
          <w:szCs w:val="20"/>
        </w:rPr>
        <w:t xml:space="preserve"> </w:t>
      </w:r>
      <w:r w:rsidRPr="005E4B31">
        <w:rPr>
          <w:b/>
          <w:sz w:val="20"/>
          <w:szCs w:val="20"/>
        </w:rPr>
        <w:t>45</w:t>
      </w:r>
      <w:r w:rsidRPr="005E4B31">
        <w:rPr>
          <w:sz w:val="20"/>
          <w:szCs w:val="20"/>
        </w:rPr>
        <w:t xml:space="preserve">(7): 2871-2877. </w:t>
      </w:r>
    </w:p>
    <w:p w14:paraId="7642A8EF" w14:textId="19E26159" w:rsidR="00873220" w:rsidRPr="005E4B31" w:rsidRDefault="00873220" w:rsidP="005E4B31">
      <w:pPr>
        <w:pStyle w:val="EndNoteBibliography"/>
        <w:ind w:left="426" w:hanging="426"/>
        <w:rPr>
          <w:sz w:val="20"/>
          <w:szCs w:val="20"/>
        </w:rPr>
      </w:pPr>
      <w:r w:rsidRPr="005E4B31">
        <w:rPr>
          <w:sz w:val="20"/>
          <w:szCs w:val="20"/>
        </w:rPr>
        <w:t xml:space="preserve">Paddock to Reef (2013). "Paddock to Reef Integrated Monitoring, Modelling and Reporting Program: Reef Water Quality Protection Plan 2013–2018." from </w:t>
      </w:r>
      <w:hyperlink r:id="rId56" w:history="1">
        <w:r w:rsidRPr="005E4B31">
          <w:rPr>
            <w:rStyle w:val="Hyperlink"/>
            <w:rFonts w:cs="Arial"/>
            <w:sz w:val="20"/>
            <w:szCs w:val="20"/>
          </w:rPr>
          <w:t>http://www.reefplan.qld.gov.au/measuring-success/paddock-to-reef/</w:t>
        </w:r>
      </w:hyperlink>
      <w:r w:rsidRPr="005E4B31">
        <w:rPr>
          <w:sz w:val="20"/>
          <w:szCs w:val="20"/>
        </w:rPr>
        <w:t>.</w:t>
      </w:r>
    </w:p>
    <w:p w14:paraId="236730B5" w14:textId="77777777" w:rsidR="00873220" w:rsidRPr="005E4B31" w:rsidRDefault="00873220" w:rsidP="005E4B31">
      <w:pPr>
        <w:pStyle w:val="EndNoteBibliography"/>
        <w:ind w:left="426" w:hanging="426"/>
        <w:rPr>
          <w:sz w:val="20"/>
          <w:szCs w:val="20"/>
        </w:rPr>
      </w:pPr>
      <w:r w:rsidRPr="005E4B31">
        <w:rPr>
          <w:sz w:val="20"/>
          <w:szCs w:val="20"/>
        </w:rPr>
        <w:t>Reef Plan (2003). Reef Water Quality Protection Plan: For catchments adjacent to the Great Barrier Reef World Heritage Area. Reef Water Quality Protection Plan Secretariat, October 2003. Great Barrier Reef Marine Park Authority, Townsville.</w:t>
      </w:r>
    </w:p>
    <w:p w14:paraId="2C767E8E" w14:textId="77777777" w:rsidR="00873220" w:rsidRPr="005E4B31" w:rsidRDefault="00873220" w:rsidP="005E4B31">
      <w:pPr>
        <w:pStyle w:val="EndNoteBibliography"/>
        <w:ind w:left="426" w:hanging="426"/>
        <w:rPr>
          <w:sz w:val="20"/>
          <w:szCs w:val="20"/>
        </w:rPr>
      </w:pPr>
      <w:r w:rsidRPr="005E4B31">
        <w:rPr>
          <w:sz w:val="20"/>
          <w:szCs w:val="20"/>
        </w:rPr>
        <w:t>Reef Plan (2009). Reef Water Quality Protection Plan 2009: For catchments adjacent to the Great Barrier Reef World Heritage Area. Reef Water Quality Protection Plan Secretariat, September 2009. Great Barrier Reef Marine Park Authority, Townsville.</w:t>
      </w:r>
    </w:p>
    <w:p w14:paraId="6E52A993" w14:textId="77777777" w:rsidR="00873220" w:rsidRPr="005E4B31" w:rsidRDefault="00873220" w:rsidP="005E4B31">
      <w:pPr>
        <w:pStyle w:val="EndNoteBibliography"/>
        <w:ind w:left="426" w:hanging="426"/>
        <w:rPr>
          <w:sz w:val="20"/>
          <w:szCs w:val="20"/>
        </w:rPr>
      </w:pPr>
      <w:r w:rsidRPr="005E4B31">
        <w:rPr>
          <w:sz w:val="20"/>
          <w:szCs w:val="20"/>
        </w:rPr>
        <w:t>Reef Plan (2013). Reef Water Quality Protection Plan 2013: Securing the health and resilience of the Great Barrier Reef World Heritage Area and adjacent catchments. Reef Water Quality Protection Plan Secretariat, July 2013. Great Barrier Reef Marine Park Authority, Townsville.</w:t>
      </w:r>
    </w:p>
    <w:p w14:paraId="7662AA1F" w14:textId="5FB3DBAA" w:rsidR="00873220" w:rsidRPr="005E4B31" w:rsidRDefault="00873220" w:rsidP="005E4B31">
      <w:pPr>
        <w:pStyle w:val="EndNoteBibliography"/>
        <w:ind w:left="426" w:hanging="426"/>
        <w:rPr>
          <w:sz w:val="20"/>
          <w:szCs w:val="20"/>
        </w:rPr>
      </w:pPr>
      <w:r w:rsidRPr="005E4B31">
        <w:rPr>
          <w:sz w:val="20"/>
          <w:szCs w:val="20"/>
        </w:rPr>
        <w:t xml:space="preserve">Reef Water Quality Protection Plan Secretariat (2016). Great Barrier Reef Report Card 2015: Catchment pollutant loads results. The State of Queensland and Commonwealth of Australia. Queensland Department of Premier and Cabinet, Brisbane. 19 pp.  </w:t>
      </w:r>
      <w:hyperlink r:id="rId57" w:history="1">
        <w:r w:rsidRPr="005E4B31">
          <w:rPr>
            <w:rStyle w:val="Hyperlink"/>
            <w:rFonts w:cs="Arial"/>
            <w:sz w:val="20"/>
            <w:szCs w:val="20"/>
          </w:rPr>
          <w:t>http://www.reefplan.qld.gov.au/measuring-success/report-cards/2015/assets/report-card-2015-catchment-pollutant-loads-results.pdf</w:t>
        </w:r>
      </w:hyperlink>
      <w:r w:rsidRPr="005E4B31">
        <w:rPr>
          <w:sz w:val="20"/>
          <w:szCs w:val="20"/>
        </w:rPr>
        <w:t>.</w:t>
      </w:r>
    </w:p>
    <w:p w14:paraId="77B38A85" w14:textId="77777777" w:rsidR="00873220" w:rsidRPr="005E4B31" w:rsidRDefault="00873220" w:rsidP="005E4B31">
      <w:pPr>
        <w:pStyle w:val="EndNoteBibliography"/>
        <w:ind w:left="426" w:hanging="426"/>
        <w:rPr>
          <w:sz w:val="20"/>
          <w:szCs w:val="20"/>
        </w:rPr>
      </w:pPr>
      <w:r w:rsidRPr="005E4B31">
        <w:rPr>
          <w:sz w:val="20"/>
          <w:szCs w:val="20"/>
        </w:rPr>
        <w:t xml:space="preserve">Schmidt, S. (2005). Development and evaluation of the Maxi-Imaging-PAM algae assay using 96 well plates. </w:t>
      </w:r>
      <w:r w:rsidRPr="005E4B31">
        <w:rPr>
          <w:sz w:val="20"/>
          <w:szCs w:val="20"/>
          <w:u w:val="single"/>
        </w:rPr>
        <w:t>The National Research Centre for Environmental Toxicology</w:t>
      </w:r>
      <w:r w:rsidRPr="005E4B31">
        <w:rPr>
          <w:sz w:val="20"/>
          <w:szCs w:val="20"/>
        </w:rPr>
        <w:t xml:space="preserve">. </w:t>
      </w:r>
    </w:p>
    <w:p w14:paraId="55DD6BBD" w14:textId="77777777" w:rsidR="00873220" w:rsidRPr="005E4B31" w:rsidRDefault="00873220" w:rsidP="005E4B31">
      <w:pPr>
        <w:pStyle w:val="EndNoteBibliography"/>
        <w:ind w:left="426" w:hanging="426"/>
        <w:rPr>
          <w:sz w:val="20"/>
          <w:szCs w:val="20"/>
        </w:rPr>
      </w:pPr>
      <w:r w:rsidRPr="005E4B31">
        <w:rPr>
          <w:sz w:val="20"/>
          <w:szCs w:val="20"/>
        </w:rPr>
        <w:t xml:space="preserve">Shaw, M., G. Eaglesham and J.F. Mueller (2009). Uptake and release of polar compounds in SDB-RPS Empore™ disks; implications for their use as passive samplers. </w:t>
      </w:r>
      <w:r w:rsidRPr="005E4B31">
        <w:rPr>
          <w:sz w:val="20"/>
          <w:szCs w:val="20"/>
          <w:u w:val="single"/>
        </w:rPr>
        <w:t>Chemosphere</w:t>
      </w:r>
      <w:r w:rsidRPr="005E4B31">
        <w:rPr>
          <w:sz w:val="20"/>
          <w:szCs w:val="20"/>
        </w:rPr>
        <w:t xml:space="preserve"> </w:t>
      </w:r>
      <w:r w:rsidRPr="005E4B31">
        <w:rPr>
          <w:b/>
          <w:sz w:val="20"/>
          <w:szCs w:val="20"/>
        </w:rPr>
        <w:t>75</w:t>
      </w:r>
      <w:r w:rsidRPr="005E4B31">
        <w:rPr>
          <w:sz w:val="20"/>
          <w:szCs w:val="20"/>
        </w:rPr>
        <w:t xml:space="preserve">(1): 1-7. </w:t>
      </w:r>
    </w:p>
    <w:p w14:paraId="00B59586" w14:textId="77777777" w:rsidR="00873220" w:rsidRPr="005E4B31" w:rsidRDefault="00873220" w:rsidP="005E4B31">
      <w:pPr>
        <w:pStyle w:val="EndNoteBibliography"/>
        <w:ind w:left="426" w:hanging="426"/>
        <w:rPr>
          <w:sz w:val="20"/>
          <w:szCs w:val="20"/>
        </w:rPr>
      </w:pPr>
      <w:r w:rsidRPr="005E4B31">
        <w:rPr>
          <w:sz w:val="20"/>
          <w:szCs w:val="20"/>
        </w:rPr>
        <w:t xml:space="preserve">Shaw, M. and J.F. Mueller (2009). Time Integrative Passive Sampling: How Well Do Chemcatchers Integrate Fluctuating Pollutant Concentrations? </w:t>
      </w:r>
      <w:r w:rsidRPr="005E4B31">
        <w:rPr>
          <w:sz w:val="20"/>
          <w:szCs w:val="20"/>
          <w:u w:val="single"/>
        </w:rPr>
        <w:t>Environmental science &amp; technology</w:t>
      </w:r>
      <w:r w:rsidRPr="005E4B31">
        <w:rPr>
          <w:sz w:val="20"/>
          <w:szCs w:val="20"/>
        </w:rPr>
        <w:t xml:space="preserve"> </w:t>
      </w:r>
      <w:r w:rsidRPr="005E4B31">
        <w:rPr>
          <w:b/>
          <w:sz w:val="20"/>
          <w:szCs w:val="20"/>
        </w:rPr>
        <w:t>43</w:t>
      </w:r>
      <w:r w:rsidRPr="005E4B31">
        <w:rPr>
          <w:sz w:val="20"/>
          <w:szCs w:val="20"/>
        </w:rPr>
        <w:t>(5): 1443-1448. DOI: 10.1021/es8021446</w:t>
      </w:r>
    </w:p>
    <w:p w14:paraId="4712D164" w14:textId="77777777" w:rsidR="00873220" w:rsidRPr="005E4B31" w:rsidRDefault="00873220" w:rsidP="005E4B31">
      <w:pPr>
        <w:pStyle w:val="EndNoteBibliography"/>
        <w:ind w:left="426" w:hanging="426"/>
        <w:rPr>
          <w:sz w:val="20"/>
          <w:szCs w:val="20"/>
        </w:rPr>
      </w:pPr>
      <w:r w:rsidRPr="005E4B31">
        <w:rPr>
          <w:sz w:val="20"/>
          <w:szCs w:val="20"/>
        </w:rPr>
        <w:t>Shaw, M., D.M. Silburn, C. Thornton, B. Robinson and D. McClymont (2011). Modelling pesticide runoff from paddocks in the Great Barrier Reef with HowLeaky. MODSIM 2011, Perth WA.</w:t>
      </w:r>
    </w:p>
    <w:p w14:paraId="24A1A493" w14:textId="77777777" w:rsidR="00873220" w:rsidRPr="005E4B31" w:rsidRDefault="00873220" w:rsidP="005E4B31">
      <w:pPr>
        <w:pStyle w:val="EndNoteBibliography"/>
        <w:ind w:left="426" w:hanging="426"/>
        <w:rPr>
          <w:sz w:val="20"/>
          <w:szCs w:val="20"/>
        </w:rPr>
      </w:pPr>
      <w:r w:rsidRPr="005E4B31">
        <w:rPr>
          <w:sz w:val="20"/>
          <w:szCs w:val="20"/>
        </w:rPr>
        <w:t xml:space="preserve">Smith, R., R. Middlebrook, R. Turner, R. Huggins, S. Vardy and M. Warne (2012). Large-scale pesticide monitoring across Great Barrier Reef </w:t>
      </w:r>
      <w:r w:rsidRPr="005E4B31">
        <w:rPr>
          <w:sz w:val="20"/>
          <w:szCs w:val="20"/>
        </w:rPr>
        <w:lastRenderedPageBreak/>
        <w:t xml:space="preserve">catchments–paddock to reef integrated monitoring, modelling and reporting program. </w:t>
      </w:r>
      <w:r w:rsidRPr="005E4B31">
        <w:rPr>
          <w:sz w:val="20"/>
          <w:szCs w:val="20"/>
          <w:u w:val="single"/>
        </w:rPr>
        <w:t>Marine pollution bulletin</w:t>
      </w:r>
      <w:r w:rsidRPr="005E4B31">
        <w:rPr>
          <w:sz w:val="20"/>
          <w:szCs w:val="20"/>
        </w:rPr>
        <w:t xml:space="preserve"> </w:t>
      </w:r>
      <w:r w:rsidRPr="005E4B31">
        <w:rPr>
          <w:b/>
          <w:sz w:val="20"/>
          <w:szCs w:val="20"/>
        </w:rPr>
        <w:t>65</w:t>
      </w:r>
      <w:r w:rsidRPr="005E4B31">
        <w:rPr>
          <w:sz w:val="20"/>
          <w:szCs w:val="20"/>
        </w:rPr>
        <w:t xml:space="preserve">(4): 117-127. </w:t>
      </w:r>
    </w:p>
    <w:p w14:paraId="04E7CF2F" w14:textId="77777777" w:rsidR="00873220" w:rsidRPr="005E4B31" w:rsidRDefault="00873220" w:rsidP="005E4B31">
      <w:pPr>
        <w:pStyle w:val="EndNoteBibliography"/>
        <w:ind w:left="426" w:hanging="426"/>
        <w:rPr>
          <w:sz w:val="20"/>
          <w:szCs w:val="20"/>
        </w:rPr>
      </w:pPr>
      <w:r w:rsidRPr="005E4B31">
        <w:rPr>
          <w:sz w:val="20"/>
          <w:szCs w:val="20"/>
        </w:rPr>
        <w:t>Smith, R., R. Turner, S. Vardy, R. Huggins, R. Wallace and M.S.J. Warne (2015). An evaluation of the prevalence of alternate pesticides of environmental concern in Great Barrier Reef catchments: RP57C. . Department of Science, Information Technology, Innovation and the Arts. Brisbane.</w:t>
      </w:r>
    </w:p>
    <w:p w14:paraId="4F6B79BF" w14:textId="77777777" w:rsidR="00873220" w:rsidRPr="005E4B31" w:rsidRDefault="00873220" w:rsidP="005E4B31">
      <w:pPr>
        <w:pStyle w:val="EndNoteBibliography"/>
        <w:ind w:left="426" w:hanging="426"/>
        <w:rPr>
          <w:sz w:val="20"/>
          <w:szCs w:val="20"/>
        </w:rPr>
      </w:pPr>
      <w:r w:rsidRPr="005E4B31">
        <w:rPr>
          <w:sz w:val="20"/>
          <w:szCs w:val="20"/>
        </w:rPr>
        <w:t xml:space="preserve">Smith, R.A., M.S.J. Warne, K. Mengersen and R.D.R. Turner (2016a). An improved method for calculating toxicity-based pollutant loads: Part 1. Method development. </w:t>
      </w:r>
      <w:r w:rsidRPr="005E4B31">
        <w:rPr>
          <w:sz w:val="20"/>
          <w:szCs w:val="20"/>
          <w:u w:val="single"/>
        </w:rPr>
        <w:t>Integrated Environmental Assessment and Management</w:t>
      </w:r>
      <w:r w:rsidRPr="005E4B31">
        <w:rPr>
          <w:sz w:val="20"/>
          <w:szCs w:val="20"/>
        </w:rPr>
        <w:t>: In press. DOI: 10.1002/ieam.1854</w:t>
      </w:r>
    </w:p>
    <w:p w14:paraId="44511A25" w14:textId="77777777" w:rsidR="00873220" w:rsidRPr="005E4B31" w:rsidRDefault="00873220" w:rsidP="005E4B31">
      <w:pPr>
        <w:pStyle w:val="EndNoteBibliography"/>
        <w:ind w:left="426" w:hanging="426"/>
        <w:rPr>
          <w:sz w:val="20"/>
          <w:szCs w:val="20"/>
        </w:rPr>
      </w:pPr>
      <w:r w:rsidRPr="005E4B31">
        <w:rPr>
          <w:sz w:val="20"/>
          <w:szCs w:val="20"/>
        </w:rPr>
        <w:t xml:space="preserve">Smith, R.A., M.S.J. Warne, K. Mengersen and R.D.R. Turner (2016b). An improved method for calculating toxicity-based pollutant loads: Part 2. Application to contaminants discharged to the Great Barrier Reef, Queensland, Australia. </w:t>
      </w:r>
      <w:r w:rsidRPr="005E4B31">
        <w:rPr>
          <w:sz w:val="20"/>
          <w:szCs w:val="20"/>
          <w:u w:val="single"/>
        </w:rPr>
        <w:t>Integrated Environmental Assessment and Management</w:t>
      </w:r>
      <w:r w:rsidRPr="005E4B31">
        <w:rPr>
          <w:sz w:val="20"/>
          <w:szCs w:val="20"/>
        </w:rPr>
        <w:t>: In press. DOI: 10.1002/ieam.1860</w:t>
      </w:r>
    </w:p>
    <w:p w14:paraId="5C75562D" w14:textId="77777777" w:rsidR="00873220" w:rsidRPr="005E4B31" w:rsidRDefault="00873220" w:rsidP="005E4B31">
      <w:pPr>
        <w:pStyle w:val="EndNoteBibliography"/>
        <w:ind w:left="426" w:hanging="426"/>
        <w:rPr>
          <w:sz w:val="20"/>
          <w:szCs w:val="20"/>
        </w:rPr>
      </w:pPr>
      <w:r w:rsidRPr="005E4B31">
        <w:rPr>
          <w:sz w:val="20"/>
          <w:szCs w:val="20"/>
        </w:rPr>
        <w:t xml:space="preserve">Stephens, B.S., A. Kapernick, G. Eaglesham and J. Mueller (2005). Aquatic passive sampling of herbicides on naked particle loaded membranes: accelerated measurement and empirical estimation of kinetic parameters. </w:t>
      </w:r>
      <w:r w:rsidRPr="005E4B31">
        <w:rPr>
          <w:sz w:val="20"/>
          <w:szCs w:val="20"/>
          <w:u w:val="single"/>
        </w:rPr>
        <w:t>Environmental science &amp; technology</w:t>
      </w:r>
      <w:r w:rsidRPr="005E4B31">
        <w:rPr>
          <w:sz w:val="20"/>
          <w:szCs w:val="20"/>
        </w:rPr>
        <w:t xml:space="preserve"> </w:t>
      </w:r>
      <w:r w:rsidRPr="005E4B31">
        <w:rPr>
          <w:b/>
          <w:sz w:val="20"/>
          <w:szCs w:val="20"/>
        </w:rPr>
        <w:t>39</w:t>
      </w:r>
      <w:r w:rsidRPr="005E4B31">
        <w:rPr>
          <w:sz w:val="20"/>
          <w:szCs w:val="20"/>
        </w:rPr>
        <w:t xml:space="preserve">(22): 8891-8897. </w:t>
      </w:r>
    </w:p>
    <w:p w14:paraId="4531C34D" w14:textId="77777777" w:rsidR="00873220" w:rsidRPr="005E4B31" w:rsidRDefault="00873220" w:rsidP="005E4B31">
      <w:pPr>
        <w:pStyle w:val="EndNoteBibliography"/>
        <w:ind w:left="426" w:hanging="426"/>
        <w:rPr>
          <w:sz w:val="20"/>
          <w:szCs w:val="20"/>
        </w:rPr>
      </w:pPr>
      <w:r w:rsidRPr="005E4B31">
        <w:rPr>
          <w:sz w:val="20"/>
          <w:szCs w:val="20"/>
        </w:rPr>
        <w:t xml:space="preserve">Stephens, B.S., A.P. Kapernick, G. Eaglesham and J.F. Mueller (2009). Event monitoring of herbicides with naked and membrane-covered Empore disk integrative passive sampling devices. </w:t>
      </w:r>
      <w:r w:rsidRPr="005E4B31">
        <w:rPr>
          <w:sz w:val="20"/>
          <w:szCs w:val="20"/>
          <w:u w:val="single"/>
        </w:rPr>
        <w:t>Marine pollution bulletin</w:t>
      </w:r>
      <w:r w:rsidRPr="005E4B31">
        <w:rPr>
          <w:sz w:val="20"/>
          <w:szCs w:val="20"/>
        </w:rPr>
        <w:t xml:space="preserve"> </w:t>
      </w:r>
      <w:r w:rsidRPr="005E4B31">
        <w:rPr>
          <w:b/>
          <w:sz w:val="20"/>
          <w:szCs w:val="20"/>
        </w:rPr>
        <w:t>58</w:t>
      </w:r>
      <w:r w:rsidRPr="005E4B31">
        <w:rPr>
          <w:sz w:val="20"/>
          <w:szCs w:val="20"/>
        </w:rPr>
        <w:t xml:space="preserve">(8): 1116-1122. </w:t>
      </w:r>
    </w:p>
    <w:p w14:paraId="1F5D6ACF" w14:textId="77777777" w:rsidR="00873220" w:rsidRPr="005E4B31" w:rsidRDefault="00873220" w:rsidP="005E4B31">
      <w:pPr>
        <w:pStyle w:val="EndNoteBibliography"/>
        <w:ind w:left="426" w:hanging="426"/>
        <w:rPr>
          <w:sz w:val="20"/>
          <w:szCs w:val="20"/>
        </w:rPr>
      </w:pPr>
      <w:r w:rsidRPr="005E4B31">
        <w:rPr>
          <w:sz w:val="20"/>
          <w:szCs w:val="20"/>
        </w:rPr>
        <w:t>Thompson, A., P. Costello, J. Davidson, M. Logan, G. Coleman, K. Gunn and B. Schaffelke (2017). Marine Monitoring Program. Annual Report for coral reef monitoring: 2015 to 2016. Australian Institute of Marine Science, Townsville.133 pp.</w:t>
      </w:r>
    </w:p>
    <w:p w14:paraId="06316DCB" w14:textId="77777777" w:rsidR="00873220" w:rsidRPr="005E4B31" w:rsidRDefault="00873220" w:rsidP="005E4B31">
      <w:pPr>
        <w:pStyle w:val="EndNoteBibliography"/>
        <w:ind w:left="426" w:hanging="426"/>
        <w:rPr>
          <w:sz w:val="20"/>
          <w:szCs w:val="20"/>
        </w:rPr>
      </w:pPr>
      <w:r w:rsidRPr="005E4B31">
        <w:rPr>
          <w:sz w:val="20"/>
          <w:szCs w:val="20"/>
        </w:rPr>
        <w:t xml:space="preserve">Thompson, A.A. and A.M. Dolman (2010). Coral bleaching: one disturbance too many for near-shore reefs of the Great Barrier Reef. </w:t>
      </w:r>
      <w:r w:rsidRPr="005E4B31">
        <w:rPr>
          <w:sz w:val="20"/>
          <w:szCs w:val="20"/>
          <w:u w:val="single"/>
        </w:rPr>
        <w:t>Coral Reefs</w:t>
      </w:r>
      <w:r w:rsidRPr="005E4B31">
        <w:rPr>
          <w:sz w:val="20"/>
          <w:szCs w:val="20"/>
        </w:rPr>
        <w:t xml:space="preserve"> </w:t>
      </w:r>
      <w:r w:rsidRPr="005E4B31">
        <w:rPr>
          <w:b/>
          <w:sz w:val="20"/>
          <w:szCs w:val="20"/>
        </w:rPr>
        <w:t>29</w:t>
      </w:r>
      <w:r w:rsidRPr="005E4B31">
        <w:rPr>
          <w:sz w:val="20"/>
          <w:szCs w:val="20"/>
        </w:rPr>
        <w:t>(3): 637-648. DOI: 10.1007/s00338-009-0562-0</w:t>
      </w:r>
    </w:p>
    <w:p w14:paraId="6ED4CFF7" w14:textId="77777777" w:rsidR="00873220" w:rsidRPr="005E4B31" w:rsidRDefault="00873220" w:rsidP="005E4B31">
      <w:pPr>
        <w:pStyle w:val="EndNoteBibliography"/>
        <w:ind w:left="426" w:hanging="426"/>
        <w:rPr>
          <w:sz w:val="20"/>
          <w:szCs w:val="20"/>
        </w:rPr>
      </w:pPr>
      <w:r w:rsidRPr="005E4B31">
        <w:rPr>
          <w:sz w:val="20"/>
          <w:szCs w:val="20"/>
        </w:rPr>
        <w:t>Traas, T.P., D. van de Meent, L. Posthuma, T. Hamers, B.J. Kater, D. De Zwart and T. Aldenberg (2002). The potentially affected fraction as a measure of ecological risk, CRC Press: Boca Raton, FL</w:t>
      </w:r>
      <w:r w:rsidRPr="005E4B31">
        <w:rPr>
          <w:b/>
          <w:sz w:val="20"/>
          <w:szCs w:val="20"/>
        </w:rPr>
        <w:t xml:space="preserve">: </w:t>
      </w:r>
      <w:r w:rsidRPr="005E4B31">
        <w:rPr>
          <w:sz w:val="20"/>
          <w:szCs w:val="20"/>
        </w:rPr>
        <w:t>315-344.</w:t>
      </w:r>
    </w:p>
    <w:p w14:paraId="78E0015D" w14:textId="1B63EDB9" w:rsidR="00873220" w:rsidRPr="005E4B31" w:rsidRDefault="00873220" w:rsidP="005E4B31">
      <w:pPr>
        <w:pStyle w:val="EndNoteBibliography"/>
        <w:ind w:left="426" w:hanging="426"/>
        <w:rPr>
          <w:sz w:val="20"/>
          <w:szCs w:val="20"/>
        </w:rPr>
      </w:pPr>
      <w:r w:rsidRPr="005E4B31">
        <w:rPr>
          <w:sz w:val="20"/>
          <w:szCs w:val="20"/>
        </w:rPr>
        <w:t xml:space="preserve">UNESCO (1981). "Great Barrier Reef." from </w:t>
      </w:r>
      <w:hyperlink r:id="rId58" w:history="1">
        <w:r w:rsidRPr="005E4B31">
          <w:rPr>
            <w:rStyle w:val="Hyperlink"/>
            <w:rFonts w:cs="Arial"/>
            <w:sz w:val="20"/>
            <w:szCs w:val="20"/>
          </w:rPr>
          <w:t>http://whc.unesco.org/en/list/154</w:t>
        </w:r>
      </w:hyperlink>
      <w:r w:rsidRPr="005E4B31">
        <w:rPr>
          <w:sz w:val="20"/>
          <w:szCs w:val="20"/>
        </w:rPr>
        <w:t>.</w:t>
      </w:r>
    </w:p>
    <w:p w14:paraId="4E1362A1" w14:textId="77777777" w:rsidR="00873220" w:rsidRPr="005E4B31" w:rsidRDefault="00873220" w:rsidP="005E4B31">
      <w:pPr>
        <w:pStyle w:val="EndNoteBibliography"/>
        <w:ind w:left="426" w:hanging="426"/>
        <w:rPr>
          <w:sz w:val="20"/>
          <w:szCs w:val="20"/>
        </w:rPr>
      </w:pPr>
      <w:r w:rsidRPr="005E4B31">
        <w:rPr>
          <w:sz w:val="20"/>
          <w:szCs w:val="20"/>
        </w:rPr>
        <w:t xml:space="preserve">van Dam, J.W. (2012). Combined effects of temperature and herbicides on symbiont-bearing calcifying reef organisms. </w:t>
      </w:r>
      <w:r w:rsidRPr="005E4B31">
        <w:rPr>
          <w:sz w:val="20"/>
          <w:szCs w:val="20"/>
          <w:u w:val="single"/>
        </w:rPr>
        <w:t>School of Biological Sciences</w:t>
      </w:r>
      <w:r w:rsidRPr="005E4B31">
        <w:rPr>
          <w:sz w:val="20"/>
          <w:szCs w:val="20"/>
        </w:rPr>
        <w:t xml:space="preserve">. The University of Queensland, Brisbane </w:t>
      </w:r>
      <w:r w:rsidRPr="005E4B31">
        <w:rPr>
          <w:b/>
          <w:sz w:val="20"/>
          <w:szCs w:val="20"/>
        </w:rPr>
        <w:t xml:space="preserve">PhD: </w:t>
      </w:r>
      <w:r w:rsidRPr="005E4B31">
        <w:rPr>
          <w:sz w:val="20"/>
          <w:szCs w:val="20"/>
        </w:rPr>
        <w:t>194.</w:t>
      </w:r>
    </w:p>
    <w:p w14:paraId="6F7EF8D4" w14:textId="77777777" w:rsidR="00873220" w:rsidRPr="005E4B31" w:rsidRDefault="00873220" w:rsidP="005E4B31">
      <w:pPr>
        <w:pStyle w:val="EndNoteBibliography"/>
        <w:ind w:left="426" w:hanging="426"/>
        <w:rPr>
          <w:sz w:val="20"/>
          <w:szCs w:val="20"/>
        </w:rPr>
      </w:pPr>
      <w:r w:rsidRPr="005E4B31">
        <w:rPr>
          <w:sz w:val="20"/>
          <w:szCs w:val="20"/>
        </w:rPr>
        <w:t xml:space="preserve">van Dam, J.W., A.P. Negri, J.F. Mueller, R. Altenburger and S. Uthicke (2012). Additive Pressures of Elevated Sea Surface Temperatures and Herbicides on Symbiont-Bearing Foraminifera. </w:t>
      </w:r>
      <w:r w:rsidRPr="005E4B31">
        <w:rPr>
          <w:sz w:val="20"/>
          <w:szCs w:val="20"/>
          <w:u w:val="single"/>
        </w:rPr>
        <w:t>PLoS ONE</w:t>
      </w:r>
      <w:r w:rsidRPr="005E4B31">
        <w:rPr>
          <w:sz w:val="20"/>
          <w:szCs w:val="20"/>
        </w:rPr>
        <w:t xml:space="preserve"> </w:t>
      </w:r>
      <w:r w:rsidRPr="005E4B31">
        <w:rPr>
          <w:b/>
          <w:sz w:val="20"/>
          <w:szCs w:val="20"/>
        </w:rPr>
        <w:t>7</w:t>
      </w:r>
      <w:r w:rsidRPr="005E4B31">
        <w:rPr>
          <w:sz w:val="20"/>
          <w:szCs w:val="20"/>
        </w:rPr>
        <w:t>(3): e33900. DOI: 10.1371/journal.pone.0033900</w:t>
      </w:r>
    </w:p>
    <w:p w14:paraId="1C2B6ADF" w14:textId="77777777" w:rsidR="00873220" w:rsidRPr="005E4B31" w:rsidRDefault="00873220" w:rsidP="005E4B31">
      <w:pPr>
        <w:pStyle w:val="EndNoteBibliography"/>
        <w:ind w:left="426" w:hanging="426"/>
        <w:rPr>
          <w:sz w:val="20"/>
          <w:szCs w:val="20"/>
        </w:rPr>
      </w:pPr>
      <w:r w:rsidRPr="005E4B31">
        <w:rPr>
          <w:sz w:val="20"/>
          <w:szCs w:val="20"/>
        </w:rPr>
        <w:t xml:space="preserve">Vermeirssen, E.L., N. Bramaz, J. Hollender, H. Singer and B.I. Escher (2009). Passive sampling combined with ecotoxicological and chemical analysis of pharmaceuticals and biocides–evaluation of three Chemcatcher™ configurations. </w:t>
      </w:r>
      <w:r w:rsidRPr="005E4B31">
        <w:rPr>
          <w:sz w:val="20"/>
          <w:szCs w:val="20"/>
          <w:u w:val="single"/>
        </w:rPr>
        <w:t>Water research</w:t>
      </w:r>
      <w:r w:rsidRPr="005E4B31">
        <w:rPr>
          <w:sz w:val="20"/>
          <w:szCs w:val="20"/>
        </w:rPr>
        <w:t xml:space="preserve"> </w:t>
      </w:r>
      <w:r w:rsidRPr="005E4B31">
        <w:rPr>
          <w:b/>
          <w:sz w:val="20"/>
          <w:szCs w:val="20"/>
        </w:rPr>
        <w:t>43</w:t>
      </w:r>
      <w:r w:rsidRPr="005E4B31">
        <w:rPr>
          <w:sz w:val="20"/>
          <w:szCs w:val="20"/>
        </w:rPr>
        <w:t xml:space="preserve">(4): 903-914. </w:t>
      </w:r>
    </w:p>
    <w:p w14:paraId="5E638D77" w14:textId="77777777" w:rsidR="00873220" w:rsidRPr="005E4B31" w:rsidRDefault="00873220" w:rsidP="005E4B31">
      <w:pPr>
        <w:pStyle w:val="EndNoteBibliography"/>
        <w:ind w:left="426" w:hanging="426"/>
        <w:rPr>
          <w:sz w:val="20"/>
          <w:szCs w:val="20"/>
        </w:rPr>
      </w:pPr>
      <w:r w:rsidRPr="005E4B31">
        <w:rPr>
          <w:sz w:val="20"/>
          <w:szCs w:val="20"/>
        </w:rPr>
        <w:t>Wallace, R., R. Huggins, O. King, R. Gardiner, B. Thomson, D.N. Orr, B. Ferguson, C. Taylor, R.A. Smith, M.S.J. Warne, R.D.R. Turner and R.M. Mann (2016). Total suspended solids, nutrient and pesticide loads (2014–2015) for rivers that discharge to the Great Barrier Reef – Great Barrier Reef Catchment Loads Monitoring Program. , Department of Science, Information Technology and Innovation. Brisbane.</w:t>
      </w:r>
    </w:p>
    <w:p w14:paraId="61ED7542" w14:textId="77777777" w:rsidR="00873220" w:rsidRPr="005E4B31" w:rsidRDefault="00873220" w:rsidP="005E4B31">
      <w:pPr>
        <w:pStyle w:val="EndNoteBibliography"/>
        <w:ind w:left="426" w:hanging="426"/>
        <w:rPr>
          <w:sz w:val="20"/>
          <w:szCs w:val="20"/>
        </w:rPr>
      </w:pPr>
      <w:r w:rsidRPr="005E4B31">
        <w:rPr>
          <w:sz w:val="20"/>
          <w:szCs w:val="20"/>
        </w:rPr>
        <w:t>Warne, M.S.J., G.E. Batley, R.A. van Dam, J.C. Chapman, D.R. Fox, C.W. Hickey and J.L. Stauber (2015). Revised Method for Deriving Australian and New Zealand Water Quality Guideline Values for Toxicants. Prepared for the Council of Australian Government’s Standing Council on Environment and Water (SCEW). Department of Science, Information Technology and Innovation, Brisbane</w:t>
      </w:r>
      <w:r w:rsidRPr="005E4B31">
        <w:rPr>
          <w:b/>
          <w:sz w:val="20"/>
          <w:szCs w:val="20"/>
        </w:rPr>
        <w:t xml:space="preserve">: </w:t>
      </w:r>
      <w:r w:rsidRPr="005E4B31">
        <w:rPr>
          <w:sz w:val="20"/>
          <w:szCs w:val="20"/>
        </w:rPr>
        <w:t>50 pp.</w:t>
      </w:r>
    </w:p>
    <w:p w14:paraId="4E995004" w14:textId="77777777" w:rsidR="00873220" w:rsidRPr="005E4B31" w:rsidRDefault="00873220" w:rsidP="005E4B31">
      <w:pPr>
        <w:pStyle w:val="EndNoteBibliography"/>
        <w:ind w:left="426" w:hanging="426"/>
        <w:rPr>
          <w:sz w:val="20"/>
          <w:szCs w:val="20"/>
        </w:rPr>
      </w:pPr>
      <w:r w:rsidRPr="005E4B31">
        <w:rPr>
          <w:sz w:val="20"/>
          <w:szCs w:val="20"/>
        </w:rPr>
        <w:t>Waterhouse, J., J. Brodie, D. Tracey, R. Smith, M. Vandergragt, C. Collier, C. Petus, M. Baird, F. Kroon, R. Mann, T. Sutcliffe, D. Waters and F. Adame (2017a). Scientific Consensus Statement 2017: A synthesis of the science of land-based water quality impacts on the Great Barrier Reef, Chapter 3: The risk from anthropogenic pollutants to Great Barrier Reef coastal and marine ecosystems, State of Queensland.</w:t>
      </w:r>
    </w:p>
    <w:p w14:paraId="1595F04F" w14:textId="77777777" w:rsidR="00873220" w:rsidRPr="005E4B31" w:rsidRDefault="00873220" w:rsidP="005E4B31">
      <w:pPr>
        <w:pStyle w:val="EndNoteBibliography"/>
        <w:ind w:left="426" w:hanging="426"/>
        <w:rPr>
          <w:sz w:val="20"/>
          <w:szCs w:val="20"/>
        </w:rPr>
      </w:pPr>
      <w:r w:rsidRPr="005E4B31">
        <w:rPr>
          <w:sz w:val="20"/>
          <w:szCs w:val="20"/>
        </w:rPr>
        <w:t>Waterhouse, J., J. Brodie, E. Wolanski, C. Petus, W. Higham and T. Armstrong (2013). Hazard assessment of water quality threats to Torres Strait marine waters and ecosystems. Report to the National Environmental Research Program, Reef and rainforest Research Centre Limited, Cairns</w:t>
      </w:r>
      <w:r w:rsidRPr="005E4B31">
        <w:rPr>
          <w:b/>
          <w:sz w:val="20"/>
          <w:szCs w:val="20"/>
        </w:rPr>
        <w:t xml:space="preserve">: </w:t>
      </w:r>
      <w:r w:rsidRPr="005E4B31">
        <w:rPr>
          <w:sz w:val="20"/>
          <w:szCs w:val="20"/>
        </w:rPr>
        <w:t>75 pp.</w:t>
      </w:r>
    </w:p>
    <w:p w14:paraId="156E46E9" w14:textId="77777777" w:rsidR="00873220" w:rsidRPr="005E4B31" w:rsidRDefault="00873220" w:rsidP="005E4B31">
      <w:pPr>
        <w:pStyle w:val="EndNoteBibliography"/>
        <w:ind w:left="426" w:hanging="426"/>
        <w:rPr>
          <w:sz w:val="20"/>
          <w:szCs w:val="20"/>
        </w:rPr>
      </w:pPr>
      <w:r w:rsidRPr="005E4B31">
        <w:rPr>
          <w:sz w:val="20"/>
          <w:szCs w:val="20"/>
        </w:rPr>
        <w:t>Waterhouse, J., C. Lønborg, M. Logan, C. Petus, Tracey, S. Lewis, H. Tonin, M. Skuza, E. da Silva, C. Carreira, P. Costello, J. Davidson, K. Gunn, M. Wright, I. Zagorskis, R. Brinkman and B. Schaffelke (2017b). Marine Monitoring Program: Annual Report for inshore water quality monitoring 2015-2016. Report for the Great Barrier Reef Marine Park Authority, Townsville, 227pp.</w:t>
      </w:r>
    </w:p>
    <w:p w14:paraId="5366219A" w14:textId="77777777" w:rsidR="00873220" w:rsidRPr="005E4B31" w:rsidRDefault="00873220" w:rsidP="005E4B31">
      <w:pPr>
        <w:pStyle w:val="EndNoteBibliography"/>
        <w:ind w:left="426" w:hanging="426"/>
        <w:rPr>
          <w:sz w:val="20"/>
          <w:szCs w:val="20"/>
        </w:rPr>
      </w:pPr>
      <w:r w:rsidRPr="005E4B31">
        <w:rPr>
          <w:sz w:val="20"/>
          <w:szCs w:val="20"/>
        </w:rPr>
        <w:t xml:space="preserve">Waters, D.K., C. Carroll, R. Ellis, L. Hateley, J. McCloskey, R. Packett, C. Dougall and B. Fentie (2014). Modelling reductions of pollutant loads due </w:t>
      </w:r>
      <w:r w:rsidRPr="005E4B31">
        <w:rPr>
          <w:sz w:val="20"/>
          <w:szCs w:val="20"/>
        </w:rPr>
        <w:lastRenderedPageBreak/>
        <w:t>to improved management practices in the Great Barrier Reef catchments: Whole GBR, Volume 1. Department of Natural Resources and Mines, Brisbane.</w:t>
      </w:r>
    </w:p>
    <w:p w14:paraId="157210A1" w14:textId="03BBB6F2" w:rsidR="00711EF2" w:rsidRPr="003D2D7F" w:rsidRDefault="00C91BF5" w:rsidP="005E4B31">
      <w:pPr>
        <w:spacing w:after="40" w:line="276" w:lineRule="auto"/>
        <w:ind w:left="426" w:hanging="426"/>
        <w:jc w:val="left"/>
        <w:rPr>
          <w:rFonts w:cs="Arial"/>
          <w:sz w:val="20"/>
          <w:szCs w:val="20"/>
        </w:rPr>
      </w:pPr>
      <w:r w:rsidRPr="005E4B31">
        <w:rPr>
          <w:rFonts w:cs="Arial"/>
          <w:sz w:val="20"/>
          <w:szCs w:val="20"/>
        </w:rPr>
        <w:fldChar w:fldCharType="end"/>
      </w:r>
      <w:r w:rsidR="00711EF2" w:rsidRPr="003D2D7F">
        <w:rPr>
          <w:rFonts w:cs="Arial"/>
          <w:sz w:val="20"/>
          <w:szCs w:val="20"/>
        </w:rPr>
        <w:br w:type="page"/>
      </w:r>
    </w:p>
    <w:p w14:paraId="157210A2" w14:textId="2DFDEF65" w:rsidR="0059608E" w:rsidRPr="00711EF2" w:rsidRDefault="00711EF2" w:rsidP="00636878">
      <w:pPr>
        <w:pStyle w:val="Heading1"/>
        <w:keepNext/>
        <w:numPr>
          <w:ilvl w:val="0"/>
          <w:numId w:val="1"/>
        </w:numPr>
        <w:spacing w:before="120" w:after="480" w:line="240" w:lineRule="auto"/>
        <w:rPr>
          <w:rFonts w:eastAsia="Times New Roman" w:cs="Arial"/>
          <w:bCs w:val="0"/>
          <w:caps w:val="0"/>
          <w:kern w:val="28"/>
          <w:sz w:val="36"/>
          <w:szCs w:val="28"/>
          <w:lang w:eastAsia="en-US" w:bidi="ar-SA"/>
        </w:rPr>
      </w:pPr>
      <w:bookmarkStart w:id="713" w:name="_Ref480883671"/>
      <w:bookmarkStart w:id="714" w:name="_Toc502500026"/>
      <w:r w:rsidRPr="00711EF2">
        <w:rPr>
          <w:rFonts w:eastAsia="Times New Roman" w:cs="Arial"/>
          <w:bCs w:val="0"/>
          <w:caps w:val="0"/>
          <w:kern w:val="28"/>
          <w:sz w:val="36"/>
          <w:szCs w:val="28"/>
          <w:lang w:eastAsia="en-US" w:bidi="ar-SA"/>
        </w:rPr>
        <w:lastRenderedPageBreak/>
        <w:t xml:space="preserve">CASE STUDY: </w:t>
      </w:r>
      <w:r w:rsidR="00636878" w:rsidRPr="00636878">
        <w:rPr>
          <w:rFonts w:eastAsia="Times New Roman" w:cs="Arial"/>
          <w:bCs w:val="0"/>
          <w:caps w:val="0"/>
          <w:kern w:val="28"/>
          <w:sz w:val="36"/>
          <w:szCs w:val="28"/>
          <w:lang w:eastAsia="en-US" w:bidi="ar-SA"/>
        </w:rPr>
        <w:t xml:space="preserve">Comparison of the multisubstance </w:t>
      </w:r>
      <w:r w:rsidR="00837F9A">
        <w:rPr>
          <w:rFonts w:eastAsia="Times New Roman" w:cs="Arial"/>
          <w:bCs w:val="0"/>
          <w:caps w:val="0"/>
          <w:kern w:val="28"/>
          <w:sz w:val="36"/>
          <w:szCs w:val="28"/>
          <w:lang w:eastAsia="en-US" w:bidi="ar-SA"/>
        </w:rPr>
        <w:t xml:space="preserve">- </w:t>
      </w:r>
      <w:r w:rsidR="00636878" w:rsidRPr="00636878">
        <w:rPr>
          <w:rFonts w:eastAsia="Times New Roman" w:cs="Arial"/>
          <w:bCs w:val="0"/>
          <w:caps w:val="0"/>
          <w:kern w:val="28"/>
          <w:sz w:val="36"/>
          <w:szCs w:val="28"/>
          <w:lang w:eastAsia="en-US" w:bidi="ar-SA"/>
        </w:rPr>
        <w:t>potentially affected fraction (ms-PAF) and PSII-HE</w:t>
      </w:r>
      <w:r w:rsidR="00636878">
        <w:rPr>
          <w:rFonts w:eastAsia="Times New Roman" w:cs="Arial"/>
          <w:bCs w:val="0"/>
          <w:caps w:val="0"/>
          <w:kern w:val="28"/>
          <w:sz w:val="36"/>
          <w:szCs w:val="28"/>
          <w:lang w:eastAsia="en-US" w:bidi="ar-SA"/>
        </w:rPr>
        <w:t>q</w:t>
      </w:r>
      <w:r w:rsidR="00636878" w:rsidRPr="00636878">
        <w:rPr>
          <w:rFonts w:eastAsia="Times New Roman" w:cs="Arial"/>
          <w:bCs w:val="0"/>
          <w:caps w:val="0"/>
          <w:kern w:val="28"/>
          <w:sz w:val="36"/>
          <w:szCs w:val="28"/>
          <w:lang w:eastAsia="en-US" w:bidi="ar-SA"/>
        </w:rPr>
        <w:t xml:space="preserve"> methods</w:t>
      </w:r>
      <w:bookmarkEnd w:id="713"/>
      <w:bookmarkEnd w:id="714"/>
    </w:p>
    <w:p w14:paraId="157210A3" w14:textId="24DBA326" w:rsidR="001B0430" w:rsidRPr="00F030FF" w:rsidRDefault="009F4B5D" w:rsidP="006A23A2">
      <w:pPr>
        <w:spacing w:before="120" w:after="60" w:line="276" w:lineRule="auto"/>
        <w:ind w:left="567" w:hanging="567"/>
        <w:jc w:val="left"/>
        <w:rPr>
          <w:b/>
          <w:lang w:val="en-AU"/>
        </w:rPr>
      </w:pPr>
      <w:r w:rsidRPr="00F030FF">
        <w:rPr>
          <w:b/>
          <w:lang w:val="en-AU"/>
        </w:rPr>
        <w:t>Introduction</w:t>
      </w:r>
    </w:p>
    <w:p w14:paraId="157210A4" w14:textId="4992DB18" w:rsidR="001B0430" w:rsidRDefault="00F030FF" w:rsidP="008F25EE">
      <w:pPr>
        <w:spacing w:after="60" w:line="276" w:lineRule="auto"/>
        <w:rPr>
          <w:lang w:val="en-AU"/>
        </w:rPr>
      </w:pPr>
      <w:r>
        <w:rPr>
          <w:lang w:val="en-AU"/>
        </w:rPr>
        <w:t xml:space="preserve">The </w:t>
      </w:r>
      <w:r w:rsidRPr="00F030FF">
        <w:rPr>
          <w:lang w:val="en-AU"/>
        </w:rPr>
        <w:t>multisubstance</w:t>
      </w:r>
      <w:r w:rsidR="00837F9A">
        <w:rPr>
          <w:lang w:val="en-AU"/>
        </w:rPr>
        <w:t xml:space="preserve"> </w:t>
      </w:r>
      <w:r w:rsidRPr="00F030FF">
        <w:rPr>
          <w:lang w:val="en-AU"/>
        </w:rPr>
        <w:t>-</w:t>
      </w:r>
      <w:r w:rsidR="00837F9A">
        <w:rPr>
          <w:lang w:val="en-AU"/>
        </w:rPr>
        <w:t xml:space="preserve"> </w:t>
      </w:r>
      <w:r w:rsidRPr="00F030FF">
        <w:rPr>
          <w:lang w:val="en-AU"/>
        </w:rPr>
        <w:t xml:space="preserve">potentially affected fraction (ms-PAF) </w:t>
      </w:r>
      <w:r w:rsidR="00055496">
        <w:rPr>
          <w:lang w:val="en-AU"/>
        </w:rPr>
        <w:t xml:space="preserve">method </w:t>
      </w:r>
      <w:r w:rsidR="00055496" w:rsidRPr="00055496">
        <w:rPr>
          <w:lang w:val="en-AU"/>
        </w:rPr>
        <w:t xml:space="preserve">allows the effect of multiple </w:t>
      </w:r>
      <w:r w:rsidR="00055496">
        <w:rPr>
          <w:lang w:val="en-AU"/>
        </w:rPr>
        <w:t>pesticides</w:t>
      </w:r>
      <w:r w:rsidR="00055496" w:rsidRPr="00055496">
        <w:rPr>
          <w:lang w:val="en-AU"/>
        </w:rPr>
        <w:t xml:space="preserve"> on an ecosystem</w:t>
      </w:r>
      <w:r w:rsidR="00055496">
        <w:rPr>
          <w:lang w:val="en-AU"/>
        </w:rPr>
        <w:t xml:space="preserve"> to be estimated. T</w:t>
      </w:r>
      <w:r w:rsidRPr="00F030FF">
        <w:rPr>
          <w:lang w:val="en-AU"/>
        </w:rPr>
        <w:t>he potentially affected fraction of species</w:t>
      </w:r>
      <w:r w:rsidR="00055496">
        <w:rPr>
          <w:lang w:val="en-AU"/>
        </w:rPr>
        <w:t xml:space="preserve"> is determined</w:t>
      </w:r>
      <w:r w:rsidRPr="00F030FF">
        <w:rPr>
          <w:lang w:val="en-AU"/>
        </w:rPr>
        <w:t>, i.e. percent</w:t>
      </w:r>
      <w:r w:rsidR="00687C82">
        <w:rPr>
          <w:lang w:val="en-AU"/>
        </w:rPr>
        <w:t>age</w:t>
      </w:r>
      <w:r w:rsidRPr="00F030FF">
        <w:rPr>
          <w:lang w:val="en-AU"/>
        </w:rPr>
        <w:t xml:space="preserve"> of species in an ecosystem that will theoretically be affected </w:t>
      </w:r>
      <w:r>
        <w:rPr>
          <w:lang w:val="en-AU"/>
        </w:rPr>
        <w:t xml:space="preserve">when exposed to </w:t>
      </w:r>
      <w:r w:rsidRPr="00F030FF">
        <w:rPr>
          <w:lang w:val="en-AU"/>
        </w:rPr>
        <w:t>a given mixt</w:t>
      </w:r>
      <w:r>
        <w:rPr>
          <w:lang w:val="en-AU"/>
        </w:rPr>
        <w:t>ure concentration. This approach</w:t>
      </w:r>
      <w:r w:rsidRPr="00F030FF">
        <w:rPr>
          <w:lang w:val="en-AU"/>
        </w:rPr>
        <w:t xml:space="preserve"> has been proposed as a more robust approach to quantify the overall ecological risk of mixtures of pollutants for ecological communities</w:t>
      </w:r>
      <w:r>
        <w:rPr>
          <w:lang w:val="en-AU"/>
        </w:rPr>
        <w:t xml:space="preserve"> compared to the PSII-HEq approach historically reported for the MMP pesticide monitoring program</w:t>
      </w:r>
      <w:r w:rsidRPr="00F030FF">
        <w:rPr>
          <w:lang w:val="en-AU"/>
        </w:rPr>
        <w:t xml:space="preserve">. </w:t>
      </w:r>
      <w:r>
        <w:rPr>
          <w:lang w:val="en-AU"/>
        </w:rPr>
        <w:t xml:space="preserve">Background information </w:t>
      </w:r>
      <w:r w:rsidR="00AB43A7">
        <w:rPr>
          <w:lang w:val="en-AU"/>
        </w:rPr>
        <w:t xml:space="preserve">on the current state of development of the ms-PAF approach for Reef ecosystem species </w:t>
      </w:r>
      <w:r>
        <w:rPr>
          <w:lang w:val="en-AU"/>
        </w:rPr>
        <w:t xml:space="preserve">is given in the methods section above (see section </w:t>
      </w:r>
      <w:r w:rsidR="00C91BF5">
        <w:rPr>
          <w:lang w:val="en-AU"/>
        </w:rPr>
        <w:fldChar w:fldCharType="begin"/>
      </w:r>
      <w:r>
        <w:rPr>
          <w:lang w:val="en-AU"/>
        </w:rPr>
        <w:instrText xml:space="preserve"> REF _Ref480884187 \n \h </w:instrText>
      </w:r>
      <w:r w:rsidR="00C91BF5">
        <w:rPr>
          <w:lang w:val="en-AU"/>
        </w:rPr>
      </w:r>
      <w:r w:rsidR="00C91BF5">
        <w:rPr>
          <w:lang w:val="en-AU"/>
        </w:rPr>
        <w:fldChar w:fldCharType="separate"/>
      </w:r>
      <w:r w:rsidR="00D12276">
        <w:rPr>
          <w:lang w:val="en-AU"/>
        </w:rPr>
        <w:t>3.5.4</w:t>
      </w:r>
      <w:r w:rsidR="00C91BF5">
        <w:rPr>
          <w:lang w:val="en-AU"/>
        </w:rPr>
        <w:fldChar w:fldCharType="end"/>
      </w:r>
      <w:r>
        <w:rPr>
          <w:lang w:val="en-AU"/>
        </w:rPr>
        <w:t>).</w:t>
      </w:r>
    </w:p>
    <w:p w14:paraId="157210A5" w14:textId="3822BC7E" w:rsidR="00F030FF" w:rsidRDefault="00F030FF" w:rsidP="00F030FF">
      <w:pPr>
        <w:spacing w:before="120" w:after="60" w:line="276" w:lineRule="auto"/>
        <w:rPr>
          <w:lang w:val="en-AU"/>
        </w:rPr>
      </w:pPr>
      <w:r>
        <w:rPr>
          <w:lang w:val="en-AU"/>
        </w:rPr>
        <w:t xml:space="preserve">For this case study, </w:t>
      </w:r>
      <w:r w:rsidR="00055496">
        <w:rPr>
          <w:lang w:val="en-AU"/>
        </w:rPr>
        <w:t xml:space="preserve">the </w:t>
      </w:r>
      <w:r w:rsidR="00687C82">
        <w:rPr>
          <w:lang w:val="en-AU"/>
        </w:rPr>
        <w:t>ms-PAF</w:t>
      </w:r>
      <w:r>
        <w:rPr>
          <w:lang w:val="en-AU"/>
        </w:rPr>
        <w:t xml:space="preserve"> for </w:t>
      </w:r>
      <w:r w:rsidR="00687C82">
        <w:rPr>
          <w:lang w:val="en-AU"/>
        </w:rPr>
        <w:t xml:space="preserve">each sample in </w:t>
      </w:r>
      <w:r>
        <w:rPr>
          <w:lang w:val="en-AU"/>
        </w:rPr>
        <w:t xml:space="preserve">the monitoring data </w:t>
      </w:r>
      <w:r w:rsidR="00AB43A7">
        <w:rPr>
          <w:lang w:val="en-AU"/>
        </w:rPr>
        <w:t xml:space="preserve">set </w:t>
      </w:r>
      <w:r>
        <w:rPr>
          <w:lang w:val="en-AU"/>
        </w:rPr>
        <w:t xml:space="preserve">reported for the current year was determined </w:t>
      </w:r>
      <w:r w:rsidR="00055496">
        <w:rPr>
          <w:lang w:val="en-AU"/>
        </w:rPr>
        <w:t>based on</w:t>
      </w:r>
      <w:r>
        <w:rPr>
          <w:lang w:val="en-AU"/>
        </w:rPr>
        <w:t xml:space="preserve"> </w:t>
      </w:r>
      <w:r w:rsidR="00967DB3">
        <w:rPr>
          <w:lang w:val="en-AU"/>
        </w:rPr>
        <w:t>thirteen</w:t>
      </w:r>
      <w:r>
        <w:rPr>
          <w:lang w:val="en-AU"/>
        </w:rPr>
        <w:t xml:space="preserve"> PSII herbicides (see </w:t>
      </w:r>
      <w:r w:rsidR="002A77E1">
        <w:fldChar w:fldCharType="begin"/>
      </w:r>
      <w:r w:rsidR="002A77E1">
        <w:instrText xml:space="preserve"> REF _Ref480888022 \h  \* MERGEFORMAT </w:instrText>
      </w:r>
      <w:r w:rsidR="002A77E1">
        <w:fldChar w:fldCharType="separate"/>
      </w:r>
      <w:r w:rsidR="00D12276" w:rsidRPr="00BD35DC">
        <w:t xml:space="preserve">Table </w:t>
      </w:r>
      <w:r w:rsidR="00D12276" w:rsidRPr="00D12276">
        <w:rPr>
          <w:noProof/>
        </w:rPr>
        <w:t>12</w:t>
      </w:r>
      <w:r w:rsidR="002A77E1">
        <w:fldChar w:fldCharType="end"/>
      </w:r>
      <w:r w:rsidR="00837F9A">
        <w:t>;</w:t>
      </w:r>
      <w:r w:rsidR="00AB43A7">
        <w:rPr>
          <w:lang w:val="en-AU"/>
        </w:rPr>
        <w:t xml:space="preserve"> note that t</w:t>
      </w:r>
      <w:r w:rsidR="00AB43A7" w:rsidRPr="00AB43A7">
        <w:rPr>
          <w:lang w:val="en-AU"/>
        </w:rPr>
        <w:t>erbuthylazine</w:t>
      </w:r>
      <w:r w:rsidR="00AB43A7">
        <w:rPr>
          <w:lang w:val="en-AU"/>
        </w:rPr>
        <w:t xml:space="preserve"> is included in the model but was not </w:t>
      </w:r>
      <w:r w:rsidR="00055496">
        <w:rPr>
          <w:lang w:val="en-AU"/>
        </w:rPr>
        <w:t>monitored</w:t>
      </w:r>
      <w:r w:rsidR="00AB43A7">
        <w:rPr>
          <w:lang w:val="en-AU"/>
        </w:rPr>
        <w:t xml:space="preserve"> in the current </w:t>
      </w:r>
      <w:r w:rsidR="00055496">
        <w:rPr>
          <w:lang w:val="en-AU"/>
        </w:rPr>
        <w:t>year</w:t>
      </w:r>
      <w:r>
        <w:rPr>
          <w:lang w:val="en-AU"/>
        </w:rPr>
        <w:t xml:space="preserve">). The PSII herbicides have </w:t>
      </w:r>
      <w:r w:rsidR="00491582">
        <w:rPr>
          <w:lang w:val="en-AU"/>
        </w:rPr>
        <w:t xml:space="preserve">been shown to have </w:t>
      </w:r>
      <w:r>
        <w:rPr>
          <w:lang w:val="en-AU"/>
        </w:rPr>
        <w:t xml:space="preserve">the same mode of action (PSII inhibition) and </w:t>
      </w:r>
      <w:r w:rsidR="00491582">
        <w:rPr>
          <w:lang w:val="en-AU"/>
        </w:rPr>
        <w:t xml:space="preserve">follow a concentration </w:t>
      </w:r>
      <w:r w:rsidR="00755005">
        <w:rPr>
          <w:lang w:val="en-AU"/>
        </w:rPr>
        <w:t xml:space="preserve">addition </w:t>
      </w:r>
      <w:r w:rsidR="00491582">
        <w:rPr>
          <w:lang w:val="en-AU"/>
        </w:rPr>
        <w:t xml:space="preserve">(CA) </w:t>
      </w:r>
      <w:r>
        <w:rPr>
          <w:lang w:val="en-AU"/>
        </w:rPr>
        <w:t xml:space="preserve">model </w:t>
      </w:r>
      <w:r w:rsidR="00C91BF5">
        <w:rPr>
          <w:lang w:val="en-AU"/>
        </w:rPr>
        <w:fldChar w:fldCharType="begin">
          <w:fldData xml:space="preserve">PEVuZE5vdGU+PENpdGU+PEF1dGhvcj5NYWdudXNzb248L0F1dGhvcj48WWVhcj4yMDEwPC9ZZWFy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</w:fldData>
        </w:fldChar>
      </w:r>
      <w:r w:rsidR="009D4492">
        <w:rPr>
          <w:lang w:val="en-AU"/>
        </w:rPr>
        <w:instrText xml:space="preserve"> ADDIN EN.CITE </w:instrText>
      </w:r>
      <w:r w:rsidR="009D4492">
        <w:rPr>
          <w:lang w:val="en-AU"/>
        </w:rPr>
        <w:fldChar w:fldCharType="begin">
          <w:fldData xml:space="preserve">PEVuZE5vdGU+PENpdGU+PEF1dGhvcj5NYWdudXNzb248L0F1dGhvcj48WWVhcj4yMDEwPC9ZZWFy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</w:fldData>
        </w:fldChar>
      </w:r>
      <w:r w:rsidR="009D4492">
        <w:rPr>
          <w:lang w:val="en-AU"/>
        </w:rPr>
        <w:instrText xml:space="preserve"> ADDIN EN.CITE.DATA </w:instrText>
      </w:r>
      <w:r w:rsidR="009D4492">
        <w:rPr>
          <w:lang w:val="en-AU"/>
        </w:rPr>
      </w:r>
      <w:r w:rsidR="009D4492">
        <w:rPr>
          <w:lang w:val="en-AU"/>
        </w:rPr>
        <w:fldChar w:fldCharType="end"/>
      </w:r>
      <w:r w:rsidR="00C91BF5">
        <w:rPr>
          <w:lang w:val="en-AU"/>
        </w:rPr>
      </w:r>
      <w:r w:rsidR="00C91BF5">
        <w:rPr>
          <w:lang w:val="en-AU"/>
        </w:rPr>
        <w:fldChar w:fldCharType="separate"/>
      </w:r>
      <w:r w:rsidR="009D4492">
        <w:rPr>
          <w:noProof/>
          <w:lang w:val="en-AU"/>
        </w:rPr>
        <w:t>(Faust et al., 2001, Backhaus et al., 2004, Magnusson et al., 2010)</w:t>
      </w:r>
      <w:r w:rsidR="00C91BF5">
        <w:rPr>
          <w:lang w:val="en-AU"/>
        </w:rPr>
        <w:fldChar w:fldCharType="end"/>
      </w:r>
      <w:r>
        <w:rPr>
          <w:lang w:val="en-AU"/>
        </w:rPr>
        <w:t xml:space="preserve">. The </w:t>
      </w:r>
      <w:r w:rsidR="00AB43A7">
        <w:rPr>
          <w:lang w:val="en-AU"/>
        </w:rPr>
        <w:t xml:space="preserve">overall approach and the </w:t>
      </w:r>
      <w:r>
        <w:rPr>
          <w:lang w:val="en-AU"/>
        </w:rPr>
        <w:t xml:space="preserve">species sensitivity distributions (SSDs) for each of the PSII herbicides </w:t>
      </w:r>
      <w:r w:rsidR="00AB43A7">
        <w:rPr>
          <w:lang w:val="en-AU"/>
        </w:rPr>
        <w:t>w</w:t>
      </w:r>
      <w:r w:rsidR="008D33E2">
        <w:rPr>
          <w:lang w:val="en-AU"/>
        </w:rPr>
        <w:t>ere</w:t>
      </w:r>
      <w:r w:rsidR="00AB43A7">
        <w:rPr>
          <w:lang w:val="en-AU"/>
        </w:rPr>
        <w:t xml:space="preserve"> developed by Rachael Smith</w:t>
      </w:r>
      <w:r w:rsidR="000E0721">
        <w:rPr>
          <w:lang w:val="en-AU"/>
        </w:rPr>
        <w:t>, Olivia King</w:t>
      </w:r>
      <w:r w:rsidR="00AB43A7">
        <w:rPr>
          <w:lang w:val="en-AU"/>
        </w:rPr>
        <w:t xml:space="preserve"> </w:t>
      </w:r>
      <w:r w:rsidR="000E0721">
        <w:rPr>
          <w:lang w:val="en-AU"/>
        </w:rPr>
        <w:t>and co-workers at DSITI. T</w:t>
      </w:r>
      <w:r w:rsidR="00AB43A7">
        <w:rPr>
          <w:lang w:val="en-AU"/>
        </w:rPr>
        <w:t>he relevant d</w:t>
      </w:r>
      <w:r w:rsidR="008D33E2">
        <w:rPr>
          <w:lang w:val="en-AU"/>
        </w:rPr>
        <w:t xml:space="preserve">ata </w:t>
      </w:r>
      <w:r w:rsidR="00216883">
        <w:rPr>
          <w:lang w:val="en-AU"/>
        </w:rPr>
        <w:t>are</w:t>
      </w:r>
      <w:r w:rsidR="00055496">
        <w:rPr>
          <w:lang w:val="en-AU"/>
        </w:rPr>
        <w:t xml:space="preserve"> the basis of the pesticide risk assessment component of the 2017 </w:t>
      </w:r>
      <w:r w:rsidR="000E0721">
        <w:rPr>
          <w:lang w:val="en-AU"/>
        </w:rPr>
        <w:t xml:space="preserve">Update </w:t>
      </w:r>
      <w:r w:rsidR="00055496">
        <w:rPr>
          <w:lang w:val="en-AU"/>
        </w:rPr>
        <w:t>Scientific Consensus Statement</w:t>
      </w:r>
      <w:r w:rsidR="00216883">
        <w:rPr>
          <w:lang w:val="en-AU"/>
        </w:rPr>
        <w:t xml:space="preserve"> </w:t>
      </w:r>
      <w:r w:rsidR="00216883">
        <w:rPr>
          <w:lang w:val="en-AU"/>
        </w:rPr>
        <w:fldChar w:fldCharType="begin"/>
      </w:r>
      <w:r w:rsidR="00216883">
        <w:rPr>
          <w:lang w:val="en-AU"/>
        </w:rPr>
        <w:instrText xml:space="preserve"> ADDIN EN.CITE &lt;EndNote&gt;&lt;Cite&gt;&lt;Author&gt;Waterhouse&lt;/Author&gt;&lt;Year&gt;2017&lt;/Year&gt;&lt;RecNum&gt;103&lt;/RecNum&gt;&lt;DisplayText&gt;(Waterhouse et al., 2017a)&lt;/DisplayText&gt;&lt;record&gt;&lt;rec-number&gt;103&lt;/rec-number&gt;&lt;foreign-keys&gt;&lt;key app="EN" db-id="vvtrt2pt4xpx5teta99vvtwg50vzve2aexae" timestamp="1513803695"&gt;103&lt;/key&gt;&lt;/foreign-keys&gt;&lt;ref-type name="Report"&gt;27&lt;/ref-type&gt;&lt;contributors&gt;&lt;authors&gt;&lt;author&gt;Waterhouse, J.&lt;/author&gt;&lt;author&gt;Brodie, J.&lt;/author&gt;&lt;author&gt;Tracey, D.&lt;/author&gt;&lt;author&gt;Smith, R.&lt;/author&gt;&lt;author&gt;Vandergragt, M.&lt;/author&gt;&lt;author&gt;Collier, C.&lt;/author&gt;&lt;author&gt;Petus, C.&lt;/author&gt;&lt;author&gt;Baird, M.,&lt;/author&gt;&lt;author&gt;Kroon, F.&lt;/author&gt;&lt;author&gt;Mann, R.&lt;/author&gt;&lt;author&gt;Sutcliffe, T.&lt;/author&gt;&lt;author&gt;Waters, D.&lt;/author&gt;&lt;author&gt;Adame, F. &lt;/author&gt;&lt;/authors&gt;&lt;/contributors&gt;&lt;titles&gt;&lt;title&gt;Scientific Consensus Statement 2017: A synthesis of the science of land-based water quality impacts on the Great Barrier Reef, Chapter 3: The risk from anthropogenic pollutants to Great Barrier Reef coastal and marine ecosystems&lt;/title&gt;&lt;/titles&gt;&lt;dates&gt;&lt;year&gt;2017&lt;/year&gt;&lt;/dates&gt;&lt;publisher&gt;State of Queensland&lt;/publisher&gt;&lt;urls&gt;&lt;/urls&gt;&lt;/record&gt;&lt;/Cite&gt;&lt;/EndNote&gt;</w:instrText>
      </w:r>
      <w:r w:rsidR="00216883">
        <w:rPr>
          <w:lang w:val="en-AU"/>
        </w:rPr>
        <w:fldChar w:fldCharType="separate"/>
      </w:r>
      <w:r w:rsidR="00216883">
        <w:rPr>
          <w:noProof/>
          <w:lang w:val="en-AU"/>
        </w:rPr>
        <w:t>(Waterhouse et al., 2017a)</w:t>
      </w:r>
      <w:r w:rsidR="00216883">
        <w:rPr>
          <w:lang w:val="en-AU"/>
        </w:rPr>
        <w:fldChar w:fldCharType="end"/>
      </w:r>
      <w:r w:rsidR="008D33E2">
        <w:rPr>
          <w:lang w:val="en-AU"/>
        </w:rPr>
        <w:t>.</w:t>
      </w:r>
      <w:r w:rsidR="00F209D3">
        <w:rPr>
          <w:lang w:val="en-AU"/>
        </w:rPr>
        <w:t xml:space="preserve"> T</w:t>
      </w:r>
      <w:r w:rsidR="00F209D3" w:rsidRPr="00F209D3">
        <w:rPr>
          <w:lang w:val="en-AU"/>
        </w:rPr>
        <w:t xml:space="preserve">he two methods of assessing environmental risk of additive herbicide mixtures (the PSII-HEq Index and ms-PAF method) were compared </w:t>
      </w:r>
      <w:r w:rsidR="00F209D3">
        <w:rPr>
          <w:lang w:val="en-AU"/>
        </w:rPr>
        <w:t>for the current</w:t>
      </w:r>
      <w:r w:rsidR="00F209D3" w:rsidRPr="00F209D3">
        <w:rPr>
          <w:lang w:val="en-AU"/>
        </w:rPr>
        <w:t xml:space="preserve"> monitoring year</w:t>
      </w:r>
      <w:r w:rsidR="00216883">
        <w:rPr>
          <w:lang w:val="en-AU"/>
        </w:rPr>
        <w:t xml:space="preserve">, together with the toxic equivalence approach </w:t>
      </w:r>
      <w:r w:rsidR="00837F9A">
        <w:rPr>
          <w:lang w:val="en-AU"/>
        </w:rPr>
        <w:t>developed</w:t>
      </w:r>
      <w:r w:rsidR="00216883">
        <w:rPr>
          <w:lang w:val="en-AU"/>
        </w:rPr>
        <w:t xml:space="preserve"> by </w:t>
      </w:r>
      <w:r w:rsidR="00216883">
        <w:rPr>
          <w:lang w:val="en-AU"/>
        </w:rPr>
        <w:fldChar w:fldCharType="begin"/>
      </w:r>
      <w:r w:rsidR="00216883">
        <w:rPr>
          <w:lang w:val="en-AU"/>
        </w:rPr>
        <w:instrText xml:space="preserve"> ADDIN EN.CITE &lt;EndNote&gt;&lt;Cite AuthorYear="1"&gt;&lt;Author&gt;Smith&lt;/Author&gt;&lt;Year&gt;2016&lt;/Year&gt;&lt;RecNum&gt;34&lt;/RecNum&gt;&lt;DisplayText&gt;Smith et al. (2016a)&lt;/DisplayText&gt;&lt;record&gt;&lt;rec-number&gt;34&lt;/rec-number&gt;&lt;foreign-keys&gt;&lt;key app="EN" db-id="vvtrt2pt4xpx5teta99vvtwg50vzve2aexae" timestamp="1493157365"&gt;34&lt;/key&gt;&lt;/foreign-keys&gt;&lt;ref-type name="Journal Article"&gt;17&lt;/ref-type&gt;&lt;contributors&gt;&lt;authors&gt;&lt;author&gt;Smith, Rachael A.&lt;/author&gt;&lt;author&gt;Warne, Michael St J.&lt;/author&gt;&lt;author&gt;Mengersen, Kerrie&lt;/author&gt;&lt;author&gt;Turner, Ryan D. R.&lt;/author&gt;&lt;/authors&gt;&lt;/contributors&gt;&lt;titles&gt;&lt;title&gt;An improved method for calculating toxicity-based pollutant loads: Part 1. Method development&lt;/title&gt;&lt;secondary-title&gt;Integrated Environmental Assessment and Management&lt;/secondary-title&gt;&lt;/titles&gt;&lt;periodical&gt;&lt;full-title&gt;Integrated Environmental Assessment and Management&lt;/full-title&gt;&lt;/periodical&gt;&lt;pages&gt;In press&lt;/pages&gt;&lt;keywords&gt;&lt;keyword&gt;Mixtures&lt;/keyword&gt;&lt;keyword&gt;Multiple species&lt;/keyword&gt;&lt;keyword&gt;Pollutant loads&lt;/keyword&gt;&lt;keyword&gt;Relative potency&lt;/keyword&gt;&lt;keyword&gt;Toxic equivalency factor&lt;/keyword&gt;&lt;/keywords&gt;&lt;dates&gt;&lt;year&gt;2016&lt;/year&gt;&lt;/dates&gt;&lt;isbn&gt;1551-3793&lt;/isbn&gt;&lt;urls&gt;&lt;related-urls&gt;&lt;url&gt;http://dx.doi.org/10.1002/ieam.1854&lt;/url&gt;&lt;/related-urls&gt;&lt;/urls&gt;&lt;electronic-resource-num&gt;10.1002/ieam.1854&lt;/electronic-resource-num&gt;&lt;/record&gt;&lt;/Cite&gt;&lt;/EndNote&gt;</w:instrText>
      </w:r>
      <w:r w:rsidR="00216883">
        <w:rPr>
          <w:lang w:val="en-AU"/>
        </w:rPr>
        <w:fldChar w:fldCharType="separate"/>
      </w:r>
      <w:r w:rsidR="00216883">
        <w:rPr>
          <w:noProof/>
          <w:lang w:val="en-AU"/>
        </w:rPr>
        <w:t>Smith et al. (2016a)</w:t>
      </w:r>
      <w:r w:rsidR="00216883">
        <w:rPr>
          <w:lang w:val="en-AU"/>
        </w:rPr>
        <w:fldChar w:fldCharType="end"/>
      </w:r>
      <w:r w:rsidR="00216883">
        <w:rPr>
          <w:lang w:val="en-AU"/>
        </w:rPr>
        <w:t xml:space="preserve"> and used in the GBRCLMP</w:t>
      </w:r>
      <w:r w:rsidR="00F209D3" w:rsidRPr="00F209D3">
        <w:rPr>
          <w:lang w:val="en-AU"/>
        </w:rPr>
        <w:t>.</w:t>
      </w:r>
    </w:p>
    <w:p w14:paraId="157210A6" w14:textId="77777777" w:rsidR="001B0430" w:rsidRPr="005E7F56" w:rsidRDefault="005E7F56" w:rsidP="006A23A2">
      <w:pPr>
        <w:spacing w:before="120" w:after="60" w:line="276" w:lineRule="auto"/>
        <w:ind w:left="567" w:hanging="567"/>
        <w:jc w:val="left"/>
        <w:rPr>
          <w:b/>
          <w:lang w:val="en-AU"/>
        </w:rPr>
      </w:pPr>
      <w:r w:rsidRPr="005E7F56">
        <w:rPr>
          <w:b/>
          <w:lang w:val="en-AU"/>
        </w:rPr>
        <w:t>Methodology for ms-PAF approach</w:t>
      </w:r>
    </w:p>
    <w:p w14:paraId="157210A7" w14:textId="3080C3CA" w:rsidR="005E7F56" w:rsidRDefault="005E7F56" w:rsidP="005E7F56">
      <w:pPr>
        <w:spacing w:line="276" w:lineRule="auto"/>
        <w:rPr>
          <w:lang w:val="en-AU" w:eastAsia="en-AU"/>
        </w:rPr>
      </w:pPr>
      <w:r>
        <w:rPr>
          <w:lang w:val="en-AU" w:eastAsia="en-AU"/>
        </w:rPr>
        <w:t xml:space="preserve">The ms-PAF </w:t>
      </w:r>
      <w:r w:rsidR="00491582">
        <w:rPr>
          <w:lang w:val="en-AU" w:eastAsia="en-AU"/>
        </w:rPr>
        <w:t xml:space="preserve">CA model </w:t>
      </w:r>
      <w:r>
        <w:rPr>
          <w:lang w:val="en-AU" w:eastAsia="en-AU"/>
        </w:rPr>
        <w:t xml:space="preserve">approach </w:t>
      </w:r>
      <w:r w:rsidR="000E0721">
        <w:rPr>
          <w:lang w:val="en-AU" w:eastAsia="en-AU"/>
        </w:rPr>
        <w:t xml:space="preserve">was first described by </w:t>
      </w:r>
      <w:r w:rsidR="00C91BF5">
        <w:rPr>
          <w:lang w:val="en-AU" w:eastAsia="en-AU"/>
        </w:rPr>
        <w:fldChar w:fldCharType="begin"/>
      </w:r>
      <w:r w:rsidR="001C4264">
        <w:rPr>
          <w:lang w:val="en-AU" w:eastAsia="en-AU"/>
        </w:rPr>
        <w:instrText xml:space="preserve"> ADDIN EN.CITE &lt;EndNote&gt;&lt;Cite AuthorYear="1"&gt;&lt;Author&gt;Traas&lt;/Author&gt;&lt;Year&gt;2002&lt;/Year&gt;&lt;RecNum&gt;36&lt;/RecNum&gt;&lt;DisplayText&gt;Traas et al. (2002)&lt;/DisplayText&gt;&lt;record&gt;&lt;rec-number&gt;36&lt;/rec-number&gt;&lt;foreign-keys&gt;&lt;key app="EN" db-id="vvtrt2pt4xpx5teta99vvtwg50vzve2aexae" timestamp="1493157367"&gt;36&lt;/key&gt;&lt;/foreign-keys&gt;&lt;ref-type name="Generic"&gt;13&lt;/ref-type&gt;&lt;contributors&gt;&lt;authors&gt;&lt;author&gt;Traas, Theo P&lt;/author&gt;&lt;author&gt;van de Meent, Dik&lt;/author&gt;&lt;author&gt;Posthuma, Leo&lt;/author&gt;&lt;author&gt;Hamers, Timo&lt;/author&gt;&lt;author&gt;Kater, Belinda J&lt;/author&gt;&lt;author&gt;De Zwart, Dick&lt;/author&gt;&lt;author&gt;Aldenberg, Tom&lt;/author&gt;&lt;/authors&gt;&lt;/contributors&gt;&lt;titles&gt;&lt;title&gt;The potentially affected fraction as a measure of ecological risk&lt;/title&gt;&lt;/titles&gt;&lt;pages&gt;315-344&lt;/pages&gt;&lt;dates&gt;&lt;year&gt;2002&lt;/year&gt;&lt;/dates&gt;&lt;publisher&gt;CRC Press: Boca Raton, FL&lt;/publisher&gt;&lt;urls&gt;&lt;/urls&gt;&lt;/record&gt;&lt;/Cite&gt;&lt;/EndNote&gt;</w:instrText>
      </w:r>
      <w:r w:rsidR="00C91BF5">
        <w:rPr>
          <w:lang w:val="en-AU" w:eastAsia="en-AU"/>
        </w:rPr>
        <w:fldChar w:fldCharType="separate"/>
      </w:r>
      <w:r w:rsidR="001C4264">
        <w:rPr>
          <w:noProof/>
          <w:lang w:val="en-AU" w:eastAsia="en-AU"/>
        </w:rPr>
        <w:t>Traas et al. (2002)</w:t>
      </w:r>
      <w:r w:rsidR="00C91BF5">
        <w:rPr>
          <w:lang w:val="en-AU" w:eastAsia="en-AU"/>
        </w:rPr>
        <w:fldChar w:fldCharType="end"/>
      </w:r>
      <w:r>
        <w:rPr>
          <w:lang w:val="en-AU" w:eastAsia="en-AU"/>
        </w:rPr>
        <w:t xml:space="preserve">. </w:t>
      </w:r>
      <w:r w:rsidR="007A35CC">
        <w:rPr>
          <w:lang w:val="en-AU" w:eastAsia="en-AU"/>
        </w:rPr>
        <w:t>In brief</w:t>
      </w:r>
      <w:r>
        <w:rPr>
          <w:lang w:val="en-AU" w:eastAsia="en-AU"/>
        </w:rPr>
        <w:t>, t</w:t>
      </w:r>
      <w:r w:rsidRPr="00077667">
        <w:rPr>
          <w:lang w:val="en-AU" w:eastAsia="en-AU"/>
        </w:rPr>
        <w:t>o determin</w:t>
      </w:r>
      <w:r w:rsidR="00AB43A7">
        <w:rPr>
          <w:lang w:val="en-AU" w:eastAsia="en-AU"/>
        </w:rPr>
        <w:t xml:space="preserve">e the </w:t>
      </w:r>
      <w:r w:rsidR="00687C82">
        <w:rPr>
          <w:lang w:val="en-AU" w:eastAsia="en-AU"/>
        </w:rPr>
        <w:t>ms-</w:t>
      </w:r>
      <w:r w:rsidR="00AB43A7">
        <w:rPr>
          <w:lang w:val="en-AU" w:eastAsia="en-AU"/>
        </w:rPr>
        <w:t xml:space="preserve">PAF of a field sample that contains a mixture of PSII herbicides, a </w:t>
      </w:r>
      <w:r w:rsidR="00755005">
        <w:rPr>
          <w:lang w:val="en-AU" w:eastAsia="en-AU"/>
        </w:rPr>
        <w:t>global</w:t>
      </w:r>
      <w:r w:rsidR="00755005">
        <w:rPr>
          <w:rStyle w:val="FootnoteReference"/>
          <w:lang w:val="en-AU" w:eastAsia="en-AU"/>
        </w:rPr>
        <w:footnoteReference w:id="3"/>
      </w:r>
      <w:r w:rsidR="00755005">
        <w:rPr>
          <w:lang w:val="en-AU" w:eastAsia="en-AU"/>
        </w:rPr>
        <w:t xml:space="preserve"> PSII herbicide </w:t>
      </w:r>
      <w:r w:rsidR="00AB43A7">
        <w:rPr>
          <w:lang w:val="en-AU" w:eastAsia="en-AU"/>
        </w:rPr>
        <w:t>SSD</w:t>
      </w:r>
      <w:r w:rsidR="00687C82">
        <w:rPr>
          <w:lang w:val="en-AU" w:eastAsia="en-AU"/>
        </w:rPr>
        <w:t>, SSD</w:t>
      </w:r>
      <w:r w:rsidR="000E0721">
        <w:rPr>
          <w:vertAlign w:val="subscript"/>
          <w:lang w:val="en-AU" w:eastAsia="en-AU"/>
        </w:rPr>
        <w:t>G</w:t>
      </w:r>
      <w:r w:rsidR="00687C82">
        <w:rPr>
          <w:lang w:val="en-AU" w:eastAsia="en-AU"/>
        </w:rPr>
        <w:t>,</w:t>
      </w:r>
      <w:r w:rsidR="00AB43A7">
        <w:rPr>
          <w:lang w:val="en-AU" w:eastAsia="en-AU"/>
        </w:rPr>
        <w:t xml:space="preserve"> that represents </w:t>
      </w:r>
      <w:r w:rsidR="00687C82">
        <w:rPr>
          <w:lang w:val="en-AU" w:eastAsia="en-AU"/>
        </w:rPr>
        <w:t xml:space="preserve">the percentage of species affected by </w:t>
      </w:r>
      <w:r w:rsidR="00AB43A7">
        <w:rPr>
          <w:lang w:val="en-AU" w:eastAsia="en-AU"/>
        </w:rPr>
        <w:t xml:space="preserve">a mixture of </w:t>
      </w:r>
      <w:r w:rsidR="00755005">
        <w:rPr>
          <w:lang w:val="en-AU" w:eastAsia="en-AU"/>
        </w:rPr>
        <w:t xml:space="preserve">PSII herbicides </w:t>
      </w:r>
      <w:r w:rsidR="000E0721">
        <w:rPr>
          <w:lang w:val="en-AU" w:eastAsia="en-AU"/>
        </w:rPr>
        <w:t>is determined. To determine SSD</w:t>
      </w:r>
      <w:r w:rsidR="000E0721">
        <w:rPr>
          <w:vertAlign w:val="subscript"/>
          <w:lang w:val="en-AU" w:eastAsia="en-AU"/>
        </w:rPr>
        <w:t>G</w:t>
      </w:r>
      <w:r w:rsidR="00AB43A7">
        <w:rPr>
          <w:lang w:val="en-AU" w:eastAsia="en-AU"/>
        </w:rPr>
        <w:t xml:space="preserve"> for a PSII herbicide mix, </w:t>
      </w:r>
      <w:r w:rsidR="005C660C">
        <w:rPr>
          <w:lang w:val="en-AU" w:eastAsia="en-AU"/>
        </w:rPr>
        <w:t xml:space="preserve">individual SSDs for each herbicide </w:t>
      </w:r>
      <w:r w:rsidR="00491582">
        <w:rPr>
          <w:lang w:val="en-AU" w:eastAsia="en-AU"/>
        </w:rPr>
        <w:t>we</w:t>
      </w:r>
      <w:r w:rsidR="005C660C">
        <w:rPr>
          <w:lang w:val="en-AU" w:eastAsia="en-AU"/>
        </w:rPr>
        <w:t xml:space="preserve">re normalised to a common </w:t>
      </w:r>
      <w:r w:rsidR="002162CF">
        <w:rPr>
          <w:lang w:val="en-AU" w:eastAsia="en-AU"/>
        </w:rPr>
        <w:t xml:space="preserve">dimensionless </w:t>
      </w:r>
      <w:r w:rsidR="005C660C">
        <w:rPr>
          <w:lang w:val="en-AU" w:eastAsia="en-AU"/>
        </w:rPr>
        <w:t>scale based on hazard units (HU) so that each re-scaled SSD ha</w:t>
      </w:r>
      <w:r w:rsidR="00491582">
        <w:rPr>
          <w:lang w:val="en-AU" w:eastAsia="en-AU"/>
        </w:rPr>
        <w:t>d</w:t>
      </w:r>
      <w:r w:rsidR="005C660C">
        <w:rPr>
          <w:lang w:val="en-AU" w:eastAsia="en-AU"/>
        </w:rPr>
        <w:t xml:space="preserve"> a PC50 (concentration at which 50% of species are affected) of 1 HU (</w:t>
      </w:r>
      <w:r w:rsidR="002A77E1">
        <w:fldChar w:fldCharType="begin"/>
      </w:r>
      <w:r w:rsidR="002A77E1">
        <w:instrText xml:space="preserve"> REF _Ref480885534 \h  \* MERGEFORMAT </w:instrText>
      </w:r>
      <w:r w:rsidR="002A77E1">
        <w:fldChar w:fldCharType="separate"/>
      </w:r>
      <w:r w:rsidR="00D12276" w:rsidRPr="009F4B5D">
        <w:t xml:space="preserve">Figure </w:t>
      </w:r>
      <w:r w:rsidR="00D12276" w:rsidRPr="00D12276">
        <w:rPr>
          <w:noProof/>
        </w:rPr>
        <w:t>15</w:t>
      </w:r>
      <w:r w:rsidR="002A77E1">
        <w:fldChar w:fldCharType="end"/>
      </w:r>
      <w:r w:rsidR="005C660C">
        <w:rPr>
          <w:lang w:val="en-AU" w:eastAsia="en-AU"/>
        </w:rPr>
        <w:t>). To do this, for each data point in an individual SSD, the concentration</w:t>
      </w:r>
      <w:r w:rsidR="00491582">
        <w:rPr>
          <w:lang w:val="en-AU" w:eastAsia="en-AU"/>
        </w:rPr>
        <w:t xml:space="preserve"> wa</w:t>
      </w:r>
      <w:r w:rsidR="005C660C">
        <w:rPr>
          <w:lang w:val="en-AU" w:eastAsia="en-AU"/>
        </w:rPr>
        <w:t xml:space="preserve">s divided by its PC50 value </w:t>
      </w:r>
      <w:r w:rsidR="002162CF">
        <w:rPr>
          <w:lang w:val="en-AU" w:eastAsia="en-AU"/>
        </w:rPr>
        <w:t xml:space="preserve">(also referred to as its </w:t>
      </w:r>
      <w:r w:rsidR="002162CF">
        <w:rPr>
          <w:rFonts w:cs="Arial"/>
          <w:lang w:val="en-AU" w:eastAsia="en-AU"/>
        </w:rPr>
        <w:t>α</w:t>
      </w:r>
      <w:r w:rsidR="002162CF">
        <w:rPr>
          <w:lang w:val="en-AU" w:eastAsia="en-AU"/>
        </w:rPr>
        <w:t xml:space="preserve"> (alpha) value which</w:t>
      </w:r>
      <w:r w:rsidR="000E0721">
        <w:rPr>
          <w:lang w:val="en-AU" w:eastAsia="en-AU"/>
        </w:rPr>
        <w:t xml:space="preserve"> is the mid-point of a logistic cumulative frequency </w:t>
      </w:r>
      <w:r w:rsidR="002162CF">
        <w:rPr>
          <w:lang w:val="en-AU" w:eastAsia="en-AU"/>
        </w:rPr>
        <w:t>distribution</w:t>
      </w:r>
      <w:r w:rsidR="00F77BED">
        <w:rPr>
          <w:lang w:val="en-AU" w:eastAsia="en-AU"/>
        </w:rPr>
        <w:t xml:space="preserve"> </w:t>
      </w:r>
      <w:r w:rsidR="000E0721">
        <w:rPr>
          <w:lang w:val="en-AU" w:eastAsia="en-AU"/>
        </w:rPr>
        <w:t xml:space="preserve">(CFD) </w:t>
      </w:r>
      <w:r w:rsidR="00F77BED">
        <w:rPr>
          <w:lang w:val="en-AU" w:eastAsia="en-AU"/>
        </w:rPr>
        <w:t>fitted to the SSD</w:t>
      </w:r>
      <w:r w:rsidR="00687C82">
        <w:rPr>
          <w:lang w:val="en-AU" w:eastAsia="en-AU"/>
        </w:rPr>
        <w:t>;</w:t>
      </w:r>
      <w:r w:rsidR="00687C82" w:rsidRPr="00C60B74">
        <w:rPr>
          <w:lang w:val="en-AU" w:eastAsia="en-AU"/>
        </w:rPr>
        <w:t xml:space="preserve"> </w:t>
      </w:r>
      <w:r w:rsidR="002A77E1">
        <w:fldChar w:fldCharType="begin"/>
      </w:r>
      <w:r w:rsidR="002A77E1">
        <w:instrText xml:space="preserve"> REF _Ref480888022 \h  \* MERGEFORMAT </w:instrText>
      </w:r>
      <w:r w:rsidR="002A77E1">
        <w:fldChar w:fldCharType="separate"/>
      </w:r>
      <w:r w:rsidR="00D12276" w:rsidRPr="00BD35DC">
        <w:t xml:space="preserve">Table </w:t>
      </w:r>
      <w:r w:rsidR="00D12276" w:rsidRPr="00D12276">
        <w:rPr>
          <w:noProof/>
        </w:rPr>
        <w:t>12</w:t>
      </w:r>
      <w:r w:rsidR="002A77E1">
        <w:fldChar w:fldCharType="end"/>
      </w:r>
      <w:r w:rsidR="002162CF">
        <w:rPr>
          <w:lang w:val="en-AU" w:eastAsia="en-AU"/>
        </w:rPr>
        <w:t xml:space="preserve">) </w:t>
      </w:r>
      <w:r w:rsidR="005C660C">
        <w:rPr>
          <w:lang w:val="en-AU" w:eastAsia="en-AU"/>
        </w:rPr>
        <w:t>and replotted. An ‘average</w:t>
      </w:r>
      <w:r w:rsidR="00185B92">
        <w:rPr>
          <w:lang w:val="en-AU" w:eastAsia="en-AU"/>
        </w:rPr>
        <w:t>d</w:t>
      </w:r>
      <w:r w:rsidR="005C660C">
        <w:rPr>
          <w:lang w:val="en-AU" w:eastAsia="en-AU"/>
        </w:rPr>
        <w:t xml:space="preserve">’ </w:t>
      </w:r>
      <w:r w:rsidR="00185B92">
        <w:rPr>
          <w:lang w:val="en-AU" w:eastAsia="en-AU"/>
        </w:rPr>
        <w:t>logistic CFD</w:t>
      </w:r>
      <w:r w:rsidR="00185B92" w:rsidRPr="00F77BED">
        <w:rPr>
          <w:lang w:val="en-AU" w:eastAsia="en-AU"/>
        </w:rPr>
        <w:t xml:space="preserve"> </w:t>
      </w:r>
      <w:r w:rsidR="00491582">
        <w:rPr>
          <w:lang w:val="en-AU" w:eastAsia="en-AU"/>
        </w:rPr>
        <w:t>wa</w:t>
      </w:r>
      <w:r w:rsidR="005C660C">
        <w:rPr>
          <w:lang w:val="en-AU" w:eastAsia="en-AU"/>
        </w:rPr>
        <w:t xml:space="preserve">s then fitted to the individual </w:t>
      </w:r>
      <w:r w:rsidR="00F77BED">
        <w:rPr>
          <w:lang w:val="en-AU" w:eastAsia="en-AU"/>
        </w:rPr>
        <w:t xml:space="preserve">HU-scaled </w:t>
      </w:r>
      <w:r w:rsidR="005C660C">
        <w:rPr>
          <w:lang w:val="en-AU" w:eastAsia="en-AU"/>
        </w:rPr>
        <w:t>SSDs (</w:t>
      </w:r>
      <w:r w:rsidR="002A77E1">
        <w:fldChar w:fldCharType="begin"/>
      </w:r>
      <w:r w:rsidR="002A77E1">
        <w:instrText xml:space="preserve"> REF _Ref480885534 \h  \* MERGEFORMAT </w:instrText>
      </w:r>
      <w:r w:rsidR="002A77E1">
        <w:fldChar w:fldCharType="separate"/>
      </w:r>
      <w:r w:rsidR="00D12276" w:rsidRPr="009F4B5D">
        <w:t xml:space="preserve">Figure </w:t>
      </w:r>
      <w:r w:rsidR="00D12276" w:rsidRPr="00D12276">
        <w:rPr>
          <w:noProof/>
        </w:rPr>
        <w:t>15</w:t>
      </w:r>
      <w:r w:rsidR="002A77E1">
        <w:fldChar w:fldCharType="end"/>
      </w:r>
      <w:r w:rsidR="005C660C">
        <w:rPr>
          <w:lang w:val="en-AU" w:eastAsia="en-AU"/>
        </w:rPr>
        <w:t>, right graph) to determine a single S</w:t>
      </w:r>
      <w:r w:rsidR="002162CF">
        <w:rPr>
          <w:lang w:val="en-AU" w:eastAsia="en-AU"/>
        </w:rPr>
        <w:t>SD</w:t>
      </w:r>
      <w:r w:rsidR="000E0721">
        <w:rPr>
          <w:vertAlign w:val="subscript"/>
          <w:lang w:val="en-AU" w:eastAsia="en-AU"/>
        </w:rPr>
        <w:t>G</w:t>
      </w:r>
      <w:r w:rsidR="002162CF">
        <w:rPr>
          <w:lang w:val="en-AU" w:eastAsia="en-AU"/>
        </w:rPr>
        <w:t xml:space="preserve"> for the mixture</w:t>
      </w:r>
      <w:r w:rsidR="008D33E2">
        <w:rPr>
          <w:lang w:val="en-AU" w:eastAsia="en-AU"/>
        </w:rPr>
        <w:t xml:space="preserve"> </w:t>
      </w:r>
      <w:r w:rsidR="00F77BED" w:rsidRPr="00F77BED">
        <w:rPr>
          <w:lang w:val="en-AU" w:eastAsia="en-AU"/>
        </w:rPr>
        <w:t xml:space="preserve">defined by </w:t>
      </w:r>
      <w:r w:rsidR="00F77BED" w:rsidRPr="00F77BED">
        <w:t xml:space="preserve">an average midpoint </w:t>
      </w:r>
      <w:r w:rsidR="000E0721">
        <w:t xml:space="preserve">of the global distribution </w:t>
      </w:r>
      <w:r w:rsidR="00F77BED" w:rsidRPr="00F77BED">
        <w:t>(</w:t>
      </w:r>
      <w:bookmarkStart w:id="715" w:name="_Hlk480890206"/>
      <w:r w:rsidR="00F77BED" w:rsidRPr="00F77BED">
        <w:rPr>
          <w:rFonts w:cs="Arial"/>
        </w:rPr>
        <w:t>α</w:t>
      </w:r>
      <w:r w:rsidR="000E0721">
        <w:rPr>
          <w:rFonts w:cs="Arial"/>
          <w:vertAlign w:val="subscript"/>
        </w:rPr>
        <w:t>G</w:t>
      </w:r>
      <w:r w:rsidR="00F77BED" w:rsidRPr="00F77BED">
        <w:t>) and an average slope (</w:t>
      </w:r>
      <w:r w:rsidR="00F77BED" w:rsidRPr="00F77BED">
        <w:rPr>
          <w:rFonts w:cs="Arial"/>
        </w:rPr>
        <w:t>β</w:t>
      </w:r>
      <w:r w:rsidR="000E0721">
        <w:rPr>
          <w:rFonts w:cs="Arial"/>
          <w:vertAlign w:val="subscript"/>
        </w:rPr>
        <w:t>G</w:t>
      </w:r>
      <w:r w:rsidR="00F77BED">
        <w:t>)</w:t>
      </w:r>
      <w:r w:rsidR="00687C82">
        <w:t xml:space="preserve"> </w:t>
      </w:r>
      <w:bookmarkEnd w:id="715"/>
      <w:r w:rsidR="00687C82">
        <w:t>(</w:t>
      </w:r>
      <w:r w:rsidR="002A77E1">
        <w:fldChar w:fldCharType="begin"/>
      </w:r>
      <w:r w:rsidR="002A77E1">
        <w:instrText xml:space="preserve"> REF _Ref480888022 \h  \* MERGEFORMAT </w:instrText>
      </w:r>
      <w:r w:rsidR="002A77E1">
        <w:fldChar w:fldCharType="separate"/>
      </w:r>
      <w:r w:rsidR="00D12276" w:rsidRPr="00BD35DC">
        <w:t xml:space="preserve">Table </w:t>
      </w:r>
      <w:r w:rsidR="00D12276" w:rsidRPr="00D12276">
        <w:rPr>
          <w:noProof/>
        </w:rPr>
        <w:t>12</w:t>
      </w:r>
      <w:r w:rsidR="002A77E1">
        <w:fldChar w:fldCharType="end"/>
      </w:r>
      <w:r w:rsidR="00687C82">
        <w:rPr>
          <w:lang w:val="en-AU" w:eastAsia="en-AU"/>
        </w:rPr>
        <w:t>)</w:t>
      </w:r>
      <w:r w:rsidR="00F77BED">
        <w:t xml:space="preserve">. </w:t>
      </w:r>
      <w:r w:rsidR="00F77BED">
        <w:rPr>
          <w:lang w:val="en-AU" w:eastAsia="en-AU"/>
        </w:rPr>
        <w:t xml:space="preserve">To determine the </w:t>
      </w:r>
      <w:r w:rsidR="008D33E2">
        <w:rPr>
          <w:lang w:val="en-AU" w:eastAsia="en-AU"/>
        </w:rPr>
        <w:t>ms-</w:t>
      </w:r>
      <w:r w:rsidR="00F77BED">
        <w:rPr>
          <w:lang w:val="en-AU" w:eastAsia="en-AU"/>
        </w:rPr>
        <w:t>PAF f</w:t>
      </w:r>
      <w:r w:rsidR="002162CF">
        <w:rPr>
          <w:lang w:val="en-AU" w:eastAsia="en-AU"/>
        </w:rPr>
        <w:t xml:space="preserve">or </w:t>
      </w:r>
      <w:r w:rsidR="008D33E2">
        <w:rPr>
          <w:lang w:val="en-AU" w:eastAsia="en-AU"/>
        </w:rPr>
        <w:t>a</w:t>
      </w:r>
      <w:r w:rsidR="002162CF">
        <w:rPr>
          <w:lang w:val="en-AU" w:eastAsia="en-AU"/>
        </w:rPr>
        <w:t xml:space="preserve"> field sample</w:t>
      </w:r>
      <w:r w:rsidR="008D33E2">
        <w:rPr>
          <w:lang w:val="en-AU" w:eastAsia="en-AU"/>
        </w:rPr>
        <w:t xml:space="preserve"> </w:t>
      </w:r>
      <w:r w:rsidR="00F77BED">
        <w:rPr>
          <w:lang w:val="en-AU" w:eastAsia="en-AU"/>
        </w:rPr>
        <w:t>using the SSD</w:t>
      </w:r>
      <w:r w:rsidR="000E0721">
        <w:rPr>
          <w:vertAlign w:val="subscript"/>
          <w:lang w:val="en-AU" w:eastAsia="en-AU"/>
        </w:rPr>
        <w:t>G</w:t>
      </w:r>
      <w:r w:rsidR="002162CF">
        <w:rPr>
          <w:lang w:val="en-AU" w:eastAsia="en-AU"/>
        </w:rPr>
        <w:t xml:space="preserve">, the concentration of each PSII herbicide in the </w:t>
      </w:r>
      <w:r w:rsidR="008D33E2">
        <w:rPr>
          <w:lang w:val="en-AU" w:eastAsia="en-AU"/>
        </w:rPr>
        <w:t xml:space="preserve">sample </w:t>
      </w:r>
      <w:r w:rsidR="00491582">
        <w:rPr>
          <w:lang w:val="en-AU" w:eastAsia="en-AU"/>
        </w:rPr>
        <w:t>wa</w:t>
      </w:r>
      <w:r w:rsidR="002162CF">
        <w:rPr>
          <w:lang w:val="en-AU" w:eastAsia="en-AU"/>
        </w:rPr>
        <w:t xml:space="preserve">s converted to hazard units (by dividing </w:t>
      </w:r>
      <w:r w:rsidR="0063485B">
        <w:rPr>
          <w:lang w:val="en-AU" w:eastAsia="en-AU"/>
        </w:rPr>
        <w:t>each</w:t>
      </w:r>
      <w:r w:rsidR="002162CF">
        <w:rPr>
          <w:lang w:val="en-AU" w:eastAsia="en-AU"/>
        </w:rPr>
        <w:t xml:space="preserve"> concentration by the</w:t>
      </w:r>
      <w:r w:rsidR="00F77BED">
        <w:rPr>
          <w:lang w:val="en-AU" w:eastAsia="en-AU"/>
        </w:rPr>
        <w:t xml:space="preserve"> </w:t>
      </w:r>
      <w:r w:rsidR="008D33E2">
        <w:rPr>
          <w:lang w:val="en-AU" w:eastAsia="en-AU"/>
        </w:rPr>
        <w:t>herbicide</w:t>
      </w:r>
      <w:r w:rsidR="00F77BED">
        <w:rPr>
          <w:lang w:val="en-AU" w:eastAsia="en-AU"/>
        </w:rPr>
        <w:t>’s</w:t>
      </w:r>
      <w:r w:rsidR="002162CF">
        <w:rPr>
          <w:lang w:val="en-AU" w:eastAsia="en-AU"/>
        </w:rPr>
        <w:t xml:space="preserve"> </w:t>
      </w:r>
      <w:r w:rsidR="00F77BED">
        <w:rPr>
          <w:lang w:val="en-AU" w:eastAsia="en-AU"/>
        </w:rPr>
        <w:t xml:space="preserve">SSD </w:t>
      </w:r>
      <w:r w:rsidR="002162CF">
        <w:rPr>
          <w:rFonts w:cs="Arial"/>
          <w:lang w:val="en-AU" w:eastAsia="en-AU"/>
        </w:rPr>
        <w:t>α</w:t>
      </w:r>
      <w:r w:rsidR="002162CF">
        <w:rPr>
          <w:lang w:val="en-AU" w:eastAsia="en-AU"/>
        </w:rPr>
        <w:t xml:space="preserve"> value</w:t>
      </w:r>
      <w:r w:rsidR="00F77BED">
        <w:rPr>
          <w:lang w:val="en-AU" w:eastAsia="en-AU"/>
        </w:rPr>
        <w:t xml:space="preserve"> (PC50)</w:t>
      </w:r>
      <w:r w:rsidR="002162CF">
        <w:rPr>
          <w:lang w:val="en-AU" w:eastAsia="en-AU"/>
        </w:rPr>
        <w:t xml:space="preserve">) and then summed for all PSII herbicides. This </w:t>
      </w:r>
      <w:r w:rsidR="00491582">
        <w:rPr>
          <w:lang w:val="en-AU" w:eastAsia="en-AU"/>
        </w:rPr>
        <w:t>gave</w:t>
      </w:r>
      <w:r w:rsidR="002162CF">
        <w:rPr>
          <w:lang w:val="en-AU" w:eastAsia="en-AU"/>
        </w:rPr>
        <w:t xml:space="preserve"> </w:t>
      </w:r>
      <w:r w:rsidR="008D33E2">
        <w:rPr>
          <w:lang w:val="en-AU" w:eastAsia="en-AU"/>
        </w:rPr>
        <w:t>the total hazard units for all PSII herbicides in the sample,</w:t>
      </w:r>
      <w:r w:rsidR="002162CF">
        <w:rPr>
          <w:lang w:val="en-AU" w:eastAsia="en-AU"/>
        </w:rPr>
        <w:t xml:space="preserve"> </w:t>
      </w:r>
      <w:r w:rsidR="00F77BED">
        <w:rPr>
          <w:lang w:val="en-AU" w:eastAsia="en-AU"/>
        </w:rPr>
        <w:t>HU</w:t>
      </w:r>
      <w:r w:rsidR="00F77BED" w:rsidRPr="00F77BED">
        <w:rPr>
          <w:vertAlign w:val="subscript"/>
          <w:lang w:val="en-AU" w:eastAsia="en-AU"/>
        </w:rPr>
        <w:t>m</w:t>
      </w:r>
      <w:r w:rsidR="00F209D3">
        <w:rPr>
          <w:vertAlign w:val="subscript"/>
          <w:lang w:val="en-AU" w:eastAsia="en-AU"/>
        </w:rPr>
        <w:t>s</w:t>
      </w:r>
      <w:r w:rsidR="00F77BED">
        <w:rPr>
          <w:lang w:val="en-AU" w:eastAsia="en-AU"/>
        </w:rPr>
        <w:t xml:space="preserve"> = </w:t>
      </w:r>
      <w:r w:rsidR="00F77BED">
        <w:rPr>
          <w:rFonts w:ascii="Times New Roman" w:hAnsi="Times New Roman" w:cs="Times New Roman"/>
          <w:lang w:val="en-AU" w:eastAsia="en-AU"/>
        </w:rPr>
        <w:t>∑</w:t>
      </w:r>
      <w:r w:rsidR="008D33E2">
        <w:rPr>
          <w:rFonts w:ascii="Times New Roman" w:hAnsi="Times New Roman" w:cs="Times New Roman"/>
          <w:vertAlign w:val="subscript"/>
          <w:lang w:val="en-AU" w:eastAsia="en-AU"/>
        </w:rPr>
        <w:t xml:space="preserve">i </w:t>
      </w:r>
      <w:r w:rsidR="008D33E2">
        <w:rPr>
          <w:lang w:val="en-AU" w:eastAsia="en-AU"/>
        </w:rPr>
        <w:t>HU</w:t>
      </w:r>
      <w:r w:rsidR="008D33E2" w:rsidRPr="008D33E2">
        <w:rPr>
          <w:vertAlign w:val="subscript"/>
          <w:lang w:val="en-AU" w:eastAsia="en-AU"/>
        </w:rPr>
        <w:t>i</w:t>
      </w:r>
      <w:r w:rsidR="008D33E2">
        <w:rPr>
          <w:lang w:val="en-AU" w:eastAsia="en-AU"/>
        </w:rPr>
        <w:t xml:space="preserve"> for each herbicide, i.</w:t>
      </w:r>
      <w:r w:rsidR="00F77BED">
        <w:rPr>
          <w:lang w:val="en-AU" w:eastAsia="en-AU"/>
        </w:rPr>
        <w:t xml:space="preserve"> </w:t>
      </w:r>
      <w:r w:rsidR="008D33E2">
        <w:rPr>
          <w:lang w:val="en-AU" w:eastAsia="en-AU"/>
        </w:rPr>
        <w:t>The ms-PAF</w:t>
      </w:r>
      <w:r w:rsidR="0063485B">
        <w:rPr>
          <w:lang w:val="en-AU" w:eastAsia="en-AU"/>
        </w:rPr>
        <w:t xml:space="preserve"> </w:t>
      </w:r>
      <w:r w:rsidR="00491582">
        <w:rPr>
          <w:lang w:val="en-AU" w:eastAsia="en-AU"/>
        </w:rPr>
        <w:t>could</w:t>
      </w:r>
      <w:r w:rsidR="00F77BED">
        <w:rPr>
          <w:lang w:val="en-AU" w:eastAsia="en-AU"/>
        </w:rPr>
        <w:t xml:space="preserve"> then be determined from:</w:t>
      </w:r>
    </w:p>
    <w:p w14:paraId="5FFC9913" w14:textId="55CCBBBC" w:rsidR="005C069F" w:rsidRDefault="008D33E2" w:rsidP="005C069F">
      <w:pPr>
        <w:tabs>
          <w:tab w:val="right" w:pos="10065"/>
        </w:tabs>
        <w:spacing w:before="120" w:after="60" w:line="276" w:lineRule="auto"/>
        <w:ind w:left="567" w:hanging="567"/>
        <w:jc w:val="center"/>
        <w:rPr>
          <w:lang w:val="en-AU"/>
        </w:rPr>
      </w:pPr>
      <m:oMath>
        <m:r>
          <w:rPr>
            <w:rFonts w:ascii="Cambria Math" w:eastAsiaTheme="minorHAnsi" w:hAnsi="Cambria Math"/>
            <w:lang w:val="en-AU" w:bidi="ar-SA"/>
          </w:rPr>
          <m:t>ms-PAF</m:t>
        </m:r>
        <m:r>
          <w:rPr>
            <w:rFonts w:ascii="Cambria Math" w:hAnsi="Cambria Math"/>
          </w:rPr>
          <m:t>=</m:t>
        </m:r>
        <m:f>
          <m:fPr>
            <m:ctrlPr>
              <w:rPr>
                <w:rFonts w:ascii="Cambria Math" w:eastAsiaTheme="minorHAnsi" w:hAnsi="Cambria Math"/>
                <w:i/>
                <w:lang w:val="en-AU" w:bidi="ar-SA"/>
              </w:rPr>
            </m:ctrlPr>
          </m:fPr>
          <m:num>
            <m:r>
              <w:rPr>
                <w:rFonts w:ascii="Cambria Math" w:hAnsi="Cambria Math"/>
              </w:rPr>
              <m:t>1</m:t>
            </m:r>
          </m:num>
          <m:den>
            <m:r>
              <w:rPr>
                <w:rFonts w:ascii="Cambria Math" w:hAnsi="Cambria Math"/>
              </w:rPr>
              <m:t>1+</m:t>
            </m:r>
            <m:sSup>
              <m:sSupPr>
                <m:ctrlPr>
                  <w:rPr>
                    <w:rFonts w:ascii="Cambria Math" w:eastAsiaTheme="minorHAnsi" w:hAnsi="Cambria Math"/>
                    <w:i/>
                    <w:lang w:val="en-AU" w:bidi="ar-SA"/>
                  </w:rPr>
                </m:ctrlPr>
              </m:sSupPr>
              <m:e>
                <m:d>
                  <m:dPr>
                    <m:ctrlPr>
                      <w:rPr>
                        <w:rFonts w:ascii="Cambria Math" w:eastAsiaTheme="minorHAnsi" w:hAnsi="Cambria Math"/>
                        <w:i/>
                        <w:lang w:val="en-AU" w:bidi="ar-SA"/>
                      </w:rPr>
                    </m:ctrlPr>
                  </m:dPr>
                  <m:e>
                    <m:f>
                      <m:fPr>
                        <m:ctrlPr>
                          <w:rPr>
                            <w:rFonts w:ascii="Cambria Math" w:eastAsiaTheme="minorHAnsi" w:hAnsi="Cambria Math"/>
                            <w:i/>
                            <w:lang w:val="en-AU" w:bidi="ar-SA"/>
                          </w:rPr>
                        </m:ctrlPr>
                      </m:fPr>
                      <m:num>
                        <m:nary>
                          <m:naryPr>
                            <m:chr m:val="∑"/>
                            <m:limLoc m:val="undOvr"/>
                            <m:subHide m:val="1"/>
                            <m:supHide m:val="1"/>
                            <m:ctrlPr>
                              <w:rPr>
                                <w:rFonts w:ascii="Cambria Math" w:eastAsiaTheme="minorHAnsi" w:hAnsi="Cambria Math"/>
                                <w:i/>
                                <w:lang w:val="en-AU" w:bidi="ar-SA"/>
                              </w:rPr>
                            </m:ctrlPr>
                          </m:naryPr>
                          <m:sub/>
                          <m:sup/>
                          <m:e>
                            <m:r>
                              <w:rPr>
                                <w:rFonts w:ascii="Cambria Math" w:hAnsi="Cambria Math"/>
                              </w:rPr>
                              <m:t>HU</m:t>
                            </m:r>
                          </m:e>
                        </m:nary>
                      </m:num>
                      <m:den>
                        <m:sSub>
                          <m:sSubPr>
                            <m:ctrlPr>
                              <w:rPr>
                                <w:rFonts w:ascii="Cambria Math" w:hAnsi="Cambria Math"/>
                                <w:i/>
                              </w:rPr>
                            </m:ctrlPr>
                          </m:sSubPr>
                          <m:e>
                            <m:r>
                              <w:rPr>
                                <w:rFonts w:ascii="Cambria Math" w:hAnsi="Cambria Math"/>
                              </w:rPr>
                              <m:t>α</m:t>
                            </m:r>
                          </m:e>
                          <m:sub>
                            <m:r>
                              <w:rPr>
                                <w:rFonts w:ascii="Cambria Math" w:hAnsi="Cambria Math"/>
                              </w:rPr>
                              <m:t>G</m:t>
                            </m:r>
                          </m:sub>
                        </m:sSub>
                      </m:den>
                    </m:f>
                  </m:e>
                </m:d>
              </m:e>
              <m:sup>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G</m:t>
                    </m:r>
                  </m:sub>
                </m:sSub>
              </m:sup>
            </m:sSup>
          </m:den>
        </m:f>
      </m:oMath>
      <w:r w:rsidR="005C069F">
        <w:rPr>
          <w:lang w:val="en-AU" w:bidi="ar-SA"/>
        </w:rPr>
        <w:tab/>
        <w:t>Equation (1)</w:t>
      </w:r>
    </w:p>
    <w:p w14:paraId="157210A8" w14:textId="0A6C79F4" w:rsidR="00F77BED" w:rsidRDefault="00F77BED" w:rsidP="005C069F">
      <w:pPr>
        <w:tabs>
          <w:tab w:val="right" w:pos="10206"/>
        </w:tabs>
        <w:spacing w:before="120" w:after="60" w:line="276" w:lineRule="auto"/>
        <w:ind w:left="567" w:hanging="567"/>
        <w:jc w:val="center"/>
        <w:rPr>
          <w:lang w:val="en-AU"/>
        </w:rPr>
      </w:pPr>
    </w:p>
    <w:p w14:paraId="157210AA" w14:textId="755355D9" w:rsidR="0063485B" w:rsidRDefault="000E0721" w:rsidP="005E7F56">
      <w:pPr>
        <w:spacing w:line="276" w:lineRule="auto"/>
        <w:rPr>
          <w:bCs/>
        </w:rPr>
      </w:pPr>
      <w:r w:rsidRPr="000E0721">
        <w:rPr>
          <w:bCs/>
        </w:rPr>
        <w:lastRenderedPageBreak/>
        <w:t xml:space="preserve">The ms-PAF method used here had </w:t>
      </w:r>
      <w:r w:rsidR="00DD0E48">
        <w:rPr>
          <w:bCs/>
        </w:rPr>
        <w:t>three</w:t>
      </w:r>
      <w:r w:rsidRPr="000E0721">
        <w:rPr>
          <w:bCs/>
        </w:rPr>
        <w:t xml:space="preserve"> modifications from the </w:t>
      </w:r>
      <w:r>
        <w:rPr>
          <w:bCs/>
        </w:rPr>
        <w:t>CA</w:t>
      </w:r>
      <w:r w:rsidRPr="000E0721">
        <w:rPr>
          <w:bCs/>
        </w:rPr>
        <w:t xml:space="preserve"> method</w:t>
      </w:r>
      <w:r w:rsidR="00185B92">
        <w:rPr>
          <w:bCs/>
        </w:rPr>
        <w:t xml:space="preserve"> of </w:t>
      </w:r>
      <w:r w:rsidR="00C91BF5">
        <w:rPr>
          <w:bCs/>
        </w:rPr>
        <w:fldChar w:fldCharType="begin"/>
      </w:r>
      <w:r w:rsidR="001C4264">
        <w:rPr>
          <w:bCs/>
        </w:rPr>
        <w:instrText xml:space="preserve"> ADDIN EN.CITE &lt;EndNote&gt;&lt;Cite AuthorYear="1"&gt;&lt;Author&gt;Traas&lt;/Author&gt;&lt;Year&gt;2002&lt;/Year&gt;&lt;RecNum&gt;36&lt;/RecNum&gt;&lt;DisplayText&gt;Traas et al. (2002)&lt;/DisplayText&gt;&lt;record&gt;&lt;rec-number&gt;36&lt;/rec-number&gt;&lt;foreign-keys&gt;&lt;key app="EN" db-id="vvtrt2pt4xpx5teta99vvtwg50vzve2aexae" timestamp="1493157367"&gt;36&lt;/key&gt;&lt;/foreign-keys&gt;&lt;ref-type name="Generic"&gt;13&lt;/ref-type&gt;&lt;contributors&gt;&lt;authors&gt;&lt;author&gt;Traas, Theo P&lt;/author&gt;&lt;author&gt;van de Meent, Dik&lt;/author&gt;&lt;author&gt;Posthuma, Leo&lt;/author&gt;&lt;author&gt;Hamers, Timo&lt;/author&gt;&lt;author&gt;Kater, Belinda J&lt;/author&gt;&lt;author&gt;De Zwart, Dick&lt;/author&gt;&lt;author&gt;Aldenberg, Tom&lt;/author&gt;&lt;/authors&gt;&lt;/contributors&gt;&lt;titles&gt;&lt;title&gt;The potentially affected fraction as a measure of ecological risk&lt;/title&gt;&lt;/titles&gt;&lt;pages&gt;315-344&lt;/pages&gt;&lt;dates&gt;&lt;year&gt;2002&lt;/year&gt;&lt;/dates&gt;&lt;publisher&gt;CRC Press: Boca Raton, FL&lt;/publisher&gt;&lt;urls&gt;&lt;/urls&gt;&lt;/record&gt;&lt;/Cite&gt;&lt;/EndNote&gt;</w:instrText>
      </w:r>
      <w:r w:rsidR="00C91BF5">
        <w:rPr>
          <w:bCs/>
        </w:rPr>
        <w:fldChar w:fldCharType="separate"/>
      </w:r>
      <w:r w:rsidR="001C4264">
        <w:rPr>
          <w:bCs/>
          <w:noProof/>
        </w:rPr>
        <w:t>Traas et al. (2002)</w:t>
      </w:r>
      <w:r w:rsidR="00C91BF5">
        <w:rPr>
          <w:bCs/>
        </w:rPr>
        <w:fldChar w:fldCharType="end"/>
      </w:r>
      <w:r w:rsidRPr="000E0721">
        <w:rPr>
          <w:bCs/>
        </w:rPr>
        <w:t xml:space="preserve">: (1) a logistic CFD, rather than a log-logistic CFD, was fitted to the ecotoxicity data of individual </w:t>
      </w:r>
      <w:r w:rsidR="00185B92">
        <w:rPr>
          <w:bCs/>
        </w:rPr>
        <w:t>herbicides</w:t>
      </w:r>
      <w:r w:rsidRPr="000E0721">
        <w:rPr>
          <w:bCs/>
        </w:rPr>
        <w:t xml:space="preserve"> in order to generate the individual SSDs; (2) the midpoint of the curve (α) when </w:t>
      </w:r>
      <w:r w:rsidR="00967DB3">
        <w:rPr>
          <w:bCs/>
        </w:rPr>
        <w:t>PAF equals</w:t>
      </w:r>
      <w:r w:rsidRPr="000E0721">
        <w:rPr>
          <w:bCs/>
        </w:rPr>
        <w:t xml:space="preserve"> 50</w:t>
      </w:r>
      <w:r w:rsidR="00967DB3">
        <w:rPr>
          <w:bCs/>
        </w:rPr>
        <w:t>%</w:t>
      </w:r>
      <w:r w:rsidRPr="000E0721">
        <w:rPr>
          <w:bCs/>
        </w:rPr>
        <w:t xml:space="preserve"> was used rather than the median</w:t>
      </w:r>
      <w:r>
        <w:rPr>
          <w:bCs/>
        </w:rPr>
        <w:t xml:space="preserve"> to calculate the </w:t>
      </w:r>
      <w:r w:rsidRPr="000E0721">
        <w:rPr>
          <w:bCs/>
        </w:rPr>
        <w:t xml:space="preserve">HUs; </w:t>
      </w:r>
      <w:r w:rsidR="00967DB3">
        <w:rPr>
          <w:bCs/>
        </w:rPr>
        <w:t xml:space="preserve">and </w:t>
      </w:r>
      <w:r w:rsidRPr="000E0721">
        <w:rPr>
          <w:bCs/>
        </w:rPr>
        <w:t>(3) the parameters, α</w:t>
      </w:r>
      <w:r w:rsidR="00967DB3" w:rsidRPr="00967DB3">
        <w:rPr>
          <w:bCs/>
          <w:vertAlign w:val="subscript"/>
        </w:rPr>
        <w:t>G</w:t>
      </w:r>
      <w:r w:rsidRPr="000E0721">
        <w:rPr>
          <w:bCs/>
        </w:rPr>
        <w:t xml:space="preserve"> and β</w:t>
      </w:r>
      <w:r w:rsidR="00967DB3" w:rsidRPr="00967DB3">
        <w:rPr>
          <w:bCs/>
          <w:vertAlign w:val="subscript"/>
        </w:rPr>
        <w:t>G</w:t>
      </w:r>
      <w:r w:rsidRPr="000E0721">
        <w:rPr>
          <w:bCs/>
        </w:rPr>
        <w:t xml:space="preserve">, </w:t>
      </w:r>
      <w:r w:rsidR="00967DB3">
        <w:rPr>
          <w:bCs/>
        </w:rPr>
        <w:t xml:space="preserve">were determined by fitting a </w:t>
      </w:r>
      <w:r w:rsidR="00967DB3" w:rsidRPr="00967DB3">
        <w:rPr>
          <w:bCs/>
        </w:rPr>
        <w:t xml:space="preserve">global CFD </w:t>
      </w:r>
      <w:r w:rsidRPr="000E0721">
        <w:rPr>
          <w:bCs/>
        </w:rPr>
        <w:t xml:space="preserve">using SigmaPlot 13.0 (Systat) </w:t>
      </w:r>
      <w:r w:rsidR="00967DB3">
        <w:rPr>
          <w:bCs/>
        </w:rPr>
        <w:t xml:space="preserve">rather </w:t>
      </w:r>
      <w:r w:rsidR="00185B92">
        <w:rPr>
          <w:bCs/>
        </w:rPr>
        <w:t>than</w:t>
      </w:r>
      <w:r w:rsidR="00967DB3">
        <w:rPr>
          <w:bCs/>
        </w:rPr>
        <w:t xml:space="preserve"> </w:t>
      </w:r>
      <w:r w:rsidR="00967DB3" w:rsidRPr="000E0721">
        <w:rPr>
          <w:bCs/>
        </w:rPr>
        <w:t>assuming α</w:t>
      </w:r>
      <w:r w:rsidR="00967DB3" w:rsidRPr="00967DB3">
        <w:rPr>
          <w:bCs/>
          <w:vertAlign w:val="subscript"/>
        </w:rPr>
        <w:t>G</w:t>
      </w:r>
      <w:r w:rsidR="00967DB3">
        <w:rPr>
          <w:bCs/>
        </w:rPr>
        <w:t xml:space="preserve"> = 1 and </w:t>
      </w:r>
      <w:r w:rsidR="00185B92">
        <w:rPr>
          <w:bCs/>
        </w:rPr>
        <w:t xml:space="preserve">then </w:t>
      </w:r>
      <w:r w:rsidR="00967DB3">
        <w:rPr>
          <w:bCs/>
        </w:rPr>
        <w:t xml:space="preserve">determining </w:t>
      </w:r>
      <w:r w:rsidR="00967DB3" w:rsidRPr="000E0721">
        <w:rPr>
          <w:bCs/>
        </w:rPr>
        <w:t>β</w:t>
      </w:r>
      <w:r w:rsidR="00967DB3" w:rsidRPr="00967DB3">
        <w:rPr>
          <w:bCs/>
          <w:vertAlign w:val="subscript"/>
        </w:rPr>
        <w:t>G</w:t>
      </w:r>
      <w:r w:rsidRPr="000E0721">
        <w:rPr>
          <w:bCs/>
        </w:rPr>
        <w:t xml:space="preserve"> </w:t>
      </w:r>
      <w:r w:rsidR="00967DB3">
        <w:rPr>
          <w:bCs/>
        </w:rPr>
        <w:t xml:space="preserve">as </w:t>
      </w:r>
      <w:r w:rsidRPr="000E0721">
        <w:rPr>
          <w:bCs/>
        </w:rPr>
        <w:t xml:space="preserve">the average of the β’s from the individual </w:t>
      </w:r>
      <w:r w:rsidR="00967DB3">
        <w:rPr>
          <w:bCs/>
        </w:rPr>
        <w:t>SSDs.</w:t>
      </w:r>
      <w:r w:rsidRPr="000E0721">
        <w:rPr>
          <w:bCs/>
        </w:rPr>
        <w:t>.</w:t>
      </w:r>
    </w:p>
    <w:p w14:paraId="157210AB" w14:textId="77777777" w:rsidR="00967DB3" w:rsidRDefault="00967DB3" w:rsidP="005E7F56">
      <w:pPr>
        <w:spacing w:line="276" w:lineRule="auto"/>
      </w:pPr>
    </w:p>
    <w:p w14:paraId="157210AC" w14:textId="77777777" w:rsidR="00E20CE8" w:rsidRDefault="00E20CE8" w:rsidP="005E7F56">
      <w:pPr>
        <w:spacing w:line="276" w:lineRule="auto"/>
      </w:pPr>
      <w:r>
        <w:t xml:space="preserve">The SSDs for which </w:t>
      </w:r>
      <w:r>
        <w:rPr>
          <w:rFonts w:cs="Arial"/>
        </w:rPr>
        <w:t>α</w:t>
      </w:r>
      <w:r>
        <w:t xml:space="preserve"> values are </w:t>
      </w:r>
      <w:r w:rsidRPr="00C60B74">
        <w:t xml:space="preserve">reported in </w:t>
      </w:r>
      <w:r w:rsidR="002A77E1">
        <w:fldChar w:fldCharType="begin"/>
      </w:r>
      <w:r w:rsidR="002A77E1">
        <w:instrText xml:space="preserve"> REF _Ref480888022 \h  \* MERGEFORMAT </w:instrText>
      </w:r>
      <w:r w:rsidR="002A77E1">
        <w:fldChar w:fldCharType="separate"/>
      </w:r>
      <w:r w:rsidR="00D12276" w:rsidRPr="00BD35DC">
        <w:t xml:space="preserve">Table </w:t>
      </w:r>
      <w:r w:rsidR="00D12276" w:rsidRPr="00D12276">
        <w:rPr>
          <w:noProof/>
        </w:rPr>
        <w:t>12</w:t>
      </w:r>
      <w:r w:rsidR="002A77E1">
        <w:fldChar w:fldCharType="end"/>
      </w:r>
      <w:r w:rsidRPr="00C60B74">
        <w:rPr>
          <w:lang w:val="en-AU" w:eastAsia="en-AU"/>
        </w:rPr>
        <w:t>, as</w:t>
      </w:r>
      <w:r>
        <w:rPr>
          <w:lang w:val="en-AU" w:eastAsia="en-AU"/>
        </w:rPr>
        <w:t xml:space="preserve"> well as the overall ms-PAF approach </w:t>
      </w:r>
      <w:r w:rsidR="00185B92">
        <w:rPr>
          <w:lang w:val="en-AU" w:eastAsia="en-AU"/>
        </w:rPr>
        <w:t>developed</w:t>
      </w:r>
      <w:r>
        <w:rPr>
          <w:lang w:val="en-AU" w:eastAsia="en-AU"/>
        </w:rPr>
        <w:t xml:space="preserve"> by DSITI, are currently undergoing external review and changes may be made in the future. In particular, the SSD for atrazine is being updated and the revised value was not available </w:t>
      </w:r>
      <w:r w:rsidR="00F209D3">
        <w:rPr>
          <w:lang w:val="en-AU" w:eastAsia="en-AU"/>
        </w:rPr>
        <w:t>before</w:t>
      </w:r>
      <w:r>
        <w:rPr>
          <w:lang w:val="en-AU" w:eastAsia="en-AU"/>
        </w:rPr>
        <w:t xml:space="preserve"> the release of this report. </w:t>
      </w:r>
      <w:r w:rsidR="00BD35DC">
        <w:rPr>
          <w:lang w:val="en-AU" w:eastAsia="en-AU"/>
        </w:rPr>
        <w:t>Once completed, atrazine’</w:t>
      </w:r>
      <w:r>
        <w:rPr>
          <w:lang w:val="en-AU" w:eastAsia="en-AU"/>
        </w:rPr>
        <w:t xml:space="preserve">s </w:t>
      </w:r>
      <w:r w:rsidR="00BD35DC" w:rsidRPr="00E20CE8">
        <w:rPr>
          <w:lang w:val="en-AU" w:eastAsia="en-AU"/>
        </w:rPr>
        <w:t>α</w:t>
      </w:r>
      <w:r w:rsidR="00BD35DC">
        <w:rPr>
          <w:lang w:val="en-AU" w:eastAsia="en-AU"/>
        </w:rPr>
        <w:t xml:space="preserve"> </w:t>
      </w:r>
      <w:r>
        <w:rPr>
          <w:lang w:val="en-AU" w:eastAsia="en-AU"/>
        </w:rPr>
        <w:t>value</w:t>
      </w:r>
      <w:r w:rsidR="00BD35DC">
        <w:rPr>
          <w:lang w:val="en-AU" w:eastAsia="en-AU"/>
        </w:rPr>
        <w:t xml:space="preserve">, </w:t>
      </w:r>
      <w:r w:rsidR="00185B92">
        <w:rPr>
          <w:lang w:val="en-AU" w:eastAsia="en-AU"/>
        </w:rPr>
        <w:t>and therefore also</w:t>
      </w:r>
      <w:r w:rsidR="00BD35DC">
        <w:rPr>
          <w:lang w:val="en-AU" w:eastAsia="en-AU"/>
        </w:rPr>
        <w:t xml:space="preserve"> </w:t>
      </w:r>
      <w:r w:rsidRPr="00E20CE8">
        <w:rPr>
          <w:lang w:val="en-AU" w:eastAsia="en-AU"/>
        </w:rPr>
        <w:t>α</w:t>
      </w:r>
      <w:r w:rsidR="00967DB3">
        <w:rPr>
          <w:vertAlign w:val="subscript"/>
          <w:lang w:val="en-AU" w:eastAsia="en-AU"/>
        </w:rPr>
        <w:t>G</w:t>
      </w:r>
      <w:r w:rsidR="005A0B5D">
        <w:rPr>
          <w:vertAlign w:val="subscript"/>
          <w:lang w:val="en-AU" w:eastAsia="en-AU"/>
        </w:rPr>
        <w:t xml:space="preserve"> </w:t>
      </w:r>
      <w:r w:rsidRPr="00E20CE8">
        <w:rPr>
          <w:lang w:val="en-AU" w:eastAsia="en-AU"/>
        </w:rPr>
        <w:t>and β</w:t>
      </w:r>
      <w:r w:rsidR="00967DB3">
        <w:rPr>
          <w:vertAlign w:val="subscript"/>
          <w:lang w:val="en-AU" w:eastAsia="en-AU"/>
        </w:rPr>
        <w:t>G</w:t>
      </w:r>
      <w:r>
        <w:rPr>
          <w:lang w:val="en-AU" w:eastAsia="en-AU"/>
        </w:rPr>
        <w:t xml:space="preserve">, </w:t>
      </w:r>
      <w:r w:rsidR="00BD35DC">
        <w:rPr>
          <w:lang w:val="en-AU" w:eastAsia="en-AU"/>
        </w:rPr>
        <w:t>reported</w:t>
      </w:r>
      <w:r>
        <w:rPr>
          <w:lang w:val="en-AU" w:eastAsia="en-AU"/>
        </w:rPr>
        <w:t xml:space="preserve"> in </w:t>
      </w:r>
      <w:r w:rsidR="002A77E1">
        <w:fldChar w:fldCharType="begin"/>
      </w:r>
      <w:r w:rsidR="002A77E1">
        <w:instrText xml:space="preserve"> REF _Ref480888022 \h  \* MERGEFORMAT </w:instrText>
      </w:r>
      <w:r w:rsidR="002A77E1">
        <w:fldChar w:fldCharType="separate"/>
      </w:r>
      <w:r w:rsidR="00D12276" w:rsidRPr="00BD35DC">
        <w:t xml:space="preserve">Table </w:t>
      </w:r>
      <w:r w:rsidR="00D12276" w:rsidRPr="00D12276">
        <w:rPr>
          <w:noProof/>
        </w:rPr>
        <w:t>12</w:t>
      </w:r>
      <w:r w:rsidR="002A77E1">
        <w:fldChar w:fldCharType="end"/>
      </w:r>
      <w:r>
        <w:rPr>
          <w:lang w:val="en-AU" w:eastAsia="en-AU"/>
        </w:rPr>
        <w:t xml:space="preserve"> will be </w:t>
      </w:r>
      <w:r w:rsidR="00BD35DC">
        <w:rPr>
          <w:lang w:val="en-AU" w:eastAsia="en-AU"/>
        </w:rPr>
        <w:t>revised</w:t>
      </w:r>
      <w:r>
        <w:rPr>
          <w:lang w:val="en-AU" w:eastAsia="en-AU"/>
        </w:rPr>
        <w:t>. For this reason, only the current year’s monitoring data were conver</w:t>
      </w:r>
      <w:r w:rsidR="00BD35DC">
        <w:rPr>
          <w:lang w:val="en-AU" w:eastAsia="en-AU"/>
        </w:rPr>
        <w:t>t</w:t>
      </w:r>
      <w:r>
        <w:rPr>
          <w:lang w:val="en-AU" w:eastAsia="en-AU"/>
        </w:rPr>
        <w:t xml:space="preserve">ed to ms-PAF to avoid retrospective changes to the historical data set. </w:t>
      </w:r>
    </w:p>
    <w:p w14:paraId="157210AD" w14:textId="77777777" w:rsidR="00E20CE8" w:rsidRDefault="00E20CE8" w:rsidP="005E7F56">
      <w:pPr>
        <w:spacing w:line="276" w:lineRule="auto"/>
      </w:pPr>
    </w:p>
    <w:p w14:paraId="157210AE" w14:textId="77777777" w:rsidR="00687C82" w:rsidRPr="00BD35DC" w:rsidRDefault="00687C82" w:rsidP="00BD35DC">
      <w:pPr>
        <w:pStyle w:val="Caption"/>
        <w:spacing w:after="120"/>
        <w:rPr>
          <w:b w:val="0"/>
        </w:rPr>
      </w:pPr>
      <w:bookmarkStart w:id="716" w:name="_Ref480888022"/>
      <w:bookmarkStart w:id="717" w:name="_Toc502499870"/>
      <w:r w:rsidRPr="00BD35DC">
        <w:rPr>
          <w:b w:val="0"/>
        </w:rPr>
        <w:t xml:space="preserve">Table </w:t>
      </w:r>
      <w:r w:rsidR="00C91BF5" w:rsidRPr="00BD35DC">
        <w:rPr>
          <w:b w:val="0"/>
        </w:rPr>
        <w:fldChar w:fldCharType="begin"/>
      </w:r>
      <w:r w:rsidRPr="00BD35DC">
        <w:rPr>
          <w:b w:val="0"/>
        </w:rPr>
        <w:instrText xml:space="preserve"> SEQ Table \* ARABIC </w:instrText>
      </w:r>
      <w:r w:rsidR="00C91BF5" w:rsidRPr="00BD35DC">
        <w:rPr>
          <w:b w:val="0"/>
        </w:rPr>
        <w:fldChar w:fldCharType="separate"/>
      </w:r>
      <w:r w:rsidR="00D12276">
        <w:rPr>
          <w:b w:val="0"/>
          <w:noProof/>
        </w:rPr>
        <w:t>12</w:t>
      </w:r>
      <w:r w:rsidR="00C91BF5" w:rsidRPr="00BD35DC">
        <w:rPr>
          <w:b w:val="0"/>
        </w:rPr>
        <w:fldChar w:fldCharType="end"/>
      </w:r>
      <w:bookmarkEnd w:id="716"/>
      <w:r w:rsidRPr="00BD35DC">
        <w:rPr>
          <w:b w:val="0"/>
        </w:rPr>
        <w:t xml:space="preserve">: PSII herbicides </w:t>
      </w:r>
      <w:r w:rsidR="00BD35DC" w:rsidRPr="00BD35DC">
        <w:rPr>
          <w:b w:val="0"/>
        </w:rPr>
        <w:t xml:space="preserve">included in the </w:t>
      </w:r>
      <w:r w:rsidR="00BD35DC">
        <w:rPr>
          <w:b w:val="0"/>
        </w:rPr>
        <w:t>CA model for the ms-PAF calculations. Alpha and beta values, representing the mid-point and slope of best-fit logistic distributions, for individual herbicide and their mixture are given</w:t>
      </w:r>
      <w:r w:rsidR="00185B92">
        <w:rPr>
          <w:b w:val="0"/>
        </w:rPr>
        <w:t xml:space="preserve"> (where data available)</w:t>
      </w:r>
      <w:r w:rsidR="00BD35DC">
        <w:rPr>
          <w:b w:val="0"/>
        </w:rPr>
        <w:t>.</w:t>
      </w:r>
      <w:bookmarkEnd w:id="717"/>
    </w:p>
    <w:tbl>
      <w:tblPr>
        <w:tblW w:w="4395" w:type="dxa"/>
        <w:tblInd w:w="108" w:type="dxa"/>
        <w:tblLook w:val="04A0" w:firstRow="1" w:lastRow="0" w:firstColumn="1" w:lastColumn="0" w:noHBand="0" w:noVBand="1"/>
      </w:tblPr>
      <w:tblGrid>
        <w:gridCol w:w="2127"/>
        <w:gridCol w:w="1134"/>
        <w:gridCol w:w="1134"/>
      </w:tblGrid>
      <w:tr w:rsidR="00687C82" w:rsidRPr="00687C82" w14:paraId="157210B2" w14:textId="77777777" w:rsidTr="00BD35DC">
        <w:trPr>
          <w:trHeight w:val="300"/>
        </w:trPr>
        <w:tc>
          <w:tcPr>
            <w:tcW w:w="2127" w:type="dxa"/>
            <w:tcBorders>
              <w:top w:val="single" w:sz="4" w:space="0" w:color="auto"/>
              <w:left w:val="nil"/>
              <w:bottom w:val="single" w:sz="4" w:space="0" w:color="auto"/>
              <w:right w:val="nil"/>
            </w:tcBorders>
            <w:shd w:val="clear" w:color="auto" w:fill="F2F2F2" w:themeFill="background1" w:themeFillShade="F2"/>
            <w:noWrap/>
            <w:vAlign w:val="center"/>
            <w:hideMark/>
          </w:tcPr>
          <w:p w14:paraId="157210AF" w14:textId="77777777" w:rsidR="00687C82" w:rsidRPr="00687C82" w:rsidRDefault="00687C82" w:rsidP="00687C82">
            <w:pPr>
              <w:jc w:val="left"/>
              <w:rPr>
                <w:rFonts w:ascii="Calibri" w:eastAsia="Times New Roman" w:hAnsi="Calibri" w:cs="Calibri"/>
                <w:b/>
                <w:bCs/>
                <w:color w:val="000000"/>
                <w:lang w:val="en-AU" w:eastAsia="en-AU" w:bidi="ar-SA"/>
              </w:rPr>
            </w:pPr>
            <w:r w:rsidRPr="00687C82">
              <w:rPr>
                <w:rFonts w:ascii="Calibri" w:eastAsia="Times New Roman" w:hAnsi="Calibri" w:cs="Calibri"/>
                <w:b/>
                <w:bCs/>
                <w:color w:val="000000"/>
                <w:lang w:val="en-AU" w:eastAsia="en-AU" w:bidi="ar-SA"/>
              </w:rPr>
              <w:t>PSII herbicide</w:t>
            </w:r>
          </w:p>
        </w:tc>
        <w:tc>
          <w:tcPr>
            <w:tcW w:w="1134" w:type="dxa"/>
            <w:tcBorders>
              <w:top w:val="single" w:sz="4" w:space="0" w:color="auto"/>
              <w:left w:val="nil"/>
              <w:bottom w:val="single" w:sz="4" w:space="0" w:color="auto"/>
              <w:right w:val="nil"/>
            </w:tcBorders>
            <w:shd w:val="clear" w:color="auto" w:fill="F2F2F2" w:themeFill="background1" w:themeFillShade="F2"/>
            <w:noWrap/>
            <w:vAlign w:val="center"/>
            <w:hideMark/>
          </w:tcPr>
          <w:p w14:paraId="157210B0" w14:textId="77777777" w:rsidR="00687C82" w:rsidRPr="00687C82" w:rsidRDefault="00687C82" w:rsidP="00687C82">
            <w:pPr>
              <w:jc w:val="center"/>
              <w:rPr>
                <w:rFonts w:ascii="Calibri" w:eastAsia="Times New Roman" w:hAnsi="Calibri" w:cs="Calibri"/>
                <w:b/>
                <w:bCs/>
                <w:color w:val="000000"/>
                <w:lang w:val="en-AU" w:eastAsia="en-AU" w:bidi="ar-SA"/>
              </w:rPr>
            </w:pPr>
            <w:r w:rsidRPr="00687C82">
              <w:rPr>
                <w:rFonts w:ascii="Calibri" w:eastAsia="Times New Roman" w:hAnsi="Calibri" w:cs="Calibri"/>
                <w:b/>
                <w:bCs/>
                <w:color w:val="000000"/>
                <w:lang w:val="en-AU" w:eastAsia="en-AU" w:bidi="ar-SA"/>
              </w:rPr>
              <w:t>α value</w:t>
            </w:r>
          </w:p>
        </w:tc>
        <w:tc>
          <w:tcPr>
            <w:tcW w:w="1134" w:type="dxa"/>
            <w:tcBorders>
              <w:top w:val="single" w:sz="4" w:space="0" w:color="auto"/>
              <w:left w:val="nil"/>
              <w:bottom w:val="single" w:sz="4" w:space="0" w:color="auto"/>
              <w:right w:val="nil"/>
            </w:tcBorders>
            <w:shd w:val="clear" w:color="auto" w:fill="F2F2F2" w:themeFill="background1" w:themeFillShade="F2"/>
            <w:noWrap/>
            <w:vAlign w:val="center"/>
            <w:hideMark/>
          </w:tcPr>
          <w:p w14:paraId="157210B1" w14:textId="77777777" w:rsidR="00687C82" w:rsidRPr="00687C82" w:rsidRDefault="00687C82" w:rsidP="00687C82">
            <w:pPr>
              <w:jc w:val="center"/>
              <w:rPr>
                <w:rFonts w:ascii="Calibri" w:eastAsia="Times New Roman" w:hAnsi="Calibri" w:cs="Calibri"/>
                <w:b/>
                <w:bCs/>
                <w:color w:val="000000"/>
                <w:lang w:val="en-AU" w:eastAsia="en-AU" w:bidi="ar-SA"/>
              </w:rPr>
            </w:pPr>
            <w:r w:rsidRPr="00687C82">
              <w:rPr>
                <w:rFonts w:ascii="Calibri" w:eastAsia="Times New Roman" w:hAnsi="Calibri" w:cs="Calibri"/>
                <w:b/>
                <w:bCs/>
                <w:color w:val="000000"/>
                <w:lang w:val="en-AU" w:eastAsia="en-AU" w:bidi="ar-SA"/>
              </w:rPr>
              <w:t>β value</w:t>
            </w:r>
          </w:p>
        </w:tc>
      </w:tr>
      <w:tr w:rsidR="00687C82" w:rsidRPr="00687C82" w14:paraId="157210B6" w14:textId="77777777" w:rsidTr="00BD35DC">
        <w:trPr>
          <w:trHeight w:val="300"/>
        </w:trPr>
        <w:tc>
          <w:tcPr>
            <w:tcW w:w="2127" w:type="dxa"/>
            <w:tcBorders>
              <w:top w:val="single" w:sz="4" w:space="0" w:color="auto"/>
              <w:left w:val="nil"/>
              <w:bottom w:val="nil"/>
              <w:right w:val="nil"/>
            </w:tcBorders>
            <w:shd w:val="clear" w:color="auto" w:fill="auto"/>
            <w:noWrap/>
            <w:vAlign w:val="center"/>
            <w:hideMark/>
          </w:tcPr>
          <w:p w14:paraId="157210B3"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Ametryn</w:t>
            </w:r>
          </w:p>
        </w:tc>
        <w:tc>
          <w:tcPr>
            <w:tcW w:w="1134" w:type="dxa"/>
            <w:tcBorders>
              <w:top w:val="single" w:sz="4" w:space="0" w:color="auto"/>
              <w:left w:val="nil"/>
              <w:bottom w:val="nil"/>
              <w:right w:val="nil"/>
            </w:tcBorders>
            <w:shd w:val="clear" w:color="auto" w:fill="auto"/>
            <w:noWrap/>
            <w:vAlign w:val="center"/>
            <w:hideMark/>
          </w:tcPr>
          <w:p w14:paraId="157210B4"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4.3</w:t>
            </w:r>
          </w:p>
        </w:tc>
        <w:tc>
          <w:tcPr>
            <w:tcW w:w="1134" w:type="dxa"/>
            <w:tcBorders>
              <w:top w:val="single" w:sz="4" w:space="0" w:color="auto"/>
              <w:left w:val="nil"/>
              <w:bottom w:val="nil"/>
              <w:right w:val="nil"/>
            </w:tcBorders>
            <w:shd w:val="clear" w:color="auto" w:fill="auto"/>
            <w:noWrap/>
            <w:vAlign w:val="center"/>
            <w:hideMark/>
          </w:tcPr>
          <w:p w14:paraId="157210B5"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BA" w14:textId="77777777" w:rsidTr="00BD35DC">
        <w:trPr>
          <w:trHeight w:val="300"/>
        </w:trPr>
        <w:tc>
          <w:tcPr>
            <w:tcW w:w="2127" w:type="dxa"/>
            <w:tcBorders>
              <w:top w:val="nil"/>
              <w:left w:val="nil"/>
              <w:bottom w:val="nil"/>
              <w:right w:val="nil"/>
            </w:tcBorders>
            <w:shd w:val="clear" w:color="auto" w:fill="auto"/>
            <w:noWrap/>
            <w:vAlign w:val="center"/>
            <w:hideMark/>
          </w:tcPr>
          <w:p w14:paraId="157210B7"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Atrazine*</w:t>
            </w:r>
          </w:p>
        </w:tc>
        <w:tc>
          <w:tcPr>
            <w:tcW w:w="1134" w:type="dxa"/>
            <w:tcBorders>
              <w:top w:val="nil"/>
              <w:left w:val="nil"/>
              <w:bottom w:val="nil"/>
              <w:right w:val="nil"/>
            </w:tcBorders>
            <w:shd w:val="clear" w:color="auto" w:fill="auto"/>
            <w:noWrap/>
            <w:vAlign w:val="center"/>
            <w:hideMark/>
          </w:tcPr>
          <w:p w14:paraId="157210B8"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33</w:t>
            </w:r>
          </w:p>
        </w:tc>
        <w:tc>
          <w:tcPr>
            <w:tcW w:w="1134" w:type="dxa"/>
            <w:tcBorders>
              <w:top w:val="nil"/>
              <w:left w:val="nil"/>
              <w:bottom w:val="nil"/>
              <w:right w:val="nil"/>
            </w:tcBorders>
            <w:shd w:val="clear" w:color="auto" w:fill="auto"/>
            <w:noWrap/>
            <w:vAlign w:val="center"/>
            <w:hideMark/>
          </w:tcPr>
          <w:p w14:paraId="157210B9"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BE" w14:textId="77777777" w:rsidTr="00BD35DC">
        <w:trPr>
          <w:trHeight w:val="300"/>
        </w:trPr>
        <w:tc>
          <w:tcPr>
            <w:tcW w:w="2127" w:type="dxa"/>
            <w:tcBorders>
              <w:top w:val="nil"/>
              <w:left w:val="nil"/>
              <w:bottom w:val="nil"/>
              <w:right w:val="nil"/>
            </w:tcBorders>
            <w:shd w:val="clear" w:color="auto" w:fill="auto"/>
            <w:noWrap/>
            <w:vAlign w:val="center"/>
            <w:hideMark/>
          </w:tcPr>
          <w:p w14:paraId="157210BB"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Diuron</w:t>
            </w:r>
          </w:p>
        </w:tc>
        <w:tc>
          <w:tcPr>
            <w:tcW w:w="1134" w:type="dxa"/>
            <w:tcBorders>
              <w:top w:val="nil"/>
              <w:left w:val="nil"/>
              <w:bottom w:val="nil"/>
              <w:right w:val="nil"/>
            </w:tcBorders>
            <w:shd w:val="clear" w:color="auto" w:fill="auto"/>
            <w:noWrap/>
            <w:vAlign w:val="center"/>
            <w:hideMark/>
          </w:tcPr>
          <w:p w14:paraId="157210BC"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5.1</w:t>
            </w:r>
          </w:p>
        </w:tc>
        <w:tc>
          <w:tcPr>
            <w:tcW w:w="1134" w:type="dxa"/>
            <w:tcBorders>
              <w:top w:val="nil"/>
              <w:left w:val="nil"/>
              <w:bottom w:val="nil"/>
              <w:right w:val="nil"/>
            </w:tcBorders>
            <w:shd w:val="clear" w:color="auto" w:fill="auto"/>
            <w:noWrap/>
            <w:vAlign w:val="center"/>
            <w:hideMark/>
          </w:tcPr>
          <w:p w14:paraId="157210BD"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C2" w14:textId="77777777" w:rsidTr="00BD35DC">
        <w:trPr>
          <w:trHeight w:val="300"/>
        </w:trPr>
        <w:tc>
          <w:tcPr>
            <w:tcW w:w="2127" w:type="dxa"/>
            <w:tcBorders>
              <w:top w:val="nil"/>
              <w:left w:val="nil"/>
              <w:bottom w:val="nil"/>
              <w:right w:val="nil"/>
            </w:tcBorders>
            <w:shd w:val="clear" w:color="auto" w:fill="auto"/>
            <w:noWrap/>
            <w:vAlign w:val="center"/>
            <w:hideMark/>
          </w:tcPr>
          <w:p w14:paraId="157210BF"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Hexazinone</w:t>
            </w:r>
          </w:p>
        </w:tc>
        <w:tc>
          <w:tcPr>
            <w:tcW w:w="1134" w:type="dxa"/>
            <w:tcBorders>
              <w:top w:val="nil"/>
              <w:left w:val="nil"/>
              <w:bottom w:val="nil"/>
              <w:right w:val="nil"/>
            </w:tcBorders>
            <w:shd w:val="clear" w:color="auto" w:fill="auto"/>
            <w:noWrap/>
            <w:vAlign w:val="center"/>
            <w:hideMark/>
          </w:tcPr>
          <w:p w14:paraId="157210C0"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9.4</w:t>
            </w:r>
          </w:p>
        </w:tc>
        <w:tc>
          <w:tcPr>
            <w:tcW w:w="1134" w:type="dxa"/>
            <w:tcBorders>
              <w:top w:val="nil"/>
              <w:left w:val="nil"/>
              <w:bottom w:val="nil"/>
              <w:right w:val="nil"/>
            </w:tcBorders>
            <w:shd w:val="clear" w:color="auto" w:fill="auto"/>
            <w:noWrap/>
            <w:vAlign w:val="center"/>
            <w:hideMark/>
          </w:tcPr>
          <w:p w14:paraId="157210C1"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C6" w14:textId="77777777" w:rsidTr="00BD35DC">
        <w:trPr>
          <w:trHeight w:val="300"/>
        </w:trPr>
        <w:tc>
          <w:tcPr>
            <w:tcW w:w="2127" w:type="dxa"/>
            <w:tcBorders>
              <w:top w:val="nil"/>
              <w:left w:val="nil"/>
              <w:bottom w:val="nil"/>
              <w:right w:val="nil"/>
            </w:tcBorders>
            <w:shd w:val="clear" w:color="auto" w:fill="auto"/>
            <w:noWrap/>
            <w:vAlign w:val="center"/>
            <w:hideMark/>
          </w:tcPr>
          <w:p w14:paraId="157210C3"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Tebuthiuron</w:t>
            </w:r>
          </w:p>
        </w:tc>
        <w:tc>
          <w:tcPr>
            <w:tcW w:w="1134" w:type="dxa"/>
            <w:tcBorders>
              <w:top w:val="nil"/>
              <w:left w:val="nil"/>
              <w:bottom w:val="nil"/>
              <w:right w:val="nil"/>
            </w:tcBorders>
            <w:shd w:val="clear" w:color="auto" w:fill="auto"/>
            <w:noWrap/>
            <w:vAlign w:val="center"/>
            <w:hideMark/>
          </w:tcPr>
          <w:p w14:paraId="157210C4"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53</w:t>
            </w:r>
          </w:p>
        </w:tc>
        <w:tc>
          <w:tcPr>
            <w:tcW w:w="1134" w:type="dxa"/>
            <w:tcBorders>
              <w:top w:val="nil"/>
              <w:left w:val="nil"/>
              <w:bottom w:val="nil"/>
              <w:right w:val="nil"/>
            </w:tcBorders>
            <w:shd w:val="clear" w:color="auto" w:fill="auto"/>
            <w:noWrap/>
            <w:vAlign w:val="center"/>
            <w:hideMark/>
          </w:tcPr>
          <w:p w14:paraId="157210C5"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CA" w14:textId="77777777" w:rsidTr="00BD35DC">
        <w:trPr>
          <w:trHeight w:val="300"/>
        </w:trPr>
        <w:tc>
          <w:tcPr>
            <w:tcW w:w="2127" w:type="dxa"/>
            <w:tcBorders>
              <w:top w:val="nil"/>
              <w:left w:val="nil"/>
              <w:bottom w:val="nil"/>
              <w:right w:val="nil"/>
            </w:tcBorders>
            <w:shd w:val="clear" w:color="auto" w:fill="auto"/>
            <w:noWrap/>
            <w:vAlign w:val="center"/>
            <w:hideMark/>
          </w:tcPr>
          <w:p w14:paraId="157210C7"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Simazine</w:t>
            </w:r>
          </w:p>
        </w:tc>
        <w:tc>
          <w:tcPr>
            <w:tcW w:w="1134" w:type="dxa"/>
            <w:tcBorders>
              <w:top w:val="nil"/>
              <w:left w:val="nil"/>
              <w:bottom w:val="nil"/>
              <w:right w:val="nil"/>
            </w:tcBorders>
            <w:shd w:val="clear" w:color="auto" w:fill="auto"/>
            <w:noWrap/>
            <w:vAlign w:val="center"/>
            <w:hideMark/>
          </w:tcPr>
          <w:p w14:paraId="157210C8"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79</w:t>
            </w:r>
          </w:p>
        </w:tc>
        <w:tc>
          <w:tcPr>
            <w:tcW w:w="1134" w:type="dxa"/>
            <w:tcBorders>
              <w:top w:val="nil"/>
              <w:left w:val="nil"/>
              <w:bottom w:val="nil"/>
              <w:right w:val="nil"/>
            </w:tcBorders>
            <w:shd w:val="clear" w:color="auto" w:fill="auto"/>
            <w:noWrap/>
            <w:vAlign w:val="center"/>
            <w:hideMark/>
          </w:tcPr>
          <w:p w14:paraId="157210C9"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CE" w14:textId="77777777" w:rsidTr="00BD35DC">
        <w:trPr>
          <w:trHeight w:val="300"/>
        </w:trPr>
        <w:tc>
          <w:tcPr>
            <w:tcW w:w="2127" w:type="dxa"/>
            <w:tcBorders>
              <w:top w:val="nil"/>
              <w:left w:val="nil"/>
              <w:bottom w:val="nil"/>
              <w:right w:val="nil"/>
            </w:tcBorders>
            <w:shd w:val="clear" w:color="auto" w:fill="auto"/>
            <w:noWrap/>
            <w:vAlign w:val="center"/>
            <w:hideMark/>
          </w:tcPr>
          <w:p w14:paraId="157210CB"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Metribuzin</w:t>
            </w:r>
          </w:p>
        </w:tc>
        <w:tc>
          <w:tcPr>
            <w:tcW w:w="1134" w:type="dxa"/>
            <w:tcBorders>
              <w:top w:val="nil"/>
              <w:left w:val="nil"/>
              <w:bottom w:val="nil"/>
              <w:right w:val="nil"/>
            </w:tcBorders>
            <w:shd w:val="clear" w:color="auto" w:fill="auto"/>
            <w:noWrap/>
            <w:vAlign w:val="center"/>
            <w:hideMark/>
          </w:tcPr>
          <w:p w14:paraId="157210CC"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7.9</w:t>
            </w:r>
          </w:p>
        </w:tc>
        <w:tc>
          <w:tcPr>
            <w:tcW w:w="1134" w:type="dxa"/>
            <w:tcBorders>
              <w:top w:val="nil"/>
              <w:left w:val="nil"/>
              <w:bottom w:val="nil"/>
              <w:right w:val="nil"/>
            </w:tcBorders>
            <w:shd w:val="clear" w:color="auto" w:fill="auto"/>
            <w:noWrap/>
            <w:vAlign w:val="center"/>
            <w:hideMark/>
          </w:tcPr>
          <w:p w14:paraId="157210CD"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D2" w14:textId="77777777" w:rsidTr="00BD35DC">
        <w:trPr>
          <w:trHeight w:val="300"/>
        </w:trPr>
        <w:tc>
          <w:tcPr>
            <w:tcW w:w="2127" w:type="dxa"/>
            <w:tcBorders>
              <w:top w:val="nil"/>
              <w:left w:val="nil"/>
              <w:bottom w:val="nil"/>
              <w:right w:val="nil"/>
            </w:tcBorders>
            <w:shd w:val="clear" w:color="auto" w:fill="auto"/>
            <w:noWrap/>
            <w:vAlign w:val="center"/>
            <w:hideMark/>
          </w:tcPr>
          <w:p w14:paraId="157210CF"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Bromacil</w:t>
            </w:r>
          </w:p>
        </w:tc>
        <w:tc>
          <w:tcPr>
            <w:tcW w:w="1134" w:type="dxa"/>
            <w:tcBorders>
              <w:top w:val="nil"/>
              <w:left w:val="nil"/>
              <w:bottom w:val="nil"/>
              <w:right w:val="nil"/>
            </w:tcBorders>
            <w:shd w:val="clear" w:color="auto" w:fill="auto"/>
            <w:noWrap/>
            <w:vAlign w:val="center"/>
            <w:hideMark/>
          </w:tcPr>
          <w:p w14:paraId="157210D0"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12</w:t>
            </w:r>
          </w:p>
        </w:tc>
        <w:tc>
          <w:tcPr>
            <w:tcW w:w="1134" w:type="dxa"/>
            <w:tcBorders>
              <w:top w:val="nil"/>
              <w:left w:val="nil"/>
              <w:bottom w:val="nil"/>
              <w:right w:val="nil"/>
            </w:tcBorders>
            <w:shd w:val="clear" w:color="auto" w:fill="auto"/>
            <w:noWrap/>
            <w:vAlign w:val="center"/>
            <w:hideMark/>
          </w:tcPr>
          <w:p w14:paraId="157210D1"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D6" w14:textId="77777777" w:rsidTr="00BD35DC">
        <w:trPr>
          <w:trHeight w:val="300"/>
        </w:trPr>
        <w:tc>
          <w:tcPr>
            <w:tcW w:w="2127" w:type="dxa"/>
            <w:tcBorders>
              <w:top w:val="nil"/>
              <w:left w:val="nil"/>
              <w:bottom w:val="nil"/>
              <w:right w:val="nil"/>
            </w:tcBorders>
            <w:shd w:val="clear" w:color="auto" w:fill="auto"/>
            <w:noWrap/>
            <w:vAlign w:val="center"/>
            <w:hideMark/>
          </w:tcPr>
          <w:p w14:paraId="157210D3"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Fluometuron</w:t>
            </w:r>
          </w:p>
        </w:tc>
        <w:tc>
          <w:tcPr>
            <w:tcW w:w="1134" w:type="dxa"/>
            <w:tcBorders>
              <w:top w:val="nil"/>
              <w:left w:val="nil"/>
              <w:bottom w:val="nil"/>
              <w:right w:val="nil"/>
            </w:tcBorders>
            <w:shd w:val="clear" w:color="auto" w:fill="auto"/>
            <w:noWrap/>
            <w:vAlign w:val="center"/>
            <w:hideMark/>
          </w:tcPr>
          <w:p w14:paraId="157210D4"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126</w:t>
            </w:r>
          </w:p>
        </w:tc>
        <w:tc>
          <w:tcPr>
            <w:tcW w:w="1134" w:type="dxa"/>
            <w:tcBorders>
              <w:top w:val="nil"/>
              <w:left w:val="nil"/>
              <w:bottom w:val="nil"/>
              <w:right w:val="nil"/>
            </w:tcBorders>
            <w:shd w:val="clear" w:color="auto" w:fill="auto"/>
            <w:noWrap/>
            <w:vAlign w:val="center"/>
            <w:hideMark/>
          </w:tcPr>
          <w:p w14:paraId="157210D5"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DA" w14:textId="77777777" w:rsidTr="00BD35DC">
        <w:trPr>
          <w:trHeight w:val="300"/>
        </w:trPr>
        <w:tc>
          <w:tcPr>
            <w:tcW w:w="2127" w:type="dxa"/>
            <w:tcBorders>
              <w:top w:val="nil"/>
              <w:left w:val="nil"/>
              <w:bottom w:val="nil"/>
              <w:right w:val="nil"/>
            </w:tcBorders>
            <w:shd w:val="clear" w:color="auto" w:fill="auto"/>
            <w:noWrap/>
            <w:vAlign w:val="center"/>
            <w:hideMark/>
          </w:tcPr>
          <w:p w14:paraId="157210D7"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Prometryn</w:t>
            </w:r>
          </w:p>
        </w:tc>
        <w:tc>
          <w:tcPr>
            <w:tcW w:w="1134" w:type="dxa"/>
            <w:tcBorders>
              <w:top w:val="nil"/>
              <w:left w:val="nil"/>
              <w:bottom w:val="nil"/>
              <w:right w:val="nil"/>
            </w:tcBorders>
            <w:shd w:val="clear" w:color="auto" w:fill="auto"/>
            <w:noWrap/>
            <w:vAlign w:val="center"/>
            <w:hideMark/>
          </w:tcPr>
          <w:p w14:paraId="157210D8"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7.9</w:t>
            </w:r>
          </w:p>
        </w:tc>
        <w:tc>
          <w:tcPr>
            <w:tcW w:w="1134" w:type="dxa"/>
            <w:tcBorders>
              <w:top w:val="nil"/>
              <w:left w:val="nil"/>
              <w:bottom w:val="nil"/>
              <w:right w:val="nil"/>
            </w:tcBorders>
            <w:shd w:val="clear" w:color="auto" w:fill="auto"/>
            <w:noWrap/>
            <w:vAlign w:val="center"/>
            <w:hideMark/>
          </w:tcPr>
          <w:p w14:paraId="157210D9"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DE" w14:textId="77777777" w:rsidTr="00BD35DC">
        <w:trPr>
          <w:trHeight w:val="300"/>
        </w:trPr>
        <w:tc>
          <w:tcPr>
            <w:tcW w:w="2127" w:type="dxa"/>
            <w:tcBorders>
              <w:top w:val="nil"/>
              <w:left w:val="nil"/>
              <w:bottom w:val="nil"/>
              <w:right w:val="nil"/>
            </w:tcBorders>
            <w:shd w:val="clear" w:color="auto" w:fill="auto"/>
            <w:noWrap/>
            <w:vAlign w:val="center"/>
            <w:hideMark/>
          </w:tcPr>
          <w:p w14:paraId="157210DB"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Propazine</w:t>
            </w:r>
          </w:p>
        </w:tc>
        <w:tc>
          <w:tcPr>
            <w:tcW w:w="1134" w:type="dxa"/>
            <w:tcBorders>
              <w:top w:val="nil"/>
              <w:left w:val="nil"/>
              <w:bottom w:val="nil"/>
              <w:right w:val="nil"/>
            </w:tcBorders>
            <w:shd w:val="clear" w:color="auto" w:fill="auto"/>
            <w:noWrap/>
            <w:vAlign w:val="center"/>
            <w:hideMark/>
          </w:tcPr>
          <w:p w14:paraId="157210DC"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17</w:t>
            </w:r>
          </w:p>
        </w:tc>
        <w:tc>
          <w:tcPr>
            <w:tcW w:w="1134" w:type="dxa"/>
            <w:tcBorders>
              <w:top w:val="nil"/>
              <w:left w:val="nil"/>
              <w:bottom w:val="nil"/>
              <w:right w:val="nil"/>
            </w:tcBorders>
            <w:shd w:val="clear" w:color="auto" w:fill="auto"/>
            <w:noWrap/>
            <w:vAlign w:val="center"/>
            <w:hideMark/>
          </w:tcPr>
          <w:p w14:paraId="157210DD"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E2" w14:textId="77777777" w:rsidTr="00BD35DC">
        <w:trPr>
          <w:trHeight w:val="300"/>
        </w:trPr>
        <w:tc>
          <w:tcPr>
            <w:tcW w:w="2127" w:type="dxa"/>
            <w:tcBorders>
              <w:top w:val="nil"/>
              <w:left w:val="nil"/>
              <w:bottom w:val="nil"/>
              <w:right w:val="nil"/>
            </w:tcBorders>
            <w:shd w:val="clear" w:color="auto" w:fill="auto"/>
            <w:noWrap/>
            <w:vAlign w:val="center"/>
            <w:hideMark/>
          </w:tcPr>
          <w:p w14:paraId="157210DF" w14:textId="77777777" w:rsidR="00687C82" w:rsidRPr="00687C82" w:rsidRDefault="00687C82" w:rsidP="00687C82">
            <w:pPr>
              <w:jc w:val="left"/>
              <w:rPr>
                <w:rFonts w:ascii="Calibri" w:eastAsia="Times New Roman" w:hAnsi="Calibri" w:cs="Calibri"/>
                <w:i/>
                <w:iCs/>
                <w:color w:val="000000"/>
                <w:lang w:val="en-AU" w:eastAsia="en-AU" w:bidi="ar-SA"/>
              </w:rPr>
            </w:pPr>
            <w:r w:rsidRPr="00687C82">
              <w:rPr>
                <w:rFonts w:ascii="Calibri" w:eastAsia="Times New Roman" w:hAnsi="Calibri" w:cs="Calibri"/>
                <w:i/>
                <w:iCs/>
                <w:color w:val="000000"/>
                <w:lang w:val="en-AU" w:eastAsia="en-AU" w:bidi="ar-SA"/>
              </w:rPr>
              <w:t>Terbuthylazine</w:t>
            </w:r>
            <w:r w:rsidRPr="00687C82">
              <w:rPr>
                <w:rFonts w:ascii="Calibri" w:eastAsia="Times New Roman" w:hAnsi="Calibri" w:cs="Calibri"/>
                <w:color w:val="000000"/>
                <w:lang w:val="en-AU" w:eastAsia="en-AU" w:bidi="ar-SA"/>
              </w:rPr>
              <w:t>†</w:t>
            </w:r>
          </w:p>
        </w:tc>
        <w:tc>
          <w:tcPr>
            <w:tcW w:w="1134" w:type="dxa"/>
            <w:tcBorders>
              <w:top w:val="nil"/>
              <w:left w:val="nil"/>
              <w:bottom w:val="nil"/>
              <w:right w:val="nil"/>
            </w:tcBorders>
            <w:shd w:val="clear" w:color="auto" w:fill="auto"/>
            <w:noWrap/>
            <w:vAlign w:val="center"/>
            <w:hideMark/>
          </w:tcPr>
          <w:p w14:paraId="157210E0" w14:textId="77777777" w:rsidR="00687C82" w:rsidRPr="00687C82" w:rsidRDefault="00687C82" w:rsidP="00687C82">
            <w:pPr>
              <w:jc w:val="center"/>
              <w:rPr>
                <w:rFonts w:ascii="Calibri" w:eastAsia="Times New Roman" w:hAnsi="Calibri" w:cs="Calibri"/>
                <w:i/>
                <w:iCs/>
                <w:color w:val="000000"/>
                <w:lang w:val="en-AU" w:eastAsia="en-AU" w:bidi="ar-SA"/>
              </w:rPr>
            </w:pPr>
            <w:r w:rsidRPr="00687C82">
              <w:rPr>
                <w:rFonts w:ascii="Calibri" w:eastAsia="Times New Roman" w:hAnsi="Calibri" w:cs="Calibri"/>
                <w:i/>
                <w:iCs/>
                <w:color w:val="000000"/>
                <w:lang w:val="en-AU" w:eastAsia="en-AU" w:bidi="ar-SA"/>
              </w:rPr>
              <w:t>15</w:t>
            </w:r>
          </w:p>
        </w:tc>
        <w:tc>
          <w:tcPr>
            <w:tcW w:w="1134" w:type="dxa"/>
            <w:tcBorders>
              <w:top w:val="nil"/>
              <w:left w:val="nil"/>
              <w:bottom w:val="nil"/>
              <w:right w:val="nil"/>
            </w:tcBorders>
            <w:shd w:val="clear" w:color="auto" w:fill="auto"/>
            <w:noWrap/>
            <w:vAlign w:val="center"/>
            <w:hideMark/>
          </w:tcPr>
          <w:p w14:paraId="157210E1" w14:textId="77777777" w:rsidR="00687C82" w:rsidRPr="00687C82" w:rsidRDefault="00687C82" w:rsidP="00687C82">
            <w:pPr>
              <w:jc w:val="center"/>
              <w:rPr>
                <w:rFonts w:ascii="Calibri" w:eastAsia="Times New Roman" w:hAnsi="Calibri" w:cs="Calibri"/>
                <w:i/>
                <w:iCs/>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E6" w14:textId="77777777" w:rsidTr="00BD35DC">
        <w:trPr>
          <w:trHeight w:val="300"/>
        </w:trPr>
        <w:tc>
          <w:tcPr>
            <w:tcW w:w="2127" w:type="dxa"/>
            <w:tcBorders>
              <w:top w:val="nil"/>
              <w:left w:val="nil"/>
              <w:bottom w:val="nil"/>
              <w:right w:val="nil"/>
            </w:tcBorders>
            <w:shd w:val="clear" w:color="auto" w:fill="auto"/>
            <w:noWrap/>
            <w:vAlign w:val="center"/>
            <w:hideMark/>
          </w:tcPr>
          <w:p w14:paraId="157210E3"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Terbutryn</w:t>
            </w:r>
          </w:p>
        </w:tc>
        <w:tc>
          <w:tcPr>
            <w:tcW w:w="1134" w:type="dxa"/>
            <w:tcBorders>
              <w:top w:val="nil"/>
              <w:left w:val="nil"/>
              <w:bottom w:val="nil"/>
              <w:right w:val="nil"/>
            </w:tcBorders>
            <w:shd w:val="clear" w:color="auto" w:fill="auto"/>
            <w:noWrap/>
            <w:vAlign w:val="center"/>
            <w:hideMark/>
          </w:tcPr>
          <w:p w14:paraId="157210E4"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6.0</w:t>
            </w:r>
          </w:p>
        </w:tc>
        <w:tc>
          <w:tcPr>
            <w:tcW w:w="1134" w:type="dxa"/>
            <w:tcBorders>
              <w:top w:val="nil"/>
              <w:left w:val="nil"/>
              <w:bottom w:val="nil"/>
              <w:right w:val="nil"/>
            </w:tcBorders>
            <w:shd w:val="clear" w:color="auto" w:fill="auto"/>
            <w:noWrap/>
            <w:vAlign w:val="center"/>
            <w:hideMark/>
          </w:tcPr>
          <w:p w14:paraId="157210E5" w14:textId="77777777" w:rsidR="00687C82" w:rsidRPr="00687C82" w:rsidRDefault="00687C82" w:rsidP="00687C8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n.a.</w:t>
            </w:r>
          </w:p>
        </w:tc>
      </w:tr>
      <w:tr w:rsidR="00687C82" w:rsidRPr="00687C82" w14:paraId="157210EA" w14:textId="77777777" w:rsidTr="00BD35DC">
        <w:trPr>
          <w:trHeight w:val="224"/>
        </w:trPr>
        <w:tc>
          <w:tcPr>
            <w:tcW w:w="2127" w:type="dxa"/>
            <w:tcBorders>
              <w:top w:val="nil"/>
              <w:left w:val="nil"/>
              <w:right w:val="nil"/>
            </w:tcBorders>
            <w:shd w:val="clear" w:color="auto" w:fill="auto"/>
            <w:noWrap/>
            <w:vAlign w:val="bottom"/>
            <w:hideMark/>
          </w:tcPr>
          <w:p w14:paraId="157210E7" w14:textId="77777777" w:rsidR="00687C82" w:rsidRPr="00687C82" w:rsidRDefault="00687C82" w:rsidP="00687C82">
            <w:pPr>
              <w:jc w:val="center"/>
              <w:rPr>
                <w:rFonts w:ascii="Times New Roman" w:eastAsia="Times New Roman" w:hAnsi="Times New Roman" w:cs="Times New Roman"/>
                <w:sz w:val="20"/>
                <w:szCs w:val="20"/>
                <w:lang w:val="en-AU" w:eastAsia="en-AU" w:bidi="ar-SA"/>
              </w:rPr>
            </w:pPr>
          </w:p>
        </w:tc>
        <w:tc>
          <w:tcPr>
            <w:tcW w:w="1134" w:type="dxa"/>
            <w:tcBorders>
              <w:top w:val="nil"/>
              <w:left w:val="nil"/>
              <w:right w:val="nil"/>
            </w:tcBorders>
            <w:shd w:val="clear" w:color="auto" w:fill="auto"/>
            <w:noWrap/>
            <w:vAlign w:val="center"/>
            <w:hideMark/>
          </w:tcPr>
          <w:p w14:paraId="157210E8" w14:textId="77777777" w:rsidR="00687C82" w:rsidRPr="00687C82" w:rsidRDefault="00687C82" w:rsidP="00687C82">
            <w:pPr>
              <w:jc w:val="center"/>
              <w:rPr>
                <w:rFonts w:ascii="Times New Roman" w:eastAsia="Times New Roman" w:hAnsi="Times New Roman" w:cs="Times New Roman"/>
                <w:sz w:val="20"/>
                <w:szCs w:val="20"/>
                <w:lang w:val="en-AU" w:eastAsia="en-AU" w:bidi="ar-SA"/>
              </w:rPr>
            </w:pPr>
          </w:p>
        </w:tc>
        <w:tc>
          <w:tcPr>
            <w:tcW w:w="1134" w:type="dxa"/>
            <w:tcBorders>
              <w:top w:val="nil"/>
              <w:left w:val="nil"/>
              <w:right w:val="nil"/>
            </w:tcBorders>
            <w:shd w:val="clear" w:color="auto" w:fill="auto"/>
            <w:noWrap/>
            <w:vAlign w:val="center"/>
            <w:hideMark/>
          </w:tcPr>
          <w:p w14:paraId="157210E9" w14:textId="77777777" w:rsidR="00687C82" w:rsidRPr="00687C82" w:rsidRDefault="00687C82" w:rsidP="00687C82">
            <w:pPr>
              <w:jc w:val="center"/>
              <w:rPr>
                <w:rFonts w:ascii="Times New Roman" w:eastAsia="Times New Roman" w:hAnsi="Times New Roman" w:cs="Times New Roman"/>
                <w:sz w:val="20"/>
                <w:szCs w:val="20"/>
                <w:lang w:val="en-AU" w:eastAsia="en-AU" w:bidi="ar-SA"/>
              </w:rPr>
            </w:pPr>
          </w:p>
        </w:tc>
      </w:tr>
      <w:tr w:rsidR="00687C82" w:rsidRPr="00687C82" w14:paraId="157210EE" w14:textId="77777777" w:rsidTr="00BD35DC">
        <w:trPr>
          <w:trHeight w:val="300"/>
        </w:trPr>
        <w:tc>
          <w:tcPr>
            <w:tcW w:w="2127" w:type="dxa"/>
            <w:tcBorders>
              <w:top w:val="nil"/>
              <w:left w:val="nil"/>
              <w:bottom w:val="single" w:sz="4" w:space="0" w:color="auto"/>
              <w:right w:val="nil"/>
            </w:tcBorders>
            <w:shd w:val="clear" w:color="auto" w:fill="auto"/>
            <w:noWrap/>
            <w:vAlign w:val="bottom"/>
            <w:hideMark/>
          </w:tcPr>
          <w:p w14:paraId="157210EB" w14:textId="77777777" w:rsidR="00687C82" w:rsidRPr="00687C82" w:rsidRDefault="00687C82" w:rsidP="00687C82">
            <w:pPr>
              <w:jc w:val="left"/>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 xml:space="preserve">Mixture </w:t>
            </w:r>
            <w:r w:rsidR="00BD35DC">
              <w:rPr>
                <w:rFonts w:ascii="Calibri" w:eastAsia="Times New Roman" w:hAnsi="Calibri" w:cs="Calibri"/>
                <w:color w:val="000000"/>
                <w:lang w:val="en-AU" w:eastAsia="en-AU" w:bidi="ar-SA"/>
              </w:rPr>
              <w:t>(</w:t>
            </w:r>
            <w:r w:rsidRPr="00687C82">
              <w:rPr>
                <w:rFonts w:ascii="Calibri" w:eastAsia="Times New Roman" w:hAnsi="Calibri" w:cs="Calibri"/>
                <w:color w:val="000000"/>
                <w:lang w:val="en-AU" w:eastAsia="en-AU" w:bidi="ar-SA"/>
              </w:rPr>
              <w:t>SSD</w:t>
            </w:r>
            <w:r w:rsidR="00967DB3">
              <w:rPr>
                <w:rFonts w:ascii="Calibri" w:eastAsia="Times New Roman" w:hAnsi="Calibri" w:cs="Calibri"/>
                <w:color w:val="000000"/>
                <w:vertAlign w:val="subscript"/>
                <w:lang w:val="en-AU" w:eastAsia="en-AU" w:bidi="ar-SA"/>
              </w:rPr>
              <w:t>G</w:t>
            </w:r>
            <w:r w:rsidR="00BD35DC">
              <w:rPr>
                <w:rFonts w:ascii="Calibri" w:eastAsia="Times New Roman" w:hAnsi="Calibri" w:cs="Calibri"/>
                <w:color w:val="000000"/>
                <w:lang w:val="en-AU" w:eastAsia="en-AU" w:bidi="ar-SA"/>
              </w:rPr>
              <w:t>)</w:t>
            </w:r>
          </w:p>
        </w:tc>
        <w:tc>
          <w:tcPr>
            <w:tcW w:w="1134" w:type="dxa"/>
            <w:tcBorders>
              <w:top w:val="nil"/>
              <w:left w:val="nil"/>
              <w:bottom w:val="single" w:sz="4" w:space="0" w:color="auto"/>
              <w:right w:val="nil"/>
            </w:tcBorders>
            <w:shd w:val="clear" w:color="auto" w:fill="auto"/>
            <w:noWrap/>
            <w:vAlign w:val="center"/>
            <w:hideMark/>
          </w:tcPr>
          <w:p w14:paraId="157210EC"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0.942</w:t>
            </w:r>
          </w:p>
        </w:tc>
        <w:tc>
          <w:tcPr>
            <w:tcW w:w="1134" w:type="dxa"/>
            <w:tcBorders>
              <w:top w:val="nil"/>
              <w:left w:val="nil"/>
              <w:bottom w:val="single" w:sz="4" w:space="0" w:color="auto"/>
              <w:right w:val="nil"/>
            </w:tcBorders>
            <w:shd w:val="clear" w:color="auto" w:fill="auto"/>
            <w:noWrap/>
            <w:vAlign w:val="center"/>
            <w:hideMark/>
          </w:tcPr>
          <w:p w14:paraId="157210ED" w14:textId="77777777" w:rsidR="00687C82" w:rsidRPr="00687C82" w:rsidRDefault="00687C82" w:rsidP="00687C82">
            <w:pPr>
              <w:jc w:val="center"/>
              <w:rPr>
                <w:rFonts w:ascii="Calibri" w:eastAsia="Times New Roman" w:hAnsi="Calibri" w:cs="Calibri"/>
                <w:color w:val="000000"/>
                <w:lang w:val="en-AU" w:eastAsia="en-AU" w:bidi="ar-SA"/>
              </w:rPr>
            </w:pPr>
            <w:r w:rsidRPr="00687C82">
              <w:rPr>
                <w:rFonts w:ascii="Calibri" w:eastAsia="Times New Roman" w:hAnsi="Calibri" w:cs="Calibri"/>
                <w:color w:val="000000"/>
                <w:lang w:val="en-AU" w:eastAsia="en-AU" w:bidi="ar-SA"/>
              </w:rPr>
              <w:t>0.989</w:t>
            </w:r>
          </w:p>
        </w:tc>
      </w:tr>
    </w:tbl>
    <w:p w14:paraId="157210EF" w14:textId="77777777" w:rsidR="0063485B" w:rsidRPr="00687C82" w:rsidRDefault="00687C82" w:rsidP="005E7F56">
      <w:pPr>
        <w:spacing w:line="276" w:lineRule="auto"/>
        <w:rPr>
          <w:rFonts w:ascii="Calibri" w:eastAsia="Times New Roman" w:hAnsi="Calibri" w:cs="Calibri"/>
          <w:color w:val="000000"/>
          <w:sz w:val="20"/>
          <w:lang w:val="en-AU" w:eastAsia="en-AU" w:bidi="ar-SA"/>
        </w:rPr>
      </w:pPr>
      <w:r w:rsidRPr="00687C82">
        <w:rPr>
          <w:rFonts w:ascii="Calibri" w:eastAsia="Times New Roman" w:hAnsi="Calibri" w:cs="Calibri"/>
          <w:color w:val="000000"/>
          <w:sz w:val="20"/>
          <w:lang w:val="en-AU" w:eastAsia="en-AU" w:bidi="ar-SA"/>
        </w:rPr>
        <w:t>n.a. – data not provided (not necessary to calculations)</w:t>
      </w:r>
    </w:p>
    <w:p w14:paraId="157210F0" w14:textId="77777777" w:rsidR="00687C82" w:rsidRPr="00687C82" w:rsidRDefault="00687C82" w:rsidP="005E7F56">
      <w:pPr>
        <w:spacing w:line="276" w:lineRule="auto"/>
        <w:rPr>
          <w:rFonts w:ascii="Calibri" w:eastAsia="Times New Roman" w:hAnsi="Calibri" w:cs="Calibri"/>
          <w:color w:val="000000"/>
          <w:sz w:val="20"/>
          <w:lang w:val="en-AU" w:eastAsia="en-AU" w:bidi="ar-SA"/>
        </w:rPr>
      </w:pPr>
      <w:r w:rsidRPr="00687C82">
        <w:rPr>
          <w:rFonts w:ascii="Calibri" w:eastAsia="Times New Roman" w:hAnsi="Calibri" w:cs="Calibri"/>
          <w:color w:val="000000"/>
          <w:sz w:val="20"/>
          <w:lang w:val="en-AU" w:eastAsia="en-AU" w:bidi="ar-SA"/>
        </w:rPr>
        <w:t>* Atrazine SSD is in the process of being updated, this α is for the 'old' SSD</w:t>
      </w:r>
    </w:p>
    <w:p w14:paraId="157210F1" w14:textId="77777777" w:rsidR="00687C82" w:rsidRPr="00687C82" w:rsidRDefault="00687C82" w:rsidP="005E7F56">
      <w:pPr>
        <w:spacing w:line="276" w:lineRule="auto"/>
        <w:rPr>
          <w:rFonts w:ascii="Calibri" w:eastAsia="Times New Roman" w:hAnsi="Calibri" w:cs="Calibri"/>
          <w:color w:val="000000"/>
          <w:sz w:val="20"/>
          <w:lang w:val="en-AU" w:eastAsia="en-AU" w:bidi="ar-SA"/>
        </w:rPr>
      </w:pPr>
      <w:r w:rsidRPr="00687C82">
        <w:rPr>
          <w:rFonts w:ascii="Calibri" w:eastAsia="Times New Roman" w:hAnsi="Calibri" w:cs="Calibri"/>
          <w:color w:val="000000"/>
          <w:sz w:val="20"/>
          <w:lang w:val="en-AU" w:eastAsia="en-AU" w:bidi="ar-SA"/>
        </w:rPr>
        <w:t xml:space="preserve">† Terbuthylazine was not monitored for in this program, so no data </w:t>
      </w:r>
      <w:r w:rsidR="00185B92">
        <w:rPr>
          <w:rFonts w:ascii="Calibri" w:eastAsia="Times New Roman" w:hAnsi="Calibri" w:cs="Calibri"/>
          <w:color w:val="000000"/>
          <w:sz w:val="20"/>
          <w:lang w:val="en-AU" w:eastAsia="en-AU" w:bidi="ar-SA"/>
        </w:rPr>
        <w:t xml:space="preserve">are </w:t>
      </w:r>
      <w:r w:rsidRPr="00687C82">
        <w:rPr>
          <w:rFonts w:ascii="Calibri" w:eastAsia="Times New Roman" w:hAnsi="Calibri" w:cs="Calibri"/>
          <w:color w:val="000000"/>
          <w:sz w:val="20"/>
          <w:lang w:val="en-AU" w:eastAsia="en-AU" w:bidi="ar-SA"/>
        </w:rPr>
        <w:t>available</w:t>
      </w:r>
    </w:p>
    <w:p w14:paraId="157210F2" w14:textId="77777777" w:rsidR="00687C82" w:rsidRDefault="00687C82" w:rsidP="005E7F56">
      <w:pPr>
        <w:spacing w:line="276" w:lineRule="auto"/>
        <w:rPr>
          <w:b/>
          <w:bCs/>
          <w:sz w:val="18"/>
          <w:szCs w:val="18"/>
        </w:rPr>
      </w:pPr>
    </w:p>
    <w:p w14:paraId="157210F4" w14:textId="77777777" w:rsidR="00711EF2" w:rsidRDefault="00532DFD" w:rsidP="00AB45D5">
      <w:pPr>
        <w:spacing w:line="276" w:lineRule="auto"/>
        <w:ind w:left="567" w:hanging="567"/>
        <w:jc w:val="left"/>
        <w:rPr>
          <w:lang w:val="en-AU"/>
        </w:rPr>
      </w:pPr>
      <w:r>
        <w:rPr>
          <w:noProof/>
          <w:lang w:val="en-AU" w:eastAsia="en-AU" w:bidi="ar-SA"/>
        </w:rPr>
        <w:drawing>
          <wp:inline distT="0" distB="0" distL="0" distR="0" wp14:anchorId="15721A7C" wp14:editId="683E8291">
            <wp:extent cx="6660000" cy="2513879"/>
            <wp:effectExtent l="0" t="0" r="7620" b="0"/>
            <wp:docPr id="17" name="Picture 17" descr="Figure 13: Overview of approach to determine a multi-substance species sensitivity distribution (SSD) for a mixture of herbicides with the same mode of action (concentration additive model). SSDs on a concentration basis for individual herbicides (left graph) are converted to a dimensionless hazard unit (HU) scale which normalizes all SSDs to have a PC50 value (concentration at which 50% of the species are affected) of 1 HU (right graph). An ‘average’ SSD is fitted to the individual HU scale-SSDs and the midpoint (αG) and slope (βG) of the global distribution are determined in order to calculate PAF for an environmental mix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a:stretch/>
                  </pic:blipFill>
                  <pic:spPr bwMode="auto">
                    <a:xfrm>
                      <a:off x="0" y="0"/>
                      <a:ext cx="6660000" cy="2513879"/>
                    </a:xfrm>
                    <a:prstGeom prst="rect">
                      <a:avLst/>
                    </a:prstGeom>
                    <a:noFill/>
                    <a:ln>
                      <a:noFill/>
                    </a:ln>
                    <a:extLst>
                      <a:ext uri="{53640926-AAD7-44D8-BBD7-CCE9431645EC}">
                        <a14:shadowObscured xmlns:a14="http://schemas.microsoft.com/office/drawing/2010/main"/>
                      </a:ext>
                    </a:extLst>
                  </pic:spPr>
                </pic:pic>
              </a:graphicData>
            </a:graphic>
          </wp:inline>
        </w:drawing>
      </w:r>
    </w:p>
    <w:p w14:paraId="157210F5" w14:textId="0776128E" w:rsidR="00851A0A" w:rsidRPr="009F4B5D" w:rsidRDefault="00851A0A" w:rsidP="00851A0A">
      <w:pPr>
        <w:pStyle w:val="Caption"/>
        <w:rPr>
          <w:b w:val="0"/>
          <w:lang w:val="en-AU"/>
        </w:rPr>
      </w:pPr>
      <w:bookmarkStart w:id="718" w:name="_Ref480885534"/>
      <w:bookmarkStart w:id="719" w:name="_Toc502499945"/>
      <w:r w:rsidRPr="009F4B5D">
        <w:rPr>
          <w:b w:val="0"/>
        </w:rPr>
        <w:t xml:space="preserve">Figure </w:t>
      </w:r>
      <w:r w:rsidR="00C91BF5" w:rsidRPr="009F4B5D">
        <w:rPr>
          <w:b w:val="0"/>
        </w:rPr>
        <w:fldChar w:fldCharType="begin"/>
      </w:r>
      <w:r w:rsidRPr="009F4B5D">
        <w:rPr>
          <w:b w:val="0"/>
        </w:rPr>
        <w:instrText xml:space="preserve"> SEQ Figure \* ARABIC </w:instrText>
      </w:r>
      <w:r w:rsidR="00C91BF5" w:rsidRPr="009F4B5D">
        <w:rPr>
          <w:b w:val="0"/>
        </w:rPr>
        <w:fldChar w:fldCharType="separate"/>
      </w:r>
      <w:r w:rsidR="00D12276">
        <w:rPr>
          <w:b w:val="0"/>
          <w:noProof/>
        </w:rPr>
        <w:t>15</w:t>
      </w:r>
      <w:r w:rsidR="00C91BF5" w:rsidRPr="009F4B5D">
        <w:rPr>
          <w:b w:val="0"/>
        </w:rPr>
        <w:fldChar w:fldCharType="end"/>
      </w:r>
      <w:bookmarkEnd w:id="718"/>
      <w:r w:rsidRPr="009F4B5D">
        <w:rPr>
          <w:b w:val="0"/>
        </w:rPr>
        <w:t xml:space="preserve">: Overview of approach to determine a </w:t>
      </w:r>
      <w:r>
        <w:rPr>
          <w:b w:val="0"/>
        </w:rPr>
        <w:t xml:space="preserve">multi-substance </w:t>
      </w:r>
      <w:r w:rsidRPr="009F4B5D">
        <w:rPr>
          <w:b w:val="0"/>
        </w:rPr>
        <w:t xml:space="preserve">species sensitivity distribution (SSD) for a mixture of </w:t>
      </w:r>
      <w:r>
        <w:rPr>
          <w:b w:val="0"/>
        </w:rPr>
        <w:t>herbicides</w:t>
      </w:r>
      <w:r w:rsidRPr="009F4B5D">
        <w:rPr>
          <w:b w:val="0"/>
        </w:rPr>
        <w:t xml:space="preserve"> with the same mode of action (</w:t>
      </w:r>
      <w:r>
        <w:rPr>
          <w:b w:val="0"/>
        </w:rPr>
        <w:t xml:space="preserve">concentration </w:t>
      </w:r>
      <w:r w:rsidRPr="009F4B5D">
        <w:rPr>
          <w:b w:val="0"/>
        </w:rPr>
        <w:t xml:space="preserve">additive model). SSDs on a concentration basis for individual </w:t>
      </w:r>
      <w:r>
        <w:rPr>
          <w:b w:val="0"/>
        </w:rPr>
        <w:t>herbicides</w:t>
      </w:r>
      <w:r w:rsidRPr="009F4B5D">
        <w:rPr>
          <w:b w:val="0"/>
        </w:rPr>
        <w:t xml:space="preserve"> (left graph) are converted to </w:t>
      </w:r>
      <w:r w:rsidR="00532DFD">
        <w:rPr>
          <w:b w:val="0"/>
        </w:rPr>
        <w:t xml:space="preserve">a </w:t>
      </w:r>
      <w:r>
        <w:rPr>
          <w:b w:val="0"/>
        </w:rPr>
        <w:t xml:space="preserve">dimensionless </w:t>
      </w:r>
      <w:r w:rsidRPr="009F4B5D">
        <w:rPr>
          <w:b w:val="0"/>
        </w:rPr>
        <w:t xml:space="preserve">hazard unit (HU) </w:t>
      </w:r>
      <w:r>
        <w:rPr>
          <w:b w:val="0"/>
        </w:rPr>
        <w:t xml:space="preserve">scale </w:t>
      </w:r>
      <w:r w:rsidRPr="009F4B5D">
        <w:rPr>
          <w:b w:val="0"/>
        </w:rPr>
        <w:t xml:space="preserve">which normalizes all SSDs to have a PC50 value </w:t>
      </w:r>
      <w:r>
        <w:rPr>
          <w:b w:val="0"/>
        </w:rPr>
        <w:t xml:space="preserve">(concentration at which 50% of the species are affected) </w:t>
      </w:r>
      <w:r w:rsidRPr="009F4B5D">
        <w:rPr>
          <w:b w:val="0"/>
        </w:rPr>
        <w:t xml:space="preserve">of 1 </w:t>
      </w:r>
      <w:r>
        <w:rPr>
          <w:b w:val="0"/>
        </w:rPr>
        <w:t xml:space="preserve">HU </w:t>
      </w:r>
      <w:r w:rsidRPr="009F4B5D">
        <w:rPr>
          <w:b w:val="0"/>
        </w:rPr>
        <w:t xml:space="preserve">(right graph). An ‘average’ SSD is fitted to the individual </w:t>
      </w:r>
      <w:r>
        <w:rPr>
          <w:b w:val="0"/>
        </w:rPr>
        <w:t xml:space="preserve">HU scale-SSDs and </w:t>
      </w:r>
      <w:r w:rsidR="00532DFD">
        <w:rPr>
          <w:b w:val="0"/>
        </w:rPr>
        <w:t>the</w:t>
      </w:r>
      <w:r w:rsidRPr="009F4B5D">
        <w:rPr>
          <w:b w:val="0"/>
        </w:rPr>
        <w:t xml:space="preserve"> midpoint (</w:t>
      </w:r>
      <w:r w:rsidRPr="009F4B5D">
        <w:rPr>
          <w:rFonts w:cs="Arial"/>
          <w:b w:val="0"/>
        </w:rPr>
        <w:t>α</w:t>
      </w:r>
      <w:r w:rsidR="00532DFD" w:rsidRPr="00532DFD">
        <w:rPr>
          <w:rFonts w:cs="Arial"/>
          <w:b w:val="0"/>
          <w:vertAlign w:val="subscript"/>
        </w:rPr>
        <w:t>G</w:t>
      </w:r>
      <w:r w:rsidRPr="009F4B5D">
        <w:rPr>
          <w:b w:val="0"/>
        </w:rPr>
        <w:t>) and slope (</w:t>
      </w:r>
      <w:r w:rsidRPr="009F4B5D">
        <w:rPr>
          <w:rFonts w:cs="Arial"/>
          <w:b w:val="0"/>
        </w:rPr>
        <w:t>β</w:t>
      </w:r>
      <w:r w:rsidR="00532DFD" w:rsidRPr="00532DFD">
        <w:rPr>
          <w:rFonts w:cs="Arial"/>
          <w:b w:val="0"/>
          <w:vertAlign w:val="subscript"/>
        </w:rPr>
        <w:t>G</w:t>
      </w:r>
      <w:r w:rsidRPr="009F4B5D">
        <w:rPr>
          <w:b w:val="0"/>
        </w:rPr>
        <w:t xml:space="preserve">) </w:t>
      </w:r>
      <w:r w:rsidR="00532DFD">
        <w:rPr>
          <w:b w:val="0"/>
        </w:rPr>
        <w:t xml:space="preserve">of the global distribution </w:t>
      </w:r>
      <w:r>
        <w:rPr>
          <w:b w:val="0"/>
        </w:rPr>
        <w:t>are determined</w:t>
      </w:r>
      <w:r w:rsidR="00532DFD">
        <w:rPr>
          <w:b w:val="0"/>
        </w:rPr>
        <w:t xml:space="preserve"> in order to calculate PAF for an environmental mixture</w:t>
      </w:r>
      <w:r>
        <w:rPr>
          <w:b w:val="0"/>
        </w:rPr>
        <w:t>.</w:t>
      </w:r>
      <w:bookmarkEnd w:id="719"/>
    </w:p>
    <w:p w14:paraId="25183397" w14:textId="77777777" w:rsidR="00DD0E48" w:rsidRDefault="00DD0E48" w:rsidP="00BD35DC">
      <w:pPr>
        <w:spacing w:before="120" w:after="60" w:line="276" w:lineRule="auto"/>
        <w:ind w:left="567" w:hanging="567"/>
        <w:jc w:val="left"/>
        <w:rPr>
          <w:b/>
          <w:lang w:val="en-AU"/>
        </w:rPr>
      </w:pPr>
    </w:p>
    <w:p w14:paraId="157210F6" w14:textId="17D6C38A" w:rsidR="00F209D3" w:rsidRDefault="00D43CF4" w:rsidP="00BD35DC">
      <w:pPr>
        <w:spacing w:before="120" w:after="60" w:line="276" w:lineRule="auto"/>
        <w:ind w:left="567" w:hanging="567"/>
        <w:jc w:val="left"/>
        <w:rPr>
          <w:b/>
          <w:lang w:val="en-AU"/>
        </w:rPr>
      </w:pPr>
      <w:r>
        <w:rPr>
          <w:b/>
          <w:lang w:val="en-AU"/>
        </w:rPr>
        <w:t>Toxicity thresholds - m</w:t>
      </w:r>
      <w:r w:rsidR="00873883">
        <w:rPr>
          <w:b/>
          <w:lang w:val="en-AU"/>
        </w:rPr>
        <w:t>arine versus freshwater species</w:t>
      </w:r>
    </w:p>
    <w:p w14:paraId="157210F7" w14:textId="03ABCCA3" w:rsidR="00D43CF4" w:rsidRDefault="00873883" w:rsidP="00D43CF4">
      <w:pPr>
        <w:spacing w:line="276" w:lineRule="auto"/>
        <w:rPr>
          <w:lang w:val="en-AU"/>
        </w:rPr>
      </w:pPr>
      <w:r>
        <w:rPr>
          <w:lang w:val="en-AU"/>
        </w:rPr>
        <w:t xml:space="preserve">Proposed guideline values (GVs) for diuron have been published for both freshwater and marine species </w:t>
      </w:r>
      <w:r w:rsidR="00C91BF5">
        <w:rPr>
          <w:lang w:val="en-AU"/>
        </w:rPr>
        <w:fldChar w:fldCharType="begin"/>
      </w:r>
      <w:r w:rsidR="009D4492">
        <w:rPr>
          <w:lang w:val="en-AU"/>
        </w:rPr>
        <w:instrText xml:space="preserve"> ADDIN EN.CITE &lt;EndNote&gt;&lt;Cite&gt;&lt;Author&gt;DSITI&lt;/Author&gt;&lt;Year&gt;2017&lt;/Year&gt;&lt;RecNum&gt;31&lt;/RecNum&gt;&lt;DisplayText&gt;(DSITI, 2017)&lt;/DisplayText&gt;&lt;record&gt;&lt;rec-number&gt;31&lt;/rec-number&gt;&lt;foreign-keys&gt;&lt;key app="EN" db-id="vvtrt2pt4xpx5teta99vvtwg50vzve2aexae" timestamp="1493157361"&gt;31&lt;/key&gt;&lt;/foreign-keys&gt;&lt;ref-type name="Report"&gt;27&lt;/ref-type&gt;&lt;contributors&gt;&lt;authors&gt;&lt;author&gt;DSITI,&lt;/author&gt;&lt;/authors&gt;&lt;/contributors&gt;&lt;titles&gt;&lt;title&gt;Comparison of the proposed ecosystem protection guideline values for diuron in fresh and marine ecosystems with the existing guideline and protective concentration values&lt;/title&gt;&lt;/titles&gt;&lt;pages&gt;9 pp&lt;/pages&gt;&lt;dates&gt;&lt;year&gt;2017&lt;/year&gt;&lt;/dates&gt;&lt;pub-location&gt;Brisbane, Australia&lt;/pub-location&gt;&lt;publisher&gt;Department of Science, Information Technology and Innovation, Water Quality and Investigations&lt;/publisher&gt;&lt;urls&gt;&lt;/urls&gt;&lt;/record&gt;&lt;/Cite&gt;&lt;/EndNote&gt;</w:instrText>
      </w:r>
      <w:r w:rsidR="00C91BF5">
        <w:rPr>
          <w:lang w:val="en-AU"/>
        </w:rPr>
        <w:fldChar w:fldCharType="separate"/>
      </w:r>
      <w:r w:rsidR="009D4492">
        <w:rPr>
          <w:noProof/>
          <w:lang w:val="en-AU"/>
        </w:rPr>
        <w:t>(DSITI, 2017)</w:t>
      </w:r>
      <w:r w:rsidR="00C91BF5">
        <w:rPr>
          <w:lang w:val="en-AU"/>
        </w:rPr>
        <w:fldChar w:fldCharType="end"/>
      </w:r>
      <w:r>
        <w:rPr>
          <w:lang w:val="en-AU"/>
        </w:rPr>
        <w:t>. The marine GV</w:t>
      </w:r>
      <w:r w:rsidR="003E748B">
        <w:rPr>
          <w:lang w:val="en-AU"/>
        </w:rPr>
        <w:t xml:space="preserve"> for protection of 99% of species</w:t>
      </w:r>
      <w:r>
        <w:rPr>
          <w:lang w:val="en-AU"/>
        </w:rPr>
        <w:t>, 430 ng L</w:t>
      </w:r>
      <w:r w:rsidRPr="00873883">
        <w:rPr>
          <w:vertAlign w:val="superscript"/>
          <w:lang w:val="en-AU"/>
        </w:rPr>
        <w:t>-1</w:t>
      </w:r>
      <w:r>
        <w:rPr>
          <w:lang w:val="en-AU"/>
        </w:rPr>
        <w:t xml:space="preserve">, is based on </w:t>
      </w:r>
      <w:r w:rsidR="0061051D">
        <w:rPr>
          <w:lang w:val="en-AU"/>
        </w:rPr>
        <w:t>an SSD including</w:t>
      </w:r>
      <w:r>
        <w:rPr>
          <w:lang w:val="en-AU"/>
        </w:rPr>
        <w:t xml:space="preserve"> </w:t>
      </w:r>
      <w:r w:rsidRPr="00873883">
        <w:rPr>
          <w:lang w:val="en-AU"/>
        </w:rPr>
        <w:t>20 marine species from six phyla and 11 classes</w:t>
      </w:r>
      <w:r>
        <w:rPr>
          <w:lang w:val="en-AU"/>
        </w:rPr>
        <w:t xml:space="preserve"> </w:t>
      </w:r>
      <w:r w:rsidR="00C91BF5">
        <w:rPr>
          <w:lang w:val="en-AU"/>
        </w:rPr>
        <w:fldChar w:fldCharType="begin"/>
      </w:r>
      <w:r w:rsidR="009D4492">
        <w:rPr>
          <w:lang w:val="en-AU"/>
        </w:rPr>
        <w:instrText xml:space="preserve"> ADDIN EN.CITE &lt;EndNote&gt;&lt;Cite&gt;&lt;Author&gt;King&lt;/Author&gt;&lt;Year&gt;2017&lt;/Year&gt;&lt;RecNum&gt;33&lt;/RecNum&gt;&lt;DisplayText&gt;(King et al., 2017a)&lt;/DisplayText&gt;&lt;record&gt;&lt;rec-number&gt;33&lt;/rec-number&gt;&lt;foreign-keys&gt;&lt;key app="EN" db-id="vvtrt2pt4xpx5teta99vvtwg50vzve2aexae" timestamp="1493157363"&gt;33&lt;/key&gt;&lt;/foreign-keys&gt;&lt;ref-type name="Report"&gt;27&lt;/ref-type&gt;&lt;contributors&gt;&lt;authors&gt;&lt;author&gt;King, O.C.&lt;/author&gt;&lt;author&gt;Smith, R.A.&lt;/author&gt;&lt;author&gt;Warne M. St J.&lt;/author&gt;&lt;/authors&gt;&lt;/contributors&gt;&lt;titles&gt;&lt;title&gt;Proposed Default Guideline Values for Toxicants: Diuron – Marine&lt;/title&gt;&lt;/titles&gt;&lt;pages&gt;pp 37 &lt;/pages&gt;&lt;dates&gt;&lt;year&gt;2017&lt;/year&gt;&lt;/dates&gt;&lt;pub-location&gt;Brisbane, Australia&lt;/pub-location&gt;&lt;publisher&gt;Department of Science, Information Technology and Innovation&lt;/publisher&gt;&lt;urls&gt;&lt;/urls&gt;&lt;/record&gt;&lt;/Cite&gt;&lt;/EndNote&gt;</w:instrText>
      </w:r>
      <w:r w:rsidR="00C91BF5">
        <w:rPr>
          <w:lang w:val="en-AU"/>
        </w:rPr>
        <w:fldChar w:fldCharType="separate"/>
      </w:r>
      <w:r w:rsidR="009D4492">
        <w:rPr>
          <w:noProof/>
          <w:lang w:val="en-AU"/>
        </w:rPr>
        <w:t>(King et al., 2017a)</w:t>
      </w:r>
      <w:r w:rsidR="00C91BF5">
        <w:rPr>
          <w:lang w:val="en-AU"/>
        </w:rPr>
        <w:fldChar w:fldCharType="end"/>
      </w:r>
      <w:r>
        <w:rPr>
          <w:lang w:val="en-AU"/>
        </w:rPr>
        <w:t xml:space="preserve">. The </w:t>
      </w:r>
      <w:r w:rsidR="003E748B">
        <w:rPr>
          <w:lang w:val="en-AU"/>
        </w:rPr>
        <w:t xml:space="preserve">equivalent </w:t>
      </w:r>
      <w:r>
        <w:rPr>
          <w:lang w:val="en-AU"/>
        </w:rPr>
        <w:t>proposed freshwater guideline value</w:t>
      </w:r>
      <w:r w:rsidR="00D43CF4">
        <w:rPr>
          <w:lang w:val="en-AU"/>
        </w:rPr>
        <w:t xml:space="preserve">, based on an SSD including </w:t>
      </w:r>
      <w:r w:rsidR="00D43CF4" w:rsidRPr="00D43CF4">
        <w:rPr>
          <w:lang w:val="en-AU"/>
        </w:rPr>
        <w:t>26 freshwater species from four phyla and seven classes</w:t>
      </w:r>
      <w:r w:rsidR="00D43CF4">
        <w:rPr>
          <w:lang w:val="en-AU"/>
        </w:rPr>
        <w:t>,</w:t>
      </w:r>
      <w:r>
        <w:rPr>
          <w:lang w:val="en-AU"/>
        </w:rPr>
        <w:t xml:space="preserve"> is </w:t>
      </w:r>
      <w:r w:rsidR="00532DFD">
        <w:rPr>
          <w:lang w:val="en-AU"/>
        </w:rPr>
        <w:t>approximately</w:t>
      </w:r>
      <w:r w:rsidR="0061051D">
        <w:rPr>
          <w:lang w:val="en-AU"/>
        </w:rPr>
        <w:t xml:space="preserve"> </w:t>
      </w:r>
      <w:r>
        <w:rPr>
          <w:lang w:val="en-AU"/>
        </w:rPr>
        <w:t xml:space="preserve">an order of magnitude lower than the marine </w:t>
      </w:r>
      <w:r w:rsidR="00AB45D5">
        <w:rPr>
          <w:lang w:val="en-AU"/>
        </w:rPr>
        <w:t>value</w:t>
      </w:r>
      <w:r>
        <w:rPr>
          <w:lang w:val="en-AU"/>
        </w:rPr>
        <w:t xml:space="preserve"> </w:t>
      </w:r>
      <w:r w:rsidR="00D43CF4">
        <w:rPr>
          <w:lang w:val="en-AU"/>
        </w:rPr>
        <w:t>at</w:t>
      </w:r>
      <w:r>
        <w:rPr>
          <w:lang w:val="en-AU"/>
        </w:rPr>
        <w:t xml:space="preserve"> </w:t>
      </w:r>
      <w:r w:rsidR="003E748B">
        <w:rPr>
          <w:lang w:val="en-AU"/>
        </w:rPr>
        <w:t>80 ng L</w:t>
      </w:r>
      <w:r w:rsidR="003E748B" w:rsidRPr="00873883">
        <w:rPr>
          <w:vertAlign w:val="superscript"/>
          <w:lang w:val="en-AU"/>
        </w:rPr>
        <w:t>-1</w:t>
      </w:r>
      <w:r w:rsidR="003E748B">
        <w:rPr>
          <w:vertAlign w:val="superscript"/>
          <w:lang w:val="en-AU"/>
        </w:rPr>
        <w:t xml:space="preserve"> </w:t>
      </w:r>
      <w:r w:rsidR="00C91BF5">
        <w:rPr>
          <w:lang w:val="en-AU"/>
        </w:rPr>
        <w:fldChar w:fldCharType="begin"/>
      </w:r>
      <w:r w:rsidR="00F46D77">
        <w:rPr>
          <w:lang w:val="en-AU"/>
        </w:rPr>
        <w:instrText xml:space="preserve"> ADDIN EN.CITE &lt;EndNote&gt;&lt;Cite&gt;&lt;Author&gt;King&lt;/Author&gt;&lt;Year&gt;2017&lt;/Year&gt;&lt;RecNum&gt;94&lt;/RecNum&gt;&lt;DisplayText&gt;(King et al., 2017b)&lt;/DisplayText&gt;&lt;record&gt;&lt;rec-number&gt;94&lt;/rec-number&gt;&lt;foreign-keys&gt;&lt;key app="EN" db-id="vvtrt2pt4xpx5teta99vvtwg50vzve2aexae" timestamp="1493507796"&gt;94&lt;/key&gt;&lt;/foreign-keys&gt;&lt;ref-type name="Report"&gt;27&lt;/ref-type&gt;&lt;contributors&gt;&lt;authors&gt;&lt;author&gt;King, O.C. &lt;/author&gt;&lt;author&gt;Smith, R.A. &lt;/author&gt;&lt;author&gt;Warne, M.St.J. &lt;/author&gt;&lt;/authors&gt;&lt;/contributors&gt;&lt;titles&gt;&lt;title&gt;Proposed default guideline values for the protection of aquatic ecosystems: Diuron – freshwater&lt;/title&gt;&lt;/titles&gt;&lt;pages&gt;pp 58&lt;/pages&gt;&lt;dates&gt;&lt;year&gt;2017&lt;/year&gt;&lt;/dates&gt;&lt;pub-location&gt;Brisbane, Australia&lt;/pub-location&gt;&lt;publisher&gt;Department of Science, Information Technology and Innovation&lt;/publisher&gt;&lt;urls&gt;&lt;/urls&gt;&lt;/record&gt;&lt;/Cite&gt;&lt;/EndNote&gt;</w:instrText>
      </w:r>
      <w:r w:rsidR="00C91BF5">
        <w:rPr>
          <w:lang w:val="en-AU"/>
        </w:rPr>
        <w:fldChar w:fldCharType="separate"/>
      </w:r>
      <w:r w:rsidR="009D4492">
        <w:rPr>
          <w:noProof/>
          <w:lang w:val="en-AU"/>
        </w:rPr>
        <w:t>(King et al., 2017b)</w:t>
      </w:r>
      <w:r w:rsidR="00C91BF5">
        <w:rPr>
          <w:lang w:val="en-AU"/>
        </w:rPr>
        <w:fldChar w:fldCharType="end"/>
      </w:r>
      <w:r w:rsidR="003E748B">
        <w:rPr>
          <w:lang w:val="en-AU"/>
        </w:rPr>
        <w:t xml:space="preserve">. </w:t>
      </w:r>
      <w:r w:rsidR="00BE1A28">
        <w:rPr>
          <w:lang w:val="en-AU"/>
        </w:rPr>
        <w:t>A</w:t>
      </w:r>
      <w:r w:rsidR="00532DFD">
        <w:rPr>
          <w:lang w:val="en-AU"/>
        </w:rPr>
        <w:t>mongst</w:t>
      </w:r>
      <w:r w:rsidR="0061051D">
        <w:rPr>
          <w:lang w:val="en-AU"/>
        </w:rPr>
        <w:t xml:space="preserve"> </w:t>
      </w:r>
      <w:r w:rsidR="00D43CF4">
        <w:rPr>
          <w:lang w:val="en-AU"/>
        </w:rPr>
        <w:t>the other priority PSII herbicid</w:t>
      </w:r>
      <w:r w:rsidR="0061051D">
        <w:rPr>
          <w:lang w:val="en-AU"/>
        </w:rPr>
        <w:t xml:space="preserve">es, the proposed marine GVs for ametryn and hexazinone are </w:t>
      </w:r>
      <w:r w:rsidR="00BE1A28">
        <w:rPr>
          <w:lang w:val="en-AU"/>
        </w:rPr>
        <w:t xml:space="preserve">both </w:t>
      </w:r>
      <w:r w:rsidR="00D43CF4">
        <w:rPr>
          <w:lang w:val="en-AU"/>
        </w:rPr>
        <w:t xml:space="preserve">similarly </w:t>
      </w:r>
      <w:r w:rsidR="0061051D">
        <w:rPr>
          <w:lang w:val="en-AU"/>
        </w:rPr>
        <w:t xml:space="preserve">higher than for freshwater species </w:t>
      </w:r>
      <w:r w:rsidR="00BE1A28">
        <w:rPr>
          <w:lang w:val="en-AU"/>
        </w:rPr>
        <w:t>(</w:t>
      </w:r>
      <w:r w:rsidR="002A77E1">
        <w:fldChar w:fldCharType="begin"/>
      </w:r>
      <w:r w:rsidR="002A77E1">
        <w:instrText xml:space="preserve"> REF _Ref481314698 \h  \* MERGEFORMAT </w:instrText>
      </w:r>
      <w:r w:rsidR="002A77E1">
        <w:fldChar w:fldCharType="separate"/>
      </w:r>
      <w:r w:rsidR="00D12276" w:rsidRPr="00D12276">
        <w:rPr>
          <w:noProof/>
        </w:rPr>
        <w:t>Table 13</w:t>
      </w:r>
      <w:r w:rsidR="002A77E1">
        <w:fldChar w:fldCharType="end"/>
      </w:r>
      <w:r w:rsidR="00BE1A28">
        <w:rPr>
          <w:lang w:val="en-AU"/>
        </w:rPr>
        <w:t>)</w:t>
      </w:r>
      <w:r w:rsidR="0061051D">
        <w:rPr>
          <w:lang w:val="en-AU"/>
        </w:rPr>
        <w:t>. For tebuthiuron, the marine and freshwater</w:t>
      </w:r>
      <w:r w:rsidR="00B06A06">
        <w:rPr>
          <w:lang w:val="en-AU"/>
        </w:rPr>
        <w:t xml:space="preserve"> prop</w:t>
      </w:r>
      <w:r w:rsidR="00F5351E">
        <w:rPr>
          <w:lang w:val="en-AU"/>
        </w:rPr>
        <w:t>o</w:t>
      </w:r>
      <w:r w:rsidR="00B06A06">
        <w:rPr>
          <w:lang w:val="en-AU"/>
        </w:rPr>
        <w:t>sed</w:t>
      </w:r>
      <w:r w:rsidR="0061051D">
        <w:rPr>
          <w:lang w:val="en-AU"/>
        </w:rPr>
        <w:t xml:space="preserve"> GVs are </w:t>
      </w:r>
      <w:r w:rsidR="00DD0E48">
        <w:rPr>
          <w:lang w:val="en-AU"/>
        </w:rPr>
        <w:t>almost identical</w:t>
      </w:r>
      <w:r w:rsidR="0061051D">
        <w:rPr>
          <w:lang w:val="en-AU"/>
        </w:rPr>
        <w:t xml:space="preserve">. </w:t>
      </w:r>
    </w:p>
    <w:p w14:paraId="157210F8" w14:textId="77777777" w:rsidR="00D43CF4" w:rsidRDefault="00D43CF4" w:rsidP="00D43CF4">
      <w:pPr>
        <w:spacing w:line="276" w:lineRule="auto"/>
        <w:rPr>
          <w:lang w:val="en-AU"/>
        </w:rPr>
      </w:pPr>
    </w:p>
    <w:p w14:paraId="157210F9" w14:textId="01B680AD" w:rsidR="00F209D3" w:rsidRDefault="003E748B" w:rsidP="00D43CF4">
      <w:pPr>
        <w:spacing w:line="276" w:lineRule="auto"/>
        <w:rPr>
          <w:lang w:val="en-AU"/>
        </w:rPr>
      </w:pPr>
      <w:r>
        <w:rPr>
          <w:lang w:val="en-AU"/>
        </w:rPr>
        <w:t xml:space="preserve">For the ms-PAF </w:t>
      </w:r>
      <w:r w:rsidR="00DD0E48">
        <w:rPr>
          <w:lang w:val="en-AU"/>
        </w:rPr>
        <w:t>model</w:t>
      </w:r>
      <w:r>
        <w:rPr>
          <w:lang w:val="en-AU"/>
        </w:rPr>
        <w:t xml:space="preserve">, </w:t>
      </w:r>
      <w:r w:rsidRPr="003E748B">
        <w:rPr>
          <w:lang w:val="en-AU"/>
        </w:rPr>
        <w:t xml:space="preserve">marine and freshwater species were combined to generate </w:t>
      </w:r>
      <w:r w:rsidR="00AB45D5">
        <w:rPr>
          <w:lang w:val="en-AU"/>
        </w:rPr>
        <w:t xml:space="preserve">a </w:t>
      </w:r>
      <w:r w:rsidRPr="003E748B">
        <w:rPr>
          <w:lang w:val="en-AU"/>
        </w:rPr>
        <w:t>single SSD</w:t>
      </w:r>
      <w:r w:rsidR="00AB45D5" w:rsidRPr="00AB45D5">
        <w:rPr>
          <w:lang w:val="en-AU"/>
        </w:rPr>
        <w:t xml:space="preserve"> </w:t>
      </w:r>
      <w:r w:rsidR="00AB45D5">
        <w:rPr>
          <w:lang w:val="en-AU"/>
        </w:rPr>
        <w:t xml:space="preserve">for each </w:t>
      </w:r>
      <w:r w:rsidR="00AB45D5" w:rsidRPr="003E748B">
        <w:rPr>
          <w:lang w:val="en-AU"/>
        </w:rPr>
        <w:t>chemical</w:t>
      </w:r>
      <w:r>
        <w:rPr>
          <w:lang w:val="en-AU"/>
        </w:rPr>
        <w:t xml:space="preserve">. </w:t>
      </w:r>
      <w:r w:rsidR="00AB45D5">
        <w:rPr>
          <w:lang w:val="en-AU"/>
        </w:rPr>
        <w:t>Thus,</w:t>
      </w:r>
      <w:r>
        <w:rPr>
          <w:lang w:val="en-AU"/>
        </w:rPr>
        <w:t xml:space="preserve"> </w:t>
      </w:r>
      <w:r w:rsidR="00AB45D5">
        <w:rPr>
          <w:lang w:val="en-AU"/>
        </w:rPr>
        <w:t xml:space="preserve">for diuron, for example, </w:t>
      </w:r>
      <w:r>
        <w:rPr>
          <w:lang w:val="en-AU"/>
        </w:rPr>
        <w:t xml:space="preserve">the concentration determined using the ms-PAF model </w:t>
      </w:r>
      <w:r w:rsidR="00AB45D5">
        <w:rPr>
          <w:lang w:val="en-AU"/>
        </w:rPr>
        <w:t>that would result in</w:t>
      </w:r>
      <w:r>
        <w:rPr>
          <w:lang w:val="en-AU"/>
        </w:rPr>
        <w:t xml:space="preserve"> a PAF of 1% (</w:t>
      </w:r>
      <w:r w:rsidR="00D43CF4">
        <w:rPr>
          <w:lang w:val="en-AU"/>
        </w:rPr>
        <w:t>i.e.</w:t>
      </w:r>
      <w:r>
        <w:rPr>
          <w:lang w:val="en-AU"/>
        </w:rPr>
        <w:t xml:space="preserve"> PC99</w:t>
      </w:r>
      <w:r w:rsidR="008B1FD7">
        <w:rPr>
          <w:lang w:val="en-AU"/>
        </w:rPr>
        <w:t>, 46 ng L</w:t>
      </w:r>
      <w:r w:rsidR="008B1FD7" w:rsidRPr="008B1FD7">
        <w:rPr>
          <w:vertAlign w:val="superscript"/>
          <w:lang w:val="en-AU"/>
        </w:rPr>
        <w:t>-1</w:t>
      </w:r>
      <w:r w:rsidR="008B1FD7">
        <w:rPr>
          <w:lang w:val="en-AU"/>
        </w:rPr>
        <w:t xml:space="preserve">, </w:t>
      </w:r>
      <w:r w:rsidR="008B1FD7">
        <w:fldChar w:fldCharType="begin"/>
      </w:r>
      <w:r w:rsidR="008B1FD7">
        <w:instrText xml:space="preserve"> REF _Ref481314698 \h  \* MERGEFORMAT </w:instrText>
      </w:r>
      <w:r w:rsidR="008B1FD7">
        <w:fldChar w:fldCharType="separate"/>
      </w:r>
      <w:r w:rsidR="00D12276" w:rsidRPr="00D12276">
        <w:rPr>
          <w:noProof/>
        </w:rPr>
        <w:t>Table 13</w:t>
      </w:r>
      <w:r w:rsidR="008B1FD7">
        <w:fldChar w:fldCharType="end"/>
      </w:r>
      <w:r>
        <w:rPr>
          <w:lang w:val="en-AU"/>
        </w:rPr>
        <w:t xml:space="preserve">) will be </w:t>
      </w:r>
      <w:r w:rsidR="00B3617A">
        <w:rPr>
          <w:lang w:val="en-AU"/>
        </w:rPr>
        <w:t>different to</w:t>
      </w:r>
      <w:r>
        <w:rPr>
          <w:lang w:val="en-AU"/>
        </w:rPr>
        <w:t xml:space="preserve"> the marine GV of 430 ng L</w:t>
      </w:r>
      <w:r w:rsidRPr="00873883">
        <w:rPr>
          <w:vertAlign w:val="superscript"/>
          <w:lang w:val="en-AU"/>
        </w:rPr>
        <w:t>-1</w:t>
      </w:r>
      <w:r w:rsidR="00B3617A">
        <w:rPr>
          <w:vertAlign w:val="subscript"/>
          <w:lang w:val="en-AU"/>
        </w:rPr>
        <w:t xml:space="preserve"> </w:t>
      </w:r>
      <w:r w:rsidR="00D80E10" w:rsidRPr="00D80E10">
        <w:rPr>
          <w:lang w:val="en-AU"/>
        </w:rPr>
        <w:t>(</w:t>
      </w:r>
      <w:r w:rsidR="00AB45D5">
        <w:rPr>
          <w:lang w:val="en-AU"/>
        </w:rPr>
        <w:t>considered</w:t>
      </w:r>
      <w:r w:rsidR="00D80E10" w:rsidRPr="00D80E10">
        <w:rPr>
          <w:lang w:val="en-AU"/>
        </w:rPr>
        <w:t xml:space="preserve"> </w:t>
      </w:r>
      <w:r w:rsidR="00D80E10">
        <w:rPr>
          <w:lang w:val="en-AU"/>
        </w:rPr>
        <w:t xml:space="preserve">protective of 1% of </w:t>
      </w:r>
      <w:r w:rsidR="00AB45D5">
        <w:rPr>
          <w:lang w:val="en-AU"/>
        </w:rPr>
        <w:t xml:space="preserve">marine </w:t>
      </w:r>
      <w:r w:rsidR="00D80E10">
        <w:rPr>
          <w:lang w:val="en-AU"/>
        </w:rPr>
        <w:t>species)</w:t>
      </w:r>
      <w:r w:rsidR="00AB45D5">
        <w:rPr>
          <w:lang w:val="en-AU"/>
        </w:rPr>
        <w:t>.</w:t>
      </w:r>
      <w:r w:rsidR="00D80E10">
        <w:rPr>
          <w:lang w:val="en-AU"/>
        </w:rPr>
        <w:t xml:space="preserve"> </w:t>
      </w:r>
      <w:r w:rsidR="008B1FD7">
        <w:rPr>
          <w:lang w:val="en-AU"/>
        </w:rPr>
        <w:t>For diuron, th</w:t>
      </w:r>
      <w:r w:rsidR="00F5351E">
        <w:rPr>
          <w:lang w:val="en-AU"/>
        </w:rPr>
        <w:t xml:space="preserve">e </w:t>
      </w:r>
      <w:r w:rsidR="00D43CF4">
        <w:rPr>
          <w:lang w:val="en-AU"/>
        </w:rPr>
        <w:t xml:space="preserve">ms-PAF model PC99 </w:t>
      </w:r>
      <w:r w:rsidR="00AB45D5">
        <w:rPr>
          <w:lang w:val="en-AU"/>
        </w:rPr>
        <w:t>is</w:t>
      </w:r>
      <w:r w:rsidR="00D43CF4">
        <w:rPr>
          <w:lang w:val="en-AU"/>
        </w:rPr>
        <w:t xml:space="preserve"> lower than the</w:t>
      </w:r>
      <w:r w:rsidR="00ED6FE7">
        <w:rPr>
          <w:lang w:val="en-AU"/>
        </w:rPr>
        <w:t xml:space="preserve"> marine</w:t>
      </w:r>
      <w:r w:rsidR="00D43CF4">
        <w:rPr>
          <w:lang w:val="en-AU"/>
        </w:rPr>
        <w:t xml:space="preserve"> GV</w:t>
      </w:r>
      <w:r w:rsidR="00ED6FE7">
        <w:rPr>
          <w:lang w:val="en-AU"/>
        </w:rPr>
        <w:t xml:space="preserve"> as it includes more sensitive </w:t>
      </w:r>
      <w:r w:rsidR="00F5351E">
        <w:rPr>
          <w:lang w:val="en-AU"/>
        </w:rPr>
        <w:t>freshwater species</w:t>
      </w:r>
      <w:r w:rsidR="00B3617A" w:rsidRPr="00B3617A">
        <w:rPr>
          <w:lang w:val="en-AU"/>
        </w:rPr>
        <w:t>.</w:t>
      </w:r>
      <w:r w:rsidR="00B3617A">
        <w:rPr>
          <w:lang w:val="en-AU"/>
        </w:rPr>
        <w:t xml:space="preserve"> </w:t>
      </w:r>
      <w:r w:rsidR="00F5351E">
        <w:rPr>
          <w:lang w:val="en-AU"/>
        </w:rPr>
        <w:t>Inclusion of</w:t>
      </w:r>
      <w:r w:rsidR="00B3617A">
        <w:rPr>
          <w:lang w:val="en-AU"/>
        </w:rPr>
        <w:t xml:space="preserve"> both marine and freshwater species </w:t>
      </w:r>
      <w:r w:rsidR="00F5351E">
        <w:rPr>
          <w:lang w:val="en-AU"/>
        </w:rPr>
        <w:t>generates more robust SSDs for the ms-PAF model as</w:t>
      </w:r>
      <w:r w:rsidR="00B3617A">
        <w:rPr>
          <w:lang w:val="en-AU"/>
        </w:rPr>
        <w:t xml:space="preserve"> ecotoxicity data for marine species are often lacking</w:t>
      </w:r>
      <w:r w:rsidR="00F5351E">
        <w:rPr>
          <w:lang w:val="en-AU"/>
        </w:rPr>
        <w:t xml:space="preserve">. Furthermore, </w:t>
      </w:r>
      <w:r w:rsidR="00B3617A">
        <w:rPr>
          <w:lang w:val="en-AU"/>
        </w:rPr>
        <w:t>the ms-PAF approach developed to date is intended for risk assessment of annual end-of-catchment pesticide loads w</w:t>
      </w:r>
      <w:r w:rsidR="0061051D">
        <w:rPr>
          <w:lang w:val="en-AU"/>
        </w:rPr>
        <w:t>hich relate</w:t>
      </w:r>
      <w:r w:rsidR="00B3617A">
        <w:rPr>
          <w:lang w:val="en-AU"/>
        </w:rPr>
        <w:t xml:space="preserve"> to </w:t>
      </w:r>
      <w:r w:rsidR="00F5351E">
        <w:rPr>
          <w:lang w:val="en-AU"/>
        </w:rPr>
        <w:t xml:space="preserve">variably </w:t>
      </w:r>
      <w:r w:rsidR="00B3617A">
        <w:rPr>
          <w:lang w:val="en-AU"/>
        </w:rPr>
        <w:t xml:space="preserve">freshwater, mixed estuarine, and marine </w:t>
      </w:r>
      <w:r w:rsidR="00F5351E">
        <w:rPr>
          <w:lang w:val="en-AU"/>
        </w:rPr>
        <w:t>waters</w:t>
      </w:r>
      <w:r w:rsidR="0061051D">
        <w:rPr>
          <w:lang w:val="en-AU"/>
        </w:rPr>
        <w:t xml:space="preserve"> and therefore inclusion of fresh and marine species is </w:t>
      </w:r>
      <w:r w:rsidR="00FA77AD">
        <w:rPr>
          <w:lang w:val="en-AU"/>
        </w:rPr>
        <w:t xml:space="preserve">considered </w:t>
      </w:r>
      <w:r w:rsidR="0061051D">
        <w:rPr>
          <w:lang w:val="en-AU"/>
        </w:rPr>
        <w:t xml:space="preserve">relevant </w:t>
      </w:r>
      <w:r w:rsidR="00F5351E">
        <w:rPr>
          <w:lang w:val="en-AU"/>
        </w:rPr>
        <w:t>across</w:t>
      </w:r>
      <w:r w:rsidR="0061051D">
        <w:rPr>
          <w:lang w:val="en-AU"/>
        </w:rPr>
        <w:t xml:space="preserve"> these environments</w:t>
      </w:r>
      <w:r w:rsidR="00B3617A">
        <w:rPr>
          <w:lang w:val="en-AU"/>
        </w:rPr>
        <w:t xml:space="preserve">. </w:t>
      </w:r>
      <w:r w:rsidR="0061051D">
        <w:rPr>
          <w:lang w:val="en-AU"/>
        </w:rPr>
        <w:t>If the current ms-PAF model is to be used to determine the ecological risk of pesticides in the nearshore marine environment</w:t>
      </w:r>
      <w:r w:rsidR="008B1FD7">
        <w:rPr>
          <w:lang w:val="en-AU"/>
        </w:rPr>
        <w:t>s</w:t>
      </w:r>
      <w:r w:rsidR="0061051D">
        <w:rPr>
          <w:lang w:val="en-AU"/>
        </w:rPr>
        <w:t xml:space="preserve">, </w:t>
      </w:r>
      <w:r w:rsidR="00535A0D">
        <w:rPr>
          <w:lang w:val="en-AU"/>
        </w:rPr>
        <w:t xml:space="preserve">careful consideration of the PC99 (and other </w:t>
      </w:r>
      <w:r w:rsidR="00D80E10" w:rsidRPr="00D80E10">
        <w:rPr>
          <w:lang w:val="en-AU"/>
        </w:rPr>
        <w:t xml:space="preserve">ANZECC and ARMCANZ </w:t>
      </w:r>
      <w:r w:rsidR="00535A0D">
        <w:rPr>
          <w:lang w:val="en-AU"/>
        </w:rPr>
        <w:t xml:space="preserve">risk categories, PC95, PC90 and PC80) between the marine GVs (based on marine species and used to identify guideline exceedances in this report, see section </w:t>
      </w:r>
      <w:r w:rsidR="00C91BF5">
        <w:rPr>
          <w:lang w:val="en-AU"/>
        </w:rPr>
        <w:fldChar w:fldCharType="begin"/>
      </w:r>
      <w:r w:rsidR="00535A0D">
        <w:rPr>
          <w:lang w:val="en-AU"/>
        </w:rPr>
        <w:instrText xml:space="preserve"> REF _Ref481309395 \n \h </w:instrText>
      </w:r>
      <w:r w:rsidR="00C91BF5">
        <w:rPr>
          <w:lang w:val="en-AU"/>
        </w:rPr>
      </w:r>
      <w:r w:rsidR="00C91BF5">
        <w:rPr>
          <w:lang w:val="en-AU"/>
        </w:rPr>
        <w:fldChar w:fldCharType="separate"/>
      </w:r>
      <w:r w:rsidR="00D12276">
        <w:rPr>
          <w:lang w:val="en-AU"/>
        </w:rPr>
        <w:t>4.2.2.3</w:t>
      </w:r>
      <w:r w:rsidR="00C91BF5">
        <w:rPr>
          <w:lang w:val="en-AU"/>
        </w:rPr>
        <w:fldChar w:fldCharType="end"/>
      </w:r>
      <w:r w:rsidR="00535A0D">
        <w:rPr>
          <w:lang w:val="en-AU"/>
        </w:rPr>
        <w:t xml:space="preserve"> above) and the ms-PAF model (based on fresh </w:t>
      </w:r>
      <w:r w:rsidR="00F974B4">
        <w:rPr>
          <w:lang w:val="en-AU"/>
        </w:rPr>
        <w:t xml:space="preserve">water </w:t>
      </w:r>
      <w:r w:rsidR="00535A0D">
        <w:rPr>
          <w:lang w:val="en-AU"/>
        </w:rPr>
        <w:t>and marine species and a lower</w:t>
      </w:r>
      <w:r w:rsidR="00FA77AD">
        <w:rPr>
          <w:lang w:val="en-AU"/>
        </w:rPr>
        <w:t>, more conservative</w:t>
      </w:r>
      <w:r w:rsidR="00535A0D">
        <w:rPr>
          <w:lang w:val="en-AU"/>
        </w:rPr>
        <w:t xml:space="preserve"> threshold value</w:t>
      </w:r>
      <w:r w:rsidR="00D80E10">
        <w:rPr>
          <w:lang w:val="en-AU"/>
        </w:rPr>
        <w:t xml:space="preserve"> than for marine species alone</w:t>
      </w:r>
      <w:r w:rsidR="00DD0E48">
        <w:rPr>
          <w:lang w:val="en-AU"/>
        </w:rPr>
        <w:t xml:space="preserve"> (</w:t>
      </w:r>
      <w:r w:rsidR="00DD0E48">
        <w:fldChar w:fldCharType="begin"/>
      </w:r>
      <w:r w:rsidR="00DD0E48">
        <w:instrText xml:space="preserve"> REF _Ref481314698 \h  \* MERGEFORMAT </w:instrText>
      </w:r>
      <w:r w:rsidR="00DD0E48">
        <w:fldChar w:fldCharType="separate"/>
      </w:r>
      <w:r w:rsidR="00D12276" w:rsidRPr="00D12276">
        <w:rPr>
          <w:noProof/>
        </w:rPr>
        <w:t>Table 13</w:t>
      </w:r>
      <w:r w:rsidR="00DD0E48">
        <w:fldChar w:fldCharType="end"/>
      </w:r>
      <w:r w:rsidR="00DD0E48">
        <w:t>)</w:t>
      </w:r>
      <w:r w:rsidR="00535A0D">
        <w:rPr>
          <w:lang w:val="en-AU"/>
        </w:rPr>
        <w:t xml:space="preserve">) must be </w:t>
      </w:r>
      <w:r w:rsidR="00D80E10">
        <w:rPr>
          <w:lang w:val="en-AU"/>
        </w:rPr>
        <w:t>undertaken</w:t>
      </w:r>
      <w:r w:rsidR="00535A0D">
        <w:rPr>
          <w:lang w:val="en-AU"/>
        </w:rPr>
        <w:t xml:space="preserve">. </w:t>
      </w:r>
      <w:r w:rsidR="00B3617A">
        <w:rPr>
          <w:lang w:val="en-AU"/>
        </w:rPr>
        <w:t>This is discussed further below in the context of the results presented in this case study.</w:t>
      </w:r>
    </w:p>
    <w:p w14:paraId="5173300F" w14:textId="77777777" w:rsidR="00DD0E48" w:rsidRDefault="00DD0E48" w:rsidP="00D43CF4">
      <w:pPr>
        <w:spacing w:line="276" w:lineRule="auto"/>
        <w:rPr>
          <w:lang w:val="en-AU"/>
        </w:rPr>
      </w:pPr>
    </w:p>
    <w:p w14:paraId="71D8116A" w14:textId="77777777" w:rsidR="00DD0E48" w:rsidRPr="005A0B5D" w:rsidRDefault="00DD0E48" w:rsidP="00DD0E48">
      <w:pPr>
        <w:spacing w:line="276" w:lineRule="auto"/>
        <w:rPr>
          <w:bCs/>
          <w:sz w:val="18"/>
          <w:szCs w:val="18"/>
        </w:rPr>
      </w:pPr>
      <w:bookmarkStart w:id="720" w:name="_Ref481314698"/>
      <w:bookmarkStart w:id="721" w:name="_Toc502499871"/>
      <w:r w:rsidRPr="005A0B5D">
        <w:rPr>
          <w:bCs/>
          <w:sz w:val="18"/>
          <w:szCs w:val="18"/>
        </w:rPr>
        <w:t xml:space="preserve">Table </w:t>
      </w:r>
      <w:r w:rsidRPr="005A0B5D">
        <w:rPr>
          <w:bCs/>
          <w:sz w:val="18"/>
          <w:szCs w:val="18"/>
        </w:rPr>
        <w:fldChar w:fldCharType="begin"/>
      </w:r>
      <w:r w:rsidRPr="005A0B5D">
        <w:rPr>
          <w:bCs/>
          <w:sz w:val="18"/>
          <w:szCs w:val="18"/>
        </w:rPr>
        <w:instrText xml:space="preserve"> SEQ Table \* ARABIC </w:instrText>
      </w:r>
      <w:r w:rsidRPr="005A0B5D">
        <w:rPr>
          <w:bCs/>
          <w:sz w:val="18"/>
          <w:szCs w:val="18"/>
        </w:rPr>
        <w:fldChar w:fldCharType="separate"/>
      </w:r>
      <w:r w:rsidR="00D12276">
        <w:rPr>
          <w:bCs/>
          <w:noProof/>
          <w:sz w:val="18"/>
          <w:szCs w:val="18"/>
        </w:rPr>
        <w:t>13</w:t>
      </w:r>
      <w:r w:rsidRPr="005A0B5D">
        <w:rPr>
          <w:bCs/>
          <w:sz w:val="18"/>
          <w:szCs w:val="18"/>
        </w:rPr>
        <w:fldChar w:fldCharType="end"/>
      </w:r>
      <w:bookmarkEnd w:id="720"/>
      <w:r w:rsidRPr="005A0B5D">
        <w:rPr>
          <w:bCs/>
          <w:sz w:val="18"/>
          <w:szCs w:val="18"/>
        </w:rPr>
        <w:t xml:space="preserve">: </w:t>
      </w:r>
      <w:r>
        <w:rPr>
          <w:bCs/>
          <w:sz w:val="18"/>
          <w:szCs w:val="18"/>
        </w:rPr>
        <w:t>Proposed guideline values compared to PC99 values using the ms-PAF model for the five priority PSII herbicides.</w:t>
      </w:r>
      <w:bookmarkEnd w:id="721"/>
    </w:p>
    <w:p w14:paraId="0920F2F1" w14:textId="77777777" w:rsidR="00DD0E48" w:rsidRDefault="00DD0E48" w:rsidP="00DD0E48">
      <w:pPr>
        <w:spacing w:before="120" w:after="60" w:line="276" w:lineRule="auto"/>
        <w:rPr>
          <w:lang w:val="en-AU"/>
        </w:rPr>
      </w:pPr>
      <w:r w:rsidRPr="00A96AAF">
        <w:rPr>
          <w:noProof/>
          <w:lang w:val="en-AU" w:eastAsia="en-AU" w:bidi="ar-SA"/>
        </w:rPr>
        <w:drawing>
          <wp:inline distT="0" distB="0" distL="0" distR="0" wp14:anchorId="5014BC86" wp14:editId="46914AA1">
            <wp:extent cx="6646545" cy="3149669"/>
            <wp:effectExtent l="0" t="0" r="1905" b="0"/>
            <wp:docPr id="10" name="Picture 10" descr="Table 13: Proposed guideline values compared to PC99 values using the ms-PAF model for the five priority PSII herbicid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646545" cy="3149669"/>
                    </a:xfrm>
                    <a:prstGeom prst="rect">
                      <a:avLst/>
                    </a:prstGeom>
                    <a:noFill/>
                    <a:ln>
                      <a:noFill/>
                    </a:ln>
                  </pic:spPr>
                </pic:pic>
              </a:graphicData>
            </a:graphic>
          </wp:inline>
        </w:drawing>
      </w:r>
    </w:p>
    <w:p w14:paraId="713BBA1B" w14:textId="77777777" w:rsidR="00AB45D5" w:rsidRPr="00B3617A" w:rsidRDefault="00AB45D5" w:rsidP="00D43CF4">
      <w:pPr>
        <w:spacing w:line="276" w:lineRule="auto"/>
        <w:rPr>
          <w:lang w:val="en-AU"/>
        </w:rPr>
      </w:pPr>
    </w:p>
    <w:p w14:paraId="157210FA" w14:textId="77777777" w:rsidR="00BD35DC" w:rsidRPr="00E20CE8" w:rsidRDefault="00BD35DC" w:rsidP="00DD0E48">
      <w:pPr>
        <w:spacing w:after="60" w:line="276" w:lineRule="auto"/>
        <w:ind w:left="567" w:hanging="567"/>
        <w:jc w:val="left"/>
        <w:rPr>
          <w:b/>
          <w:lang w:val="en-AU"/>
        </w:rPr>
      </w:pPr>
      <w:r w:rsidRPr="00E20CE8">
        <w:rPr>
          <w:b/>
          <w:lang w:val="en-AU"/>
        </w:rPr>
        <w:t>Results</w:t>
      </w:r>
      <w:r w:rsidR="00E67935">
        <w:rPr>
          <w:b/>
          <w:lang w:val="en-AU"/>
        </w:rPr>
        <w:t xml:space="preserve">: </w:t>
      </w:r>
      <w:r w:rsidR="00EC4A3E" w:rsidRPr="00E67935">
        <w:rPr>
          <w:b/>
          <w:lang w:val="en-AU"/>
        </w:rPr>
        <w:t>Comparison of ms-PAF risk categories</w:t>
      </w:r>
      <w:r w:rsidR="00EC4A3E">
        <w:rPr>
          <w:b/>
          <w:lang w:val="en-AU"/>
        </w:rPr>
        <w:t>,</w:t>
      </w:r>
      <w:r w:rsidR="00EC4A3E" w:rsidRPr="00E67935">
        <w:rPr>
          <w:b/>
          <w:lang w:val="en-AU"/>
        </w:rPr>
        <w:t xml:space="preserve"> PSII-HEq </w:t>
      </w:r>
      <w:r w:rsidR="00EC4A3E">
        <w:rPr>
          <w:b/>
          <w:lang w:val="en-AU"/>
        </w:rPr>
        <w:t>Index and Proposed GVs</w:t>
      </w:r>
    </w:p>
    <w:p w14:paraId="157210FB" w14:textId="78143A90" w:rsidR="00A46573" w:rsidRDefault="00C043FE" w:rsidP="00C0274C">
      <w:pPr>
        <w:spacing w:line="276" w:lineRule="auto"/>
        <w:rPr>
          <w:lang w:val="en-AU"/>
        </w:rPr>
      </w:pPr>
      <w:r>
        <w:rPr>
          <w:lang w:val="en-AU"/>
        </w:rPr>
        <w:t>The</w:t>
      </w:r>
      <w:r w:rsidR="008F61D4">
        <w:rPr>
          <w:lang w:val="en-AU"/>
        </w:rPr>
        <w:t xml:space="preserve"> concentrations </w:t>
      </w:r>
      <w:r w:rsidR="00D80E10">
        <w:rPr>
          <w:lang w:val="en-AU"/>
        </w:rPr>
        <w:t>that would result in</w:t>
      </w:r>
      <w:r w:rsidR="006175B4">
        <w:rPr>
          <w:lang w:val="en-AU"/>
        </w:rPr>
        <w:t xml:space="preserve"> 1, 5, 10</w:t>
      </w:r>
      <w:r w:rsidR="008F61D4">
        <w:rPr>
          <w:lang w:val="en-AU"/>
        </w:rPr>
        <w:t xml:space="preserve"> and 20% potentially affected fraction of species, i.e. </w:t>
      </w:r>
      <w:r w:rsidR="00D80E10">
        <w:rPr>
          <w:lang w:val="en-AU"/>
        </w:rPr>
        <w:t xml:space="preserve">the </w:t>
      </w:r>
      <w:r w:rsidR="008F61D4">
        <w:rPr>
          <w:lang w:val="en-AU"/>
        </w:rPr>
        <w:t>PC99, PC95, PC90 and PC80</w:t>
      </w:r>
      <w:r>
        <w:rPr>
          <w:lang w:val="en-AU"/>
        </w:rPr>
        <w:t xml:space="preserve"> </w:t>
      </w:r>
      <w:r w:rsidR="006175B4">
        <w:rPr>
          <w:lang w:val="en-AU"/>
        </w:rPr>
        <w:t>ANZECC</w:t>
      </w:r>
      <w:r w:rsidRPr="00C043FE">
        <w:rPr>
          <w:lang w:val="en-AU"/>
        </w:rPr>
        <w:t xml:space="preserve">ARMCANZ </w:t>
      </w:r>
      <w:r>
        <w:rPr>
          <w:lang w:val="en-AU"/>
        </w:rPr>
        <w:t xml:space="preserve">risk category thresholds, </w:t>
      </w:r>
      <w:r w:rsidR="008F61D4">
        <w:rPr>
          <w:lang w:val="en-AU"/>
        </w:rPr>
        <w:t>were determined using the ms-PAF model</w:t>
      </w:r>
      <w:r w:rsidR="00D80E10">
        <w:rPr>
          <w:lang w:val="en-AU"/>
        </w:rPr>
        <w:t xml:space="preserve"> for the five priority PSII herbicides</w:t>
      </w:r>
      <w:r w:rsidR="00DD0E48">
        <w:rPr>
          <w:lang w:val="en-AU"/>
        </w:rPr>
        <w:t xml:space="preserve"> </w:t>
      </w:r>
      <w:r w:rsidR="00DD0E48" w:rsidRPr="00A46573">
        <w:rPr>
          <w:lang w:val="en-AU"/>
        </w:rPr>
        <w:t>(</w:t>
      </w:r>
      <w:r w:rsidR="00DD0E48">
        <w:fldChar w:fldCharType="begin"/>
      </w:r>
      <w:r w:rsidR="00DD0E48">
        <w:instrText xml:space="preserve"> REF _Ref481314698 \h  \* MERGEFORMAT </w:instrText>
      </w:r>
      <w:r w:rsidR="00DD0E48">
        <w:fldChar w:fldCharType="separate"/>
      </w:r>
      <w:r w:rsidR="00D12276" w:rsidRPr="00D12276">
        <w:rPr>
          <w:noProof/>
        </w:rPr>
        <w:t>Table 13</w:t>
      </w:r>
      <w:r w:rsidR="00DD0E48">
        <w:fldChar w:fldCharType="end"/>
      </w:r>
      <w:r w:rsidR="00DD0E48">
        <w:rPr>
          <w:lang w:val="en-AU"/>
        </w:rPr>
        <w:t>)</w:t>
      </w:r>
      <w:r w:rsidR="008F61D4">
        <w:rPr>
          <w:lang w:val="en-AU"/>
        </w:rPr>
        <w:t>. This allows direct comparison between the PAF risk categories (PC99 is relevant to the Reef</w:t>
      </w:r>
      <w:r w:rsidR="006175B4">
        <w:rPr>
          <w:lang w:val="en-AU"/>
        </w:rPr>
        <w:t>) and</w:t>
      </w:r>
      <w:r w:rsidR="008F61D4">
        <w:rPr>
          <w:lang w:val="en-AU"/>
        </w:rPr>
        <w:t xml:space="preserve"> the PSII </w:t>
      </w:r>
      <w:r w:rsidR="008B1FD7">
        <w:rPr>
          <w:lang w:val="en-AU"/>
        </w:rPr>
        <w:t>H</w:t>
      </w:r>
      <w:r w:rsidR="008F61D4">
        <w:rPr>
          <w:lang w:val="en-AU"/>
        </w:rPr>
        <w:t xml:space="preserve">erbicide </w:t>
      </w:r>
      <w:r w:rsidR="008B1FD7">
        <w:rPr>
          <w:lang w:val="en-AU"/>
        </w:rPr>
        <w:t>E</w:t>
      </w:r>
      <w:r w:rsidR="008F61D4">
        <w:rPr>
          <w:lang w:val="en-AU"/>
        </w:rPr>
        <w:t xml:space="preserve">quivalence </w:t>
      </w:r>
      <w:r w:rsidR="008B1FD7">
        <w:rPr>
          <w:lang w:val="en-AU"/>
        </w:rPr>
        <w:t xml:space="preserve">(HEq) </w:t>
      </w:r>
      <w:r w:rsidR="008F61D4">
        <w:rPr>
          <w:lang w:val="en-AU"/>
        </w:rPr>
        <w:t>Index</w:t>
      </w:r>
      <w:r w:rsidR="00CC218A">
        <w:rPr>
          <w:lang w:val="en-AU"/>
        </w:rPr>
        <w:t xml:space="preserve"> (used in the current and previous pesticide monitoring reports)</w:t>
      </w:r>
      <w:r w:rsidR="008F61D4">
        <w:rPr>
          <w:lang w:val="en-AU"/>
        </w:rPr>
        <w:t xml:space="preserve">. </w:t>
      </w:r>
      <w:r w:rsidR="00A46573">
        <w:rPr>
          <w:lang w:val="en-AU"/>
        </w:rPr>
        <w:t xml:space="preserve">Using the </w:t>
      </w:r>
      <w:r w:rsidR="00E67935">
        <w:rPr>
          <w:lang w:val="en-AU"/>
        </w:rPr>
        <w:t>ms-PAF model</w:t>
      </w:r>
      <w:r w:rsidR="00CC218A">
        <w:rPr>
          <w:lang w:val="en-AU"/>
        </w:rPr>
        <w:t>, the PC99 concentration</w:t>
      </w:r>
      <w:r w:rsidR="00A46573">
        <w:rPr>
          <w:lang w:val="en-AU"/>
        </w:rPr>
        <w:t>s</w:t>
      </w:r>
      <w:r w:rsidR="00CC218A">
        <w:rPr>
          <w:lang w:val="en-AU"/>
        </w:rPr>
        <w:t xml:space="preserve"> w</w:t>
      </w:r>
      <w:r w:rsidR="00A46573">
        <w:rPr>
          <w:lang w:val="en-AU"/>
        </w:rPr>
        <w:t>ere</w:t>
      </w:r>
      <w:r w:rsidR="00CC218A">
        <w:rPr>
          <w:lang w:val="en-AU"/>
        </w:rPr>
        <w:t xml:space="preserve"> 46 ng L</w:t>
      </w:r>
      <w:r w:rsidR="00CC218A" w:rsidRPr="00CC218A">
        <w:rPr>
          <w:vertAlign w:val="superscript"/>
          <w:lang w:val="en-AU"/>
        </w:rPr>
        <w:t>-1</w:t>
      </w:r>
      <w:r w:rsidR="00A46573" w:rsidRPr="00A46573">
        <w:rPr>
          <w:lang w:val="en-AU"/>
        </w:rPr>
        <w:t xml:space="preserve"> </w:t>
      </w:r>
      <w:r w:rsidR="00E67935">
        <w:rPr>
          <w:lang w:val="en-AU"/>
        </w:rPr>
        <w:t>(</w:t>
      </w:r>
      <w:r w:rsidR="00A46573">
        <w:rPr>
          <w:lang w:val="en-AU"/>
        </w:rPr>
        <w:t>diuron</w:t>
      </w:r>
      <w:r w:rsidR="00E67935">
        <w:rPr>
          <w:lang w:val="en-AU"/>
        </w:rPr>
        <w:t>)</w:t>
      </w:r>
      <w:r w:rsidR="00A46573">
        <w:rPr>
          <w:lang w:val="en-AU"/>
        </w:rPr>
        <w:t>, 39 ng L</w:t>
      </w:r>
      <w:r w:rsidR="00A46573" w:rsidRPr="00CC218A">
        <w:rPr>
          <w:vertAlign w:val="superscript"/>
          <w:lang w:val="en-AU"/>
        </w:rPr>
        <w:t>-1</w:t>
      </w:r>
      <w:r w:rsidR="00E67935">
        <w:rPr>
          <w:lang w:val="en-AU"/>
        </w:rPr>
        <w:t xml:space="preserve"> (</w:t>
      </w:r>
      <w:r w:rsidR="00A46573">
        <w:rPr>
          <w:lang w:val="en-AU"/>
        </w:rPr>
        <w:t>ametryn</w:t>
      </w:r>
      <w:r w:rsidR="00E67935">
        <w:rPr>
          <w:lang w:val="en-AU"/>
        </w:rPr>
        <w:t xml:space="preserve">), </w:t>
      </w:r>
      <w:r w:rsidR="00CC218A">
        <w:rPr>
          <w:lang w:val="en-AU"/>
        </w:rPr>
        <w:t>29</w:t>
      </w:r>
      <w:r w:rsidR="006900CE">
        <w:rPr>
          <w:lang w:val="en-AU"/>
        </w:rPr>
        <w:t>5</w:t>
      </w:r>
      <w:r w:rsidR="00CC218A">
        <w:rPr>
          <w:lang w:val="en-AU"/>
        </w:rPr>
        <w:t xml:space="preserve"> ng L</w:t>
      </w:r>
      <w:r w:rsidR="00CC218A" w:rsidRPr="00CC218A">
        <w:rPr>
          <w:vertAlign w:val="superscript"/>
          <w:lang w:val="en-AU"/>
        </w:rPr>
        <w:t>-1</w:t>
      </w:r>
      <w:r w:rsidR="00E67935">
        <w:rPr>
          <w:lang w:val="en-AU"/>
        </w:rPr>
        <w:t xml:space="preserve"> (</w:t>
      </w:r>
      <w:r w:rsidR="00A46573">
        <w:rPr>
          <w:lang w:val="en-AU"/>
        </w:rPr>
        <w:t>atrazine</w:t>
      </w:r>
      <w:r w:rsidR="00E67935">
        <w:rPr>
          <w:lang w:val="en-AU"/>
        </w:rPr>
        <w:t xml:space="preserve">), </w:t>
      </w:r>
      <w:r w:rsidR="00A46573">
        <w:rPr>
          <w:lang w:val="en-AU"/>
        </w:rPr>
        <w:t>85 ng L</w:t>
      </w:r>
      <w:r w:rsidR="00A46573" w:rsidRPr="00CC218A">
        <w:rPr>
          <w:vertAlign w:val="superscript"/>
          <w:lang w:val="en-AU"/>
        </w:rPr>
        <w:t>-1</w:t>
      </w:r>
      <w:r w:rsidR="00A46573">
        <w:rPr>
          <w:lang w:val="en-AU"/>
        </w:rPr>
        <w:t xml:space="preserve"> </w:t>
      </w:r>
      <w:r w:rsidR="00E67935">
        <w:rPr>
          <w:lang w:val="en-AU"/>
        </w:rPr>
        <w:t>(</w:t>
      </w:r>
      <w:r w:rsidR="00A46573">
        <w:rPr>
          <w:lang w:val="en-AU"/>
        </w:rPr>
        <w:t>hexazinone</w:t>
      </w:r>
      <w:r w:rsidR="00E67935">
        <w:rPr>
          <w:lang w:val="en-AU"/>
        </w:rPr>
        <w:t>)</w:t>
      </w:r>
      <w:r w:rsidR="00A46573">
        <w:rPr>
          <w:lang w:val="en-AU"/>
        </w:rPr>
        <w:t xml:space="preserve">, </w:t>
      </w:r>
      <w:r w:rsidR="00E67935">
        <w:rPr>
          <w:lang w:val="en-AU"/>
        </w:rPr>
        <w:t>and</w:t>
      </w:r>
      <w:r w:rsidR="00A46573">
        <w:rPr>
          <w:lang w:val="en-AU"/>
        </w:rPr>
        <w:t xml:space="preserve"> 474 ng L</w:t>
      </w:r>
      <w:r w:rsidR="00A46573" w:rsidRPr="00CC218A">
        <w:rPr>
          <w:vertAlign w:val="superscript"/>
          <w:lang w:val="en-AU"/>
        </w:rPr>
        <w:t>-1</w:t>
      </w:r>
      <w:r w:rsidR="00A46573">
        <w:rPr>
          <w:lang w:val="en-AU"/>
        </w:rPr>
        <w:t xml:space="preserve"> </w:t>
      </w:r>
      <w:r w:rsidR="00E67935">
        <w:rPr>
          <w:lang w:val="en-AU"/>
        </w:rPr>
        <w:t>(</w:t>
      </w:r>
      <w:r w:rsidR="00A46573">
        <w:rPr>
          <w:lang w:val="en-AU"/>
        </w:rPr>
        <w:t>tebuthiuron</w:t>
      </w:r>
      <w:r w:rsidR="00E67935">
        <w:rPr>
          <w:lang w:val="en-AU"/>
        </w:rPr>
        <w:t>)</w:t>
      </w:r>
      <w:r w:rsidR="00A46573">
        <w:rPr>
          <w:lang w:val="en-AU"/>
        </w:rPr>
        <w:t xml:space="preserve"> </w:t>
      </w:r>
      <w:r w:rsidR="00A46573" w:rsidRPr="00A46573">
        <w:rPr>
          <w:lang w:val="en-AU"/>
        </w:rPr>
        <w:t>(</w:t>
      </w:r>
      <w:r w:rsidR="002A77E1">
        <w:fldChar w:fldCharType="begin"/>
      </w:r>
      <w:r w:rsidR="002A77E1">
        <w:instrText xml:space="preserve"> REF _Ref481314698 \h  \* MERGEFORMAT </w:instrText>
      </w:r>
      <w:r w:rsidR="002A77E1">
        <w:fldChar w:fldCharType="separate"/>
      </w:r>
      <w:r w:rsidR="00D12276" w:rsidRPr="00D12276">
        <w:rPr>
          <w:noProof/>
        </w:rPr>
        <w:t>Table 13</w:t>
      </w:r>
      <w:r w:rsidR="002A77E1">
        <w:fldChar w:fldCharType="end"/>
      </w:r>
      <w:r w:rsidR="00A46573">
        <w:rPr>
          <w:lang w:val="en-AU"/>
        </w:rPr>
        <w:t>)</w:t>
      </w:r>
      <w:r>
        <w:rPr>
          <w:lang w:val="en-AU"/>
        </w:rPr>
        <w:t xml:space="preserve">. </w:t>
      </w:r>
      <w:r w:rsidR="008B1FD7">
        <w:rPr>
          <w:lang w:val="en-AU"/>
        </w:rPr>
        <w:t>T</w:t>
      </w:r>
      <w:r w:rsidR="00A46573">
        <w:rPr>
          <w:lang w:val="en-AU"/>
        </w:rPr>
        <w:t>hese PC99 concentrations were all lower than the</w:t>
      </w:r>
      <w:r w:rsidR="00FA77AD">
        <w:rPr>
          <w:lang w:val="en-AU"/>
        </w:rPr>
        <w:t xml:space="preserve"> respective</w:t>
      </w:r>
      <w:r w:rsidR="00A46573">
        <w:rPr>
          <w:lang w:val="en-AU"/>
        </w:rPr>
        <w:t xml:space="preserve"> marine proposed GV (ranging from 5 to </w:t>
      </w:r>
      <w:r w:rsidR="00A96AAF">
        <w:rPr>
          <w:lang w:val="en-AU"/>
        </w:rPr>
        <w:t>39</w:t>
      </w:r>
      <w:r w:rsidR="00A46573">
        <w:rPr>
          <w:lang w:val="en-AU"/>
        </w:rPr>
        <w:t>% of the GV)</w:t>
      </w:r>
      <w:r w:rsidR="00E67935">
        <w:rPr>
          <w:lang w:val="en-AU"/>
        </w:rPr>
        <w:t xml:space="preserve">, </w:t>
      </w:r>
      <w:r w:rsidR="008B1FD7">
        <w:rPr>
          <w:lang w:val="en-AU"/>
        </w:rPr>
        <w:t>and also</w:t>
      </w:r>
      <w:r w:rsidR="00A96AAF">
        <w:rPr>
          <w:lang w:val="en-AU"/>
        </w:rPr>
        <w:t xml:space="preserve"> </w:t>
      </w:r>
      <w:r w:rsidR="00A46573">
        <w:rPr>
          <w:lang w:val="en-AU"/>
        </w:rPr>
        <w:t>were lower than the freshwater proposed GV (1</w:t>
      </w:r>
      <w:r w:rsidR="00A96AAF">
        <w:rPr>
          <w:lang w:val="en-AU"/>
        </w:rPr>
        <w:t>0</w:t>
      </w:r>
      <w:r w:rsidR="00F974B4">
        <w:rPr>
          <w:lang w:val="en-AU"/>
        </w:rPr>
        <w:t xml:space="preserve"> to </w:t>
      </w:r>
      <w:r w:rsidR="00A46573">
        <w:rPr>
          <w:lang w:val="en-AU"/>
        </w:rPr>
        <w:t xml:space="preserve">57% of the GV) </w:t>
      </w:r>
      <w:r w:rsidR="00A46573" w:rsidRPr="00A46573">
        <w:rPr>
          <w:lang w:val="en-AU"/>
        </w:rPr>
        <w:t>(</w:t>
      </w:r>
      <w:r w:rsidR="002A77E1">
        <w:fldChar w:fldCharType="begin"/>
      </w:r>
      <w:r w:rsidR="002A77E1">
        <w:instrText xml:space="preserve"> REF _Ref481314698 \h  \* MERGEFORMAT </w:instrText>
      </w:r>
      <w:r w:rsidR="002A77E1">
        <w:fldChar w:fldCharType="separate"/>
      </w:r>
      <w:r w:rsidR="00D12276" w:rsidRPr="00D12276">
        <w:rPr>
          <w:noProof/>
        </w:rPr>
        <w:t>Table 13</w:t>
      </w:r>
      <w:r w:rsidR="002A77E1">
        <w:fldChar w:fldCharType="end"/>
      </w:r>
      <w:r w:rsidR="00A46573">
        <w:rPr>
          <w:lang w:val="en-AU"/>
        </w:rPr>
        <w:t xml:space="preserve">). </w:t>
      </w:r>
      <w:r w:rsidR="00F974B4">
        <w:rPr>
          <w:lang w:val="en-AU"/>
        </w:rPr>
        <w:t xml:space="preserve">Whilst the species composition of the SSDs explains some of the differences between the ms-PAF and </w:t>
      </w:r>
      <w:r w:rsidR="00DD0E48">
        <w:rPr>
          <w:lang w:val="en-AU"/>
        </w:rPr>
        <w:t xml:space="preserve">the </w:t>
      </w:r>
      <w:r w:rsidR="008B1FD7">
        <w:rPr>
          <w:lang w:val="en-AU"/>
        </w:rPr>
        <w:t xml:space="preserve">marine </w:t>
      </w:r>
      <w:r w:rsidR="00F47739">
        <w:rPr>
          <w:lang w:val="en-AU"/>
        </w:rPr>
        <w:t>guideline</w:t>
      </w:r>
      <w:r w:rsidR="00E46FFA">
        <w:rPr>
          <w:lang w:val="en-AU"/>
        </w:rPr>
        <w:t xml:space="preserve"> </w:t>
      </w:r>
      <w:r w:rsidR="00F47739">
        <w:rPr>
          <w:lang w:val="en-AU"/>
        </w:rPr>
        <w:t xml:space="preserve">PC99 </w:t>
      </w:r>
      <w:r w:rsidR="00F974B4">
        <w:rPr>
          <w:lang w:val="en-AU"/>
        </w:rPr>
        <w:t xml:space="preserve">values, </w:t>
      </w:r>
      <w:r w:rsidR="00E46FFA">
        <w:rPr>
          <w:lang w:val="en-AU"/>
        </w:rPr>
        <w:t xml:space="preserve">it is not </w:t>
      </w:r>
      <w:r w:rsidR="00216883">
        <w:rPr>
          <w:lang w:val="en-AU"/>
        </w:rPr>
        <w:t>theoretically expected that</w:t>
      </w:r>
      <w:r w:rsidR="00F974B4">
        <w:rPr>
          <w:lang w:val="en-AU"/>
        </w:rPr>
        <w:t xml:space="preserve"> the ms-PAF PC99 values </w:t>
      </w:r>
      <w:r w:rsidR="00216883">
        <w:rPr>
          <w:lang w:val="en-AU"/>
        </w:rPr>
        <w:t>would be</w:t>
      </w:r>
      <w:r w:rsidR="00F974B4">
        <w:rPr>
          <w:lang w:val="en-AU"/>
        </w:rPr>
        <w:t xml:space="preserve"> lower than the freshwater GV</w:t>
      </w:r>
      <w:r w:rsidR="00E46FFA">
        <w:rPr>
          <w:lang w:val="en-AU"/>
        </w:rPr>
        <w:t xml:space="preserve"> for </w:t>
      </w:r>
      <w:r w:rsidR="00DD0E48">
        <w:rPr>
          <w:lang w:val="en-AU"/>
        </w:rPr>
        <w:t>these</w:t>
      </w:r>
      <w:r w:rsidR="00E46FFA">
        <w:rPr>
          <w:lang w:val="en-AU"/>
        </w:rPr>
        <w:t xml:space="preserve"> herbicides (note: since the same species are used for the SSDs for both the GVs and the ms-PAF model, and freshwater GV &lt; marine GV for the five priority PSII herbicides, theoretically the PC99 for all species lies between the marine and freshwater PC99 guideline values)</w:t>
      </w:r>
      <w:r w:rsidR="00F974B4">
        <w:rPr>
          <w:lang w:val="en-AU"/>
        </w:rPr>
        <w:t xml:space="preserve">. </w:t>
      </w:r>
      <w:r w:rsidR="00A46573">
        <w:rPr>
          <w:lang w:val="en-AU"/>
        </w:rPr>
        <w:t xml:space="preserve">At low PAF values such as 1%, the </w:t>
      </w:r>
      <w:r w:rsidR="00BD6E1B">
        <w:rPr>
          <w:lang w:val="en-AU"/>
        </w:rPr>
        <w:t>fitted logistic distribution and therefore the determined PC99 are</w:t>
      </w:r>
      <w:r w:rsidR="00A46573">
        <w:rPr>
          <w:lang w:val="en-AU"/>
        </w:rPr>
        <w:t xml:space="preserve"> highly sensitive to </w:t>
      </w:r>
      <w:r w:rsidR="00BD6E1B">
        <w:rPr>
          <w:lang w:val="en-AU"/>
        </w:rPr>
        <w:t xml:space="preserve">changes in the fitted </w:t>
      </w:r>
      <w:r w:rsidR="00BD6E1B" w:rsidRPr="00E20CE8">
        <w:rPr>
          <w:lang w:val="en-AU" w:eastAsia="en-AU"/>
        </w:rPr>
        <w:t>β</w:t>
      </w:r>
      <w:r w:rsidR="00BD6E1B">
        <w:rPr>
          <w:lang w:val="en-AU"/>
        </w:rPr>
        <w:t xml:space="preserve"> value</w:t>
      </w:r>
      <w:r w:rsidR="006760E3">
        <w:rPr>
          <w:lang w:val="en-AU"/>
        </w:rPr>
        <w:t xml:space="preserve"> (slope)</w:t>
      </w:r>
      <w:r w:rsidR="00BD6E1B">
        <w:rPr>
          <w:lang w:val="en-AU"/>
        </w:rPr>
        <w:t xml:space="preserve">, </w:t>
      </w:r>
      <w:r w:rsidR="006175B4">
        <w:rPr>
          <w:lang w:val="en-AU"/>
        </w:rPr>
        <w:t>hence</w:t>
      </w:r>
      <w:r w:rsidR="006760E3">
        <w:rPr>
          <w:lang w:val="en-AU"/>
        </w:rPr>
        <w:t xml:space="preserve"> differences in </w:t>
      </w:r>
      <w:r w:rsidR="006760E3" w:rsidRPr="00E20CE8">
        <w:rPr>
          <w:lang w:val="en-AU" w:eastAsia="en-AU"/>
        </w:rPr>
        <w:t>β</w:t>
      </w:r>
      <w:r w:rsidR="006760E3">
        <w:rPr>
          <w:lang w:val="en-AU"/>
        </w:rPr>
        <w:t xml:space="preserve"> between the individual SSD</w:t>
      </w:r>
      <w:r w:rsidR="00C0274C">
        <w:rPr>
          <w:lang w:val="en-AU"/>
        </w:rPr>
        <w:t>s</w:t>
      </w:r>
      <w:r w:rsidR="006760E3">
        <w:rPr>
          <w:lang w:val="en-AU"/>
        </w:rPr>
        <w:t xml:space="preserve"> and the global SSD</w:t>
      </w:r>
      <w:r w:rsidR="006760E3" w:rsidRPr="006760E3">
        <w:rPr>
          <w:vertAlign w:val="subscript"/>
          <w:lang w:val="en-AU"/>
        </w:rPr>
        <w:t>G</w:t>
      </w:r>
      <w:r w:rsidR="006175B4">
        <w:rPr>
          <w:lang w:val="en-AU"/>
        </w:rPr>
        <w:t xml:space="preserve"> may </w:t>
      </w:r>
      <w:r w:rsidR="00F974B4">
        <w:rPr>
          <w:lang w:val="en-AU"/>
        </w:rPr>
        <w:t xml:space="preserve">also </w:t>
      </w:r>
      <w:r w:rsidR="00E67935">
        <w:rPr>
          <w:lang w:val="en-AU"/>
        </w:rPr>
        <w:t>contribute to</w:t>
      </w:r>
      <w:r w:rsidR="00F974B4">
        <w:rPr>
          <w:lang w:val="en-AU"/>
        </w:rPr>
        <w:t xml:space="preserve"> the</w:t>
      </w:r>
      <w:r w:rsidR="006175B4">
        <w:rPr>
          <w:lang w:val="en-AU"/>
        </w:rPr>
        <w:t xml:space="preserve"> relative</w:t>
      </w:r>
      <w:r w:rsidR="00F974B4">
        <w:rPr>
          <w:lang w:val="en-AU"/>
        </w:rPr>
        <w:t xml:space="preserve"> differences in </w:t>
      </w:r>
      <w:r w:rsidR="006175B4">
        <w:rPr>
          <w:lang w:val="en-AU"/>
        </w:rPr>
        <w:t>PC99 values</w:t>
      </w:r>
      <w:r w:rsidR="00BD6E1B">
        <w:rPr>
          <w:lang w:val="en-AU"/>
        </w:rPr>
        <w:t>.</w:t>
      </w:r>
    </w:p>
    <w:p w14:paraId="24A198E0" w14:textId="77777777" w:rsidR="00E46FFA" w:rsidRDefault="00E46FFA" w:rsidP="00E46FFA">
      <w:pPr>
        <w:spacing w:line="276" w:lineRule="auto"/>
        <w:rPr>
          <w:lang w:val="en-AU"/>
        </w:rPr>
      </w:pPr>
    </w:p>
    <w:p w14:paraId="2997DADD" w14:textId="02E21709" w:rsidR="00E46FFA" w:rsidRDefault="00E46FFA" w:rsidP="00E46FFA">
      <w:pPr>
        <w:spacing w:line="276" w:lineRule="auto"/>
        <w:rPr>
          <w:lang w:val="en-AU"/>
        </w:rPr>
      </w:pPr>
      <w:r>
        <w:rPr>
          <w:lang w:val="en-AU"/>
        </w:rPr>
        <w:lastRenderedPageBreak/>
        <w:t xml:space="preserve">The ms-PAF PC99 values were also converted to toxic equivalent concentrations using both relative potency factors (RPF) reported in </w:t>
      </w:r>
      <w:r w:rsidR="00216883">
        <w:rPr>
          <w:lang w:val="en-AU"/>
        </w:rPr>
        <w:t>this MMP report</w:t>
      </w:r>
      <w:r>
        <w:rPr>
          <w:lang w:val="en-AU"/>
        </w:rPr>
        <w:t xml:space="preserve"> and toxic equivalent factors (TEF) reported by </w:t>
      </w:r>
      <w:r>
        <w:rPr>
          <w:lang w:val="en-AU"/>
        </w:rPr>
        <w:fldChar w:fldCharType="begin"/>
      </w:r>
      <w:r w:rsidR="000A467A">
        <w:rPr>
          <w:lang w:val="en-AU"/>
        </w:rPr>
        <w:instrText xml:space="preserve"> ADDIN EN.CITE &lt;EndNote&gt;&lt;Cite AuthorYear="1"&gt;&lt;Author&gt;Smith&lt;/Author&gt;&lt;Year&gt;2016&lt;/Year&gt;&lt;RecNum&gt;35&lt;/RecNum&gt;&lt;DisplayText&gt;Smith et al. (2016b)&lt;/DisplayText&gt;&lt;record&gt;&lt;rec-number&gt;35&lt;/rec-number&gt;&lt;foreign-keys&gt;&lt;key app="EN" db-id="vvtrt2pt4xpx5teta99vvtwg50vzve2aexae" timestamp="1493157366"&gt;35&lt;/key&gt;&lt;/foreign-keys&gt;&lt;ref-type name="Journal Article"&gt;17&lt;/ref-type&gt;&lt;contributors&gt;&lt;authors&gt;&lt;author&gt;Smith, Rachael A.&lt;/author&gt;&lt;author&gt;Warne, Michael St J.&lt;/author&gt;&lt;author&gt;Mengersen, Kerrie&lt;/author&gt;&lt;author&gt;Turner, Ryan D. R.&lt;/author&gt;&lt;/authors&gt;&lt;/contributors&gt;&lt;titles&gt;&lt;title&gt;An improved method for calculating toxicity-based pollutant loads: Part 2. Application to contaminants discharged to the Great Barrier Reef, Queensland, Australia&lt;/title&gt;&lt;secondary-title&gt;Integrated Environmental Assessment and Management&lt;/secondary-title&gt;&lt;/titles&gt;&lt;periodical&gt;&lt;full-title&gt;Integrated Environmental Assessment and Management&lt;/full-title&gt;&lt;/periodical&gt;&lt;pages&gt;In press&lt;/pages&gt;&lt;keywords&gt;&lt;keyword&gt;Great Barrier Reef&lt;/keyword&gt;&lt;keyword&gt;Pollutant loads&lt;/keyword&gt;&lt;keyword&gt;Photosystem II herbicides&lt;/keyword&gt;&lt;keyword&gt;Relative-potency&lt;/keyword&gt;&lt;keyword&gt;Toxic equivalency factor&lt;/keyword&gt;&lt;/keywords&gt;&lt;dates&gt;&lt;year&gt;2016&lt;/year&gt;&lt;/dates&gt;&lt;isbn&gt;1551-3793&lt;/isbn&gt;&lt;urls&gt;&lt;related-urls&gt;&lt;url&gt;http://dx.doi.org/10.1002/ieam.1860&lt;/url&gt;&lt;/related-urls&gt;&lt;/urls&gt;&lt;electronic-resource-num&gt;10.1002/ieam.1860&lt;/electronic-resource-num&gt;&lt;/record&gt;&lt;/Cite&gt;&lt;/EndNote&gt;</w:instrText>
      </w:r>
      <w:r>
        <w:rPr>
          <w:lang w:val="en-AU"/>
        </w:rPr>
        <w:fldChar w:fldCharType="separate"/>
      </w:r>
      <w:r w:rsidR="000A467A">
        <w:rPr>
          <w:noProof/>
          <w:lang w:val="en-AU"/>
        </w:rPr>
        <w:t>Smith et al. (2016b)</w:t>
      </w:r>
      <w:r>
        <w:rPr>
          <w:lang w:val="en-AU"/>
        </w:rPr>
        <w:fldChar w:fldCharType="end"/>
      </w:r>
      <w:r>
        <w:rPr>
          <w:lang w:val="en-AU"/>
        </w:rPr>
        <w:t xml:space="preserve"> (</w:t>
      </w:r>
      <w:r>
        <w:fldChar w:fldCharType="begin"/>
      </w:r>
      <w:r>
        <w:instrText xml:space="preserve"> REF _Ref481314698 \h  \* MERGEFORMAT </w:instrText>
      </w:r>
      <w:r>
        <w:fldChar w:fldCharType="separate"/>
      </w:r>
      <w:r w:rsidR="00D12276" w:rsidRPr="00D12276">
        <w:rPr>
          <w:noProof/>
        </w:rPr>
        <w:t>Table 13</w:t>
      </w:r>
      <w:r>
        <w:fldChar w:fldCharType="end"/>
      </w:r>
      <w:r>
        <w:rPr>
          <w:lang w:val="en-AU"/>
        </w:rPr>
        <w:t>). By definition, the toxic equivalent concentration for each of the five herbicides to elicit the same effect (i.e. 1% of species affected) should be the same. Relative to diuron (46 ng L</w:t>
      </w:r>
      <w:r w:rsidRPr="00CC218A">
        <w:rPr>
          <w:vertAlign w:val="superscript"/>
          <w:lang w:val="en-AU"/>
        </w:rPr>
        <w:t>-1</w:t>
      </w:r>
      <w:r>
        <w:rPr>
          <w:lang w:val="en-AU"/>
        </w:rPr>
        <w:t xml:space="preserve">) which is the recommended reference herbicide under both toxicity schemes (RPF = TEF = 1 for diuron), the </w:t>
      </w:r>
      <w:r w:rsidR="00F47739">
        <w:rPr>
          <w:lang w:val="en-AU"/>
        </w:rPr>
        <w:t xml:space="preserve">calculated </w:t>
      </w:r>
      <w:r>
        <w:rPr>
          <w:lang w:val="en-AU"/>
        </w:rPr>
        <w:t xml:space="preserve">PSII-HEq </w:t>
      </w:r>
      <w:r w:rsidR="00F47739">
        <w:rPr>
          <w:lang w:val="en-AU"/>
        </w:rPr>
        <w:t xml:space="preserve">for each ms-PAF PC99 concentration </w:t>
      </w:r>
      <w:r>
        <w:rPr>
          <w:lang w:val="en-AU"/>
        </w:rPr>
        <w:t>ranged from 32 – 51 ng L</w:t>
      </w:r>
      <w:r w:rsidRPr="00CC218A">
        <w:rPr>
          <w:vertAlign w:val="superscript"/>
          <w:lang w:val="en-AU"/>
        </w:rPr>
        <w:t>-1</w:t>
      </w:r>
      <w:r>
        <w:rPr>
          <w:lang w:val="en-AU"/>
        </w:rPr>
        <w:t xml:space="preserve"> (</w:t>
      </w:r>
      <w:r>
        <w:fldChar w:fldCharType="begin"/>
      </w:r>
      <w:r>
        <w:instrText xml:space="preserve"> REF _Ref481314698 \h  \* MERGEFORMAT </w:instrText>
      </w:r>
      <w:r>
        <w:fldChar w:fldCharType="separate"/>
      </w:r>
      <w:r w:rsidR="00D12276" w:rsidRPr="00D12276">
        <w:rPr>
          <w:noProof/>
        </w:rPr>
        <w:t>Table 13</w:t>
      </w:r>
      <w:r>
        <w:fldChar w:fldCharType="end"/>
      </w:r>
      <w:r>
        <w:rPr>
          <w:lang w:val="en-AU"/>
        </w:rPr>
        <w:t>) for ametryn, atrazine, hexazinone and tebuthiuron, which represented a percent coefficient of variation (%CV) of 18%. By comparison, the toxic equivalent concentrations determined using TEFs ranged from 9 – 25 ng L</w:t>
      </w:r>
      <w:r w:rsidRPr="00CC218A">
        <w:rPr>
          <w:vertAlign w:val="superscript"/>
          <w:lang w:val="en-AU"/>
        </w:rPr>
        <w:t>-1</w:t>
      </w:r>
      <w:r>
        <w:rPr>
          <w:lang w:val="en-AU"/>
        </w:rPr>
        <w:t xml:space="preserve"> which was </w:t>
      </w:r>
      <w:r w:rsidR="000A467A">
        <w:rPr>
          <w:lang w:val="en-AU"/>
        </w:rPr>
        <w:t>consistently</w:t>
      </w:r>
      <w:r>
        <w:rPr>
          <w:lang w:val="en-AU"/>
        </w:rPr>
        <w:t xml:space="preserve"> lower than the diuron concentration of 46 ng L</w:t>
      </w:r>
      <w:r w:rsidRPr="001A4975">
        <w:rPr>
          <w:vertAlign w:val="superscript"/>
          <w:lang w:val="en-AU"/>
        </w:rPr>
        <w:t>-1</w:t>
      </w:r>
      <w:r>
        <w:rPr>
          <w:lang w:val="en-AU"/>
        </w:rPr>
        <w:t xml:space="preserve"> (%CV of 69%). The relative differences in potency/toxicity factors is compared and discussed further below.</w:t>
      </w:r>
    </w:p>
    <w:p w14:paraId="5ABCF6A3" w14:textId="77777777" w:rsidR="008B1FD7" w:rsidRDefault="008B1FD7" w:rsidP="00E67935">
      <w:pPr>
        <w:spacing w:line="276" w:lineRule="auto"/>
        <w:rPr>
          <w:lang w:val="en-AU"/>
        </w:rPr>
      </w:pPr>
    </w:p>
    <w:p w14:paraId="5D3B7EE7" w14:textId="7F1D2E04" w:rsidR="009F2965" w:rsidRDefault="00216883" w:rsidP="00E67935">
      <w:pPr>
        <w:spacing w:line="276" w:lineRule="auto"/>
        <w:rPr>
          <w:lang w:val="en-AU"/>
        </w:rPr>
      </w:pPr>
      <w:r>
        <w:rPr>
          <w:lang w:val="en-AU"/>
        </w:rPr>
        <w:t>T</w:t>
      </w:r>
      <w:r w:rsidR="003C7747">
        <w:rPr>
          <w:lang w:val="en-AU"/>
        </w:rPr>
        <w:t>he ms-PAF</w:t>
      </w:r>
      <w:r w:rsidR="00F47739">
        <w:rPr>
          <w:lang w:val="en-AU"/>
        </w:rPr>
        <w:t xml:space="preserve"> risk</w:t>
      </w:r>
      <w:r w:rsidR="003C7747">
        <w:rPr>
          <w:lang w:val="en-AU"/>
        </w:rPr>
        <w:t xml:space="preserve"> categories (based on marine and freshwater species) </w:t>
      </w:r>
      <w:r>
        <w:rPr>
          <w:lang w:val="en-AU"/>
        </w:rPr>
        <w:t>for the five priority PSII herbicides are</w:t>
      </w:r>
      <w:r w:rsidR="003C7747">
        <w:rPr>
          <w:lang w:val="en-AU"/>
        </w:rPr>
        <w:t xml:space="preserve"> more conservative than for marine-only species</w:t>
      </w:r>
      <w:r w:rsidR="009F2965">
        <w:rPr>
          <w:lang w:val="en-AU"/>
        </w:rPr>
        <w:t xml:space="preserve"> (relevant to the Reef protection) and therefore adopting the ms-PAF approach affords a higher level of protection</w:t>
      </w:r>
      <w:r>
        <w:rPr>
          <w:lang w:val="en-AU"/>
        </w:rPr>
        <w:t>.</w:t>
      </w:r>
      <w:r w:rsidR="00EC4A3E">
        <w:rPr>
          <w:lang w:val="en-AU"/>
        </w:rPr>
        <w:t xml:space="preserve"> </w:t>
      </w:r>
      <w:r w:rsidR="009F2965">
        <w:rPr>
          <w:lang w:val="en-AU"/>
        </w:rPr>
        <w:t>I</w:t>
      </w:r>
      <w:r w:rsidR="00EC4A3E">
        <w:rPr>
          <w:lang w:val="en-AU"/>
        </w:rPr>
        <w:t>t is of interest</w:t>
      </w:r>
      <w:r w:rsidR="0084175A">
        <w:rPr>
          <w:lang w:val="en-AU"/>
        </w:rPr>
        <w:t xml:space="preserve"> </w:t>
      </w:r>
      <w:r w:rsidR="00EC4A3E">
        <w:rPr>
          <w:lang w:val="en-AU"/>
        </w:rPr>
        <w:t xml:space="preserve">to </w:t>
      </w:r>
      <w:r w:rsidR="0084175A">
        <w:rPr>
          <w:lang w:val="en-AU"/>
        </w:rPr>
        <w:t xml:space="preserve">further </w:t>
      </w:r>
      <w:r w:rsidR="00EC4A3E">
        <w:rPr>
          <w:lang w:val="en-AU"/>
        </w:rPr>
        <w:t xml:space="preserve">understand how risk categories </w:t>
      </w:r>
      <w:r w:rsidR="00CB2C1F">
        <w:rPr>
          <w:lang w:val="en-AU"/>
        </w:rPr>
        <w:t xml:space="preserve">under these two risk assessment approaches </w:t>
      </w:r>
      <w:r w:rsidR="00EC4A3E">
        <w:rPr>
          <w:lang w:val="en-AU"/>
        </w:rPr>
        <w:t>align if the ms-PAF model is to be applied to assess risk of pesticide exposure in nearshore marine environments</w:t>
      </w:r>
      <w:r w:rsidR="007B4378">
        <w:rPr>
          <w:lang w:val="en-AU"/>
        </w:rPr>
        <w:t xml:space="preserve"> in the future</w:t>
      </w:r>
      <w:r w:rsidR="00EC4A3E">
        <w:rPr>
          <w:lang w:val="en-AU"/>
        </w:rPr>
        <w:t xml:space="preserve">. </w:t>
      </w:r>
      <w:r w:rsidR="00E67935">
        <w:rPr>
          <w:lang w:val="en-AU"/>
        </w:rPr>
        <w:t xml:space="preserve">Based on </w:t>
      </w:r>
      <w:r w:rsidR="009F2965">
        <w:rPr>
          <w:lang w:val="en-AU"/>
        </w:rPr>
        <w:t xml:space="preserve">a </w:t>
      </w:r>
      <w:r w:rsidR="00CB2C1F">
        <w:rPr>
          <w:lang w:val="en-AU"/>
        </w:rPr>
        <w:t xml:space="preserve">calculated </w:t>
      </w:r>
      <w:r w:rsidR="00E67935">
        <w:rPr>
          <w:lang w:val="en-AU"/>
        </w:rPr>
        <w:t xml:space="preserve">ms-PAF PC99 concentration </w:t>
      </w:r>
      <w:r w:rsidR="00F47739">
        <w:rPr>
          <w:lang w:val="en-AU"/>
        </w:rPr>
        <w:t xml:space="preserve">for diuron </w:t>
      </w:r>
      <w:r w:rsidR="00E67935">
        <w:rPr>
          <w:lang w:val="en-AU"/>
        </w:rPr>
        <w:t>of 46</w:t>
      </w:r>
      <w:r w:rsidR="009F2965">
        <w:rPr>
          <w:lang w:val="en-AU"/>
        </w:rPr>
        <w:t xml:space="preserve"> </w:t>
      </w:r>
      <w:r w:rsidR="00E67935">
        <w:rPr>
          <w:lang w:val="en-AU"/>
        </w:rPr>
        <w:t>ng L</w:t>
      </w:r>
      <w:r w:rsidR="00E67935" w:rsidRPr="00E67935">
        <w:rPr>
          <w:vertAlign w:val="superscript"/>
          <w:lang w:val="en-AU"/>
        </w:rPr>
        <w:t>-1</w:t>
      </w:r>
      <w:r w:rsidR="00E67935">
        <w:rPr>
          <w:lang w:val="en-AU"/>
        </w:rPr>
        <w:t xml:space="preserve">, </w:t>
      </w:r>
      <w:r w:rsidR="009F2965">
        <w:rPr>
          <w:lang w:val="en-AU"/>
        </w:rPr>
        <w:t xml:space="preserve">the PSII-HEq index </w:t>
      </w:r>
      <w:r w:rsidR="00AC4C48">
        <w:rPr>
          <w:lang w:val="en-AU"/>
        </w:rPr>
        <w:t xml:space="preserve">categories 4 </w:t>
      </w:r>
      <w:r w:rsidR="007B4378">
        <w:rPr>
          <w:lang w:val="en-AU"/>
        </w:rPr>
        <w:t xml:space="preserve">(effects reported for 2 diatom species but no corals or seagrasses) </w:t>
      </w:r>
      <w:r w:rsidR="00AC4C48">
        <w:rPr>
          <w:lang w:val="en-AU"/>
        </w:rPr>
        <w:t xml:space="preserve">and 5 </w:t>
      </w:r>
      <w:r w:rsidR="007B4378">
        <w:rPr>
          <w:lang w:val="en-AU"/>
        </w:rPr>
        <w:t xml:space="preserve">(no reported effects for any photosynthetic species) </w:t>
      </w:r>
      <w:r w:rsidR="00AC4C48">
        <w:rPr>
          <w:lang w:val="en-AU"/>
        </w:rPr>
        <w:t xml:space="preserve">would be considered </w:t>
      </w:r>
      <w:r w:rsidR="00EC4A3E">
        <w:rPr>
          <w:lang w:val="en-AU"/>
        </w:rPr>
        <w:t xml:space="preserve">protective of 99% </w:t>
      </w:r>
      <w:r w:rsidR="00463630">
        <w:rPr>
          <w:lang w:val="en-AU"/>
        </w:rPr>
        <w:t xml:space="preserve">of </w:t>
      </w:r>
      <w:r w:rsidR="00AC4C48">
        <w:rPr>
          <w:lang w:val="en-AU"/>
        </w:rPr>
        <w:t>Reef species</w:t>
      </w:r>
      <w:r w:rsidR="00463630">
        <w:rPr>
          <w:lang w:val="en-AU"/>
        </w:rPr>
        <w:t xml:space="preserve"> (</w:t>
      </w:r>
      <w:r w:rsidR="002A77E1">
        <w:fldChar w:fldCharType="begin"/>
      </w:r>
      <w:r w:rsidR="002A77E1">
        <w:instrText xml:space="preserve"> REF _Ref480830118 \h  \* MERGEFORMAT </w:instrText>
      </w:r>
      <w:r w:rsidR="002A77E1">
        <w:fldChar w:fldCharType="separate"/>
      </w:r>
      <w:r w:rsidR="00D12276" w:rsidRPr="00F32F87">
        <w:t xml:space="preserve">Table </w:t>
      </w:r>
      <w:r w:rsidR="00D12276" w:rsidRPr="00D12276">
        <w:rPr>
          <w:noProof/>
        </w:rPr>
        <w:t>14</w:t>
      </w:r>
      <w:r w:rsidR="002A77E1">
        <w:fldChar w:fldCharType="end"/>
      </w:r>
      <w:r w:rsidR="00463630">
        <w:rPr>
          <w:lang w:val="en-AU"/>
        </w:rPr>
        <w:t>)</w:t>
      </w:r>
      <w:r w:rsidR="00AC4C48">
        <w:rPr>
          <w:lang w:val="en-AU"/>
        </w:rPr>
        <w:t xml:space="preserve">. A category 3 on the PSII-HEq index aligns with </w:t>
      </w:r>
      <w:r w:rsidR="009F2965">
        <w:rPr>
          <w:lang w:val="en-AU"/>
        </w:rPr>
        <w:t xml:space="preserve">the ms-PAF </w:t>
      </w:r>
      <w:r w:rsidR="00AC4C48">
        <w:rPr>
          <w:lang w:val="en-AU"/>
        </w:rPr>
        <w:t>PC95 values</w:t>
      </w:r>
      <w:r w:rsidR="009F2965">
        <w:rPr>
          <w:lang w:val="en-AU"/>
        </w:rPr>
        <w:t xml:space="preserve"> (240 ng L</w:t>
      </w:r>
      <w:r w:rsidR="009F2965" w:rsidRPr="00E67935">
        <w:rPr>
          <w:vertAlign w:val="superscript"/>
          <w:lang w:val="en-AU"/>
        </w:rPr>
        <w:t>-1</w:t>
      </w:r>
      <w:r w:rsidR="009F2965">
        <w:rPr>
          <w:lang w:val="en-AU"/>
        </w:rPr>
        <w:t>)</w:t>
      </w:r>
      <w:r w:rsidR="00AC4C48">
        <w:rPr>
          <w:lang w:val="en-AU"/>
        </w:rPr>
        <w:t>, i.e. concentrations in category 3 would theoretically be expected to affect between 1 and 5% of species</w:t>
      </w:r>
      <w:r w:rsidR="00463630">
        <w:rPr>
          <w:lang w:val="en-AU"/>
        </w:rPr>
        <w:t xml:space="preserve"> (</w:t>
      </w:r>
      <w:r w:rsidR="002A77E1">
        <w:fldChar w:fldCharType="begin"/>
      </w:r>
      <w:r w:rsidR="002A77E1">
        <w:instrText xml:space="preserve"> REF _Ref480830118 \h  \* MERGEFORMAT </w:instrText>
      </w:r>
      <w:r w:rsidR="002A77E1">
        <w:fldChar w:fldCharType="separate"/>
      </w:r>
      <w:r w:rsidR="00D12276" w:rsidRPr="00F32F87">
        <w:t xml:space="preserve">Table </w:t>
      </w:r>
      <w:r w:rsidR="00D12276" w:rsidRPr="00D12276">
        <w:rPr>
          <w:noProof/>
        </w:rPr>
        <w:t>14</w:t>
      </w:r>
      <w:r w:rsidR="002A77E1">
        <w:fldChar w:fldCharType="end"/>
      </w:r>
      <w:r w:rsidR="00463630">
        <w:rPr>
          <w:lang w:val="en-AU"/>
        </w:rPr>
        <w:t>)</w:t>
      </w:r>
      <w:r w:rsidR="00AC4C48">
        <w:rPr>
          <w:lang w:val="en-AU"/>
        </w:rPr>
        <w:t xml:space="preserve">. </w:t>
      </w:r>
    </w:p>
    <w:p w14:paraId="0524BEB0" w14:textId="77777777" w:rsidR="009F2965" w:rsidRDefault="009F2965" w:rsidP="00E67935">
      <w:pPr>
        <w:spacing w:line="276" w:lineRule="auto"/>
        <w:rPr>
          <w:lang w:val="en-AU"/>
        </w:rPr>
      </w:pPr>
    </w:p>
    <w:p w14:paraId="6BED3FB8" w14:textId="3EFC167F" w:rsidR="005C069F" w:rsidRDefault="007B4378" w:rsidP="00F97374">
      <w:pPr>
        <w:spacing w:line="276" w:lineRule="auto"/>
        <w:rPr>
          <w:lang w:val="en-AU"/>
        </w:rPr>
      </w:pPr>
      <w:r>
        <w:rPr>
          <w:lang w:val="en-AU"/>
        </w:rPr>
        <w:t>A</w:t>
      </w:r>
      <w:r w:rsidR="003C7747">
        <w:rPr>
          <w:lang w:val="en-AU"/>
        </w:rPr>
        <w:t xml:space="preserve">s noted in the previous year’s report, having </w:t>
      </w:r>
      <w:r w:rsidR="009F2965">
        <w:rPr>
          <w:lang w:val="en-AU"/>
        </w:rPr>
        <w:t>two</w:t>
      </w:r>
      <w:r w:rsidR="003C7747">
        <w:rPr>
          <w:lang w:val="en-AU"/>
        </w:rPr>
        <w:t xml:space="preserve"> categories below the relevant threshold </w:t>
      </w:r>
      <w:r>
        <w:rPr>
          <w:lang w:val="en-AU"/>
        </w:rPr>
        <w:t xml:space="preserve">for the Reef </w:t>
      </w:r>
      <w:r w:rsidR="003C7747">
        <w:rPr>
          <w:lang w:val="en-AU"/>
        </w:rPr>
        <w:t>(PC99)</w:t>
      </w:r>
      <w:r w:rsidR="001F484A">
        <w:rPr>
          <w:lang w:val="en-AU"/>
        </w:rPr>
        <w:t xml:space="preserve"> may be an advantage as it provides a</w:t>
      </w:r>
      <w:r w:rsidR="001F484A" w:rsidRPr="001F484A">
        <w:rPr>
          <w:lang w:val="en-AU"/>
        </w:rPr>
        <w:t xml:space="preserve"> pre-warning </w:t>
      </w:r>
      <w:r w:rsidR="001F484A">
        <w:rPr>
          <w:lang w:val="en-AU"/>
        </w:rPr>
        <w:t xml:space="preserve">mechanism for </w:t>
      </w:r>
      <w:r w:rsidR="001F484A" w:rsidRPr="001F484A">
        <w:rPr>
          <w:lang w:val="en-AU"/>
        </w:rPr>
        <w:t>concentrations that are approaching the trigger value.</w:t>
      </w:r>
      <w:r w:rsidR="00CB2C1F">
        <w:rPr>
          <w:lang w:val="en-AU"/>
        </w:rPr>
        <w:t xml:space="preserve"> </w:t>
      </w:r>
      <w:r>
        <w:rPr>
          <w:lang w:val="en-AU"/>
        </w:rPr>
        <w:t xml:space="preserve">Category 5 also defines a lower limit to the toxic range of </w:t>
      </w:r>
      <w:r w:rsidR="001830E2">
        <w:rPr>
          <w:lang w:val="en-AU"/>
        </w:rPr>
        <w:t xml:space="preserve">pesticide </w:t>
      </w:r>
      <w:r>
        <w:rPr>
          <w:lang w:val="en-AU"/>
        </w:rPr>
        <w:t xml:space="preserve">concentrations (i.e. there will be a theoretical concentration at which no ecosystem effects are </w:t>
      </w:r>
      <w:r w:rsidR="009F2965">
        <w:rPr>
          <w:lang w:val="en-AU"/>
        </w:rPr>
        <w:t>experienced,</w:t>
      </w:r>
      <w:r>
        <w:rPr>
          <w:lang w:val="en-AU"/>
        </w:rPr>
        <w:t xml:space="preserve"> and this is not necessarily only when pesticides are completely absent) which cannot be derived with an SSD approach. </w:t>
      </w:r>
      <w:r w:rsidR="00CB2C1F">
        <w:rPr>
          <w:lang w:val="en-AU"/>
        </w:rPr>
        <w:t xml:space="preserve">It should also be noted that </w:t>
      </w:r>
      <w:r w:rsidR="00BF3B65">
        <w:rPr>
          <w:lang w:val="en-AU"/>
        </w:rPr>
        <w:t xml:space="preserve">PSII-HEq </w:t>
      </w:r>
      <w:r w:rsidR="00CB2C1F">
        <w:rPr>
          <w:lang w:val="en-AU"/>
        </w:rPr>
        <w:t>categories 3, 4 and 5 are all below the proposed marine GV of 430 ng L</w:t>
      </w:r>
      <w:r w:rsidR="00CB2C1F" w:rsidRPr="00CB2C1F">
        <w:rPr>
          <w:vertAlign w:val="superscript"/>
          <w:lang w:val="en-AU"/>
        </w:rPr>
        <w:t>-1</w:t>
      </w:r>
      <w:r w:rsidR="00CB2C1F">
        <w:rPr>
          <w:lang w:val="en-AU"/>
        </w:rPr>
        <w:t xml:space="preserve"> to protect 99% of species, suggesting </w:t>
      </w:r>
      <w:r w:rsidR="001830E2">
        <w:rPr>
          <w:lang w:val="en-AU"/>
        </w:rPr>
        <w:t>that even at concentrations when there are p</w:t>
      </w:r>
      <w:r w:rsidR="001830E2" w:rsidRPr="001830E2">
        <w:rPr>
          <w:lang w:val="en-AU"/>
        </w:rPr>
        <w:t>ublished scientific observations of reduced photosynthesis for two seagrass species and three diatoms</w:t>
      </w:r>
      <w:r w:rsidR="001830E2">
        <w:rPr>
          <w:lang w:val="en-AU"/>
        </w:rPr>
        <w:t xml:space="preserve"> (category 3), </w:t>
      </w:r>
      <w:r w:rsidR="00BF3B65">
        <w:rPr>
          <w:lang w:val="en-AU"/>
        </w:rPr>
        <w:t xml:space="preserve">overall </w:t>
      </w:r>
      <w:r w:rsidR="0084175A">
        <w:rPr>
          <w:lang w:val="en-AU"/>
        </w:rPr>
        <w:t xml:space="preserve">it is expected that </w:t>
      </w:r>
      <w:r w:rsidR="001830E2">
        <w:rPr>
          <w:lang w:val="en-AU"/>
        </w:rPr>
        <w:t xml:space="preserve">only 1% of all </w:t>
      </w:r>
      <w:r w:rsidR="0084175A">
        <w:rPr>
          <w:lang w:val="en-AU"/>
        </w:rPr>
        <w:t xml:space="preserve">marine </w:t>
      </w:r>
      <w:r w:rsidR="001830E2">
        <w:rPr>
          <w:lang w:val="en-AU"/>
        </w:rPr>
        <w:t>ecosystem species will be adversely impacted.</w:t>
      </w:r>
    </w:p>
    <w:p w14:paraId="67F7E97D" w14:textId="77777777" w:rsidR="005C069F" w:rsidRDefault="005C069F">
      <w:pPr>
        <w:ind w:firstLine="357"/>
        <w:jc w:val="left"/>
        <w:rPr>
          <w:lang w:val="en-AU"/>
        </w:rPr>
      </w:pPr>
      <w:r>
        <w:rPr>
          <w:lang w:val="en-AU"/>
        </w:rPr>
        <w:br w:type="page"/>
      </w:r>
    </w:p>
    <w:p w14:paraId="15721103" w14:textId="4400CC38" w:rsidR="00F32F87" w:rsidRPr="00F32F87" w:rsidRDefault="00F32F87" w:rsidP="00F32F87">
      <w:pPr>
        <w:pStyle w:val="Caption"/>
        <w:spacing w:after="120"/>
        <w:rPr>
          <w:b w:val="0"/>
        </w:rPr>
      </w:pPr>
      <w:bookmarkStart w:id="722" w:name="_Ref480830118"/>
      <w:bookmarkStart w:id="723" w:name="_Toc502499872"/>
      <w:r w:rsidRPr="00F32F87">
        <w:rPr>
          <w:b w:val="0"/>
        </w:rPr>
        <w:lastRenderedPageBreak/>
        <w:t xml:space="preserve">Table </w:t>
      </w:r>
      <w:r w:rsidR="00C91BF5" w:rsidRPr="00F32F87">
        <w:rPr>
          <w:b w:val="0"/>
        </w:rPr>
        <w:fldChar w:fldCharType="begin"/>
      </w:r>
      <w:r w:rsidRPr="00F32F87">
        <w:rPr>
          <w:b w:val="0"/>
        </w:rPr>
        <w:instrText xml:space="preserve"> SEQ Table \* ARABIC </w:instrText>
      </w:r>
      <w:r w:rsidR="00C91BF5" w:rsidRPr="00F32F87">
        <w:rPr>
          <w:b w:val="0"/>
        </w:rPr>
        <w:fldChar w:fldCharType="separate"/>
      </w:r>
      <w:r w:rsidR="00D12276">
        <w:rPr>
          <w:b w:val="0"/>
          <w:noProof/>
        </w:rPr>
        <w:t>14</w:t>
      </w:r>
      <w:r w:rsidR="00C91BF5" w:rsidRPr="00F32F87">
        <w:rPr>
          <w:b w:val="0"/>
        </w:rPr>
        <w:fldChar w:fldCharType="end"/>
      </w:r>
      <w:bookmarkEnd w:id="722"/>
      <w:r w:rsidRPr="00F32F87">
        <w:rPr>
          <w:b w:val="0"/>
        </w:rPr>
        <w:t xml:space="preserve">: </w:t>
      </w:r>
      <w:r w:rsidR="001B0430">
        <w:rPr>
          <w:b w:val="0"/>
        </w:rPr>
        <w:t>Comparison of</w:t>
      </w:r>
      <w:r w:rsidR="001B0430" w:rsidRPr="00A206DB">
        <w:rPr>
          <w:b w:val="0"/>
        </w:rPr>
        <w:t xml:space="preserve"> risk categories for marine waters using the </w:t>
      </w:r>
      <w:r w:rsidR="001B0430">
        <w:rPr>
          <w:b w:val="0"/>
        </w:rPr>
        <w:t>ms-PAF and the PSII-HEq methods</w:t>
      </w:r>
      <w:r w:rsidR="001B0430" w:rsidRPr="00A206DB">
        <w:rPr>
          <w:b w:val="0"/>
        </w:rPr>
        <w:t xml:space="preserve"> (percentage of species potentially affected and the corresponding equivalent diuron concentration (ng L</w:t>
      </w:r>
      <w:r w:rsidR="001B0430" w:rsidRPr="00A206DB">
        <w:rPr>
          <w:b w:val="0"/>
          <w:vertAlign w:val="superscript"/>
        </w:rPr>
        <w:t>-1</w:t>
      </w:r>
      <w:r w:rsidR="001B0430" w:rsidRPr="00A206DB">
        <w:rPr>
          <w:b w:val="0"/>
        </w:rPr>
        <w:t>)</w:t>
      </w:r>
      <w:r w:rsidR="00F46D77">
        <w:rPr>
          <w:b w:val="0"/>
        </w:rPr>
        <w:t>, relative to the proposed marine PC99 GV</w:t>
      </w:r>
      <w:r w:rsidR="00B85C8A">
        <w:rPr>
          <w:b w:val="0"/>
        </w:rPr>
        <w:t>.</w:t>
      </w:r>
      <w:bookmarkEnd w:id="723"/>
    </w:p>
    <w:tbl>
      <w:tblPr>
        <w:tblW w:w="10281" w:type="dxa"/>
        <w:tblInd w:w="118" w:type="dxa"/>
        <w:tblLook w:val="04A0" w:firstRow="1" w:lastRow="0" w:firstColumn="1" w:lastColumn="0" w:noHBand="0" w:noVBand="1"/>
      </w:tblPr>
      <w:tblGrid>
        <w:gridCol w:w="1290"/>
        <w:gridCol w:w="1701"/>
        <w:gridCol w:w="1965"/>
        <w:gridCol w:w="1720"/>
        <w:gridCol w:w="1843"/>
        <w:gridCol w:w="1762"/>
      </w:tblGrid>
      <w:tr w:rsidR="001B0430" w:rsidRPr="006B036A" w14:paraId="1572110B" w14:textId="77777777" w:rsidTr="00F46D77">
        <w:trPr>
          <w:trHeight w:val="1007"/>
        </w:trPr>
        <w:tc>
          <w:tcPr>
            <w:tcW w:w="1290" w:type="dxa"/>
            <w:tcBorders>
              <w:top w:val="single" w:sz="8" w:space="0" w:color="auto"/>
              <w:left w:val="single" w:sz="8" w:space="0" w:color="auto"/>
              <w:bottom w:val="single" w:sz="4" w:space="0" w:color="auto"/>
              <w:right w:val="single" w:sz="4" w:space="0" w:color="auto"/>
            </w:tcBorders>
            <w:shd w:val="clear" w:color="auto" w:fill="F2F2F2" w:themeFill="background1" w:themeFillShade="F2"/>
            <w:noWrap/>
            <w:vAlign w:val="center"/>
            <w:hideMark/>
          </w:tcPr>
          <w:p w14:paraId="15721104" w14:textId="77777777" w:rsidR="007F0006" w:rsidRDefault="001B0430" w:rsidP="001B0430">
            <w:pPr>
              <w:jc w:val="center"/>
              <w:rPr>
                <w:rFonts w:ascii="Calibri" w:eastAsia="Times New Roman" w:hAnsi="Calibri" w:cs="Calibri"/>
                <w:b/>
                <w:bCs/>
                <w:color w:val="000000"/>
                <w:lang w:val="en-AU" w:eastAsia="en-AU" w:bidi="ar-SA"/>
              </w:rPr>
            </w:pPr>
            <w:r w:rsidRPr="006B036A">
              <w:rPr>
                <w:rFonts w:ascii="Calibri" w:eastAsia="Times New Roman" w:hAnsi="Calibri" w:cs="Calibri"/>
                <w:b/>
                <w:bCs/>
                <w:color w:val="000000"/>
                <w:lang w:val="en-AU" w:eastAsia="en-AU" w:bidi="ar-SA"/>
              </w:rPr>
              <w:t xml:space="preserve">PSII </w:t>
            </w:r>
            <w:r w:rsidR="007F0006">
              <w:rPr>
                <w:rFonts w:ascii="Calibri" w:eastAsia="Times New Roman" w:hAnsi="Calibri" w:cs="Calibri"/>
                <w:b/>
                <w:bCs/>
                <w:color w:val="000000"/>
                <w:lang w:val="en-AU" w:eastAsia="en-AU" w:bidi="ar-SA"/>
              </w:rPr>
              <w:t>Risk</w:t>
            </w:r>
          </w:p>
          <w:p w14:paraId="15721105" w14:textId="77777777" w:rsidR="001B0430" w:rsidRPr="006B036A" w:rsidRDefault="001B0430" w:rsidP="001B0430">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Index</w:t>
            </w:r>
          </w:p>
        </w:tc>
        <w:tc>
          <w:tcPr>
            <w:tcW w:w="1701"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14:paraId="15721106" w14:textId="05A2BC81" w:rsidR="001B0430" w:rsidRPr="006B036A" w:rsidRDefault="001B0430" w:rsidP="001B0430">
            <w:pPr>
              <w:jc w:val="center"/>
              <w:rPr>
                <w:rFonts w:ascii="Calibri" w:eastAsia="Times New Roman" w:hAnsi="Calibri" w:cs="Calibri"/>
                <w:b/>
                <w:bCs/>
                <w:color w:val="000000"/>
                <w:lang w:val="en-AU" w:eastAsia="en-AU" w:bidi="ar-SA"/>
              </w:rPr>
            </w:pPr>
            <w:r w:rsidRPr="006B036A">
              <w:rPr>
                <w:rFonts w:ascii="Calibri" w:eastAsia="Times New Roman" w:hAnsi="Calibri" w:cs="Calibri"/>
                <w:b/>
                <w:bCs/>
                <w:color w:val="000000"/>
                <w:lang w:val="en-AU" w:eastAsia="en-AU" w:bidi="ar-SA"/>
              </w:rPr>
              <w:t xml:space="preserve">Diuron </w:t>
            </w:r>
            <w:r w:rsidR="009F2965">
              <w:rPr>
                <w:rFonts w:ascii="Calibri" w:eastAsia="Times New Roman" w:hAnsi="Calibri" w:cs="Calibri"/>
                <w:b/>
                <w:bCs/>
                <w:color w:val="000000"/>
                <w:lang w:val="en-AU" w:eastAsia="en-AU" w:bidi="ar-SA"/>
              </w:rPr>
              <w:t xml:space="preserve">PSII </w:t>
            </w:r>
            <w:r w:rsidRPr="006B036A">
              <w:rPr>
                <w:rFonts w:ascii="Calibri" w:eastAsia="Times New Roman" w:hAnsi="Calibri" w:cs="Calibri"/>
                <w:b/>
                <w:bCs/>
                <w:color w:val="000000"/>
                <w:lang w:val="en-AU" w:eastAsia="en-AU" w:bidi="ar-SA"/>
              </w:rPr>
              <w:t>equivalent Concentration</w:t>
            </w:r>
          </w:p>
        </w:tc>
        <w:tc>
          <w:tcPr>
            <w:tcW w:w="196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A6C065A" w14:textId="588B1903" w:rsidR="00F46D77" w:rsidRDefault="00F46D77" w:rsidP="001B0430">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 xml:space="preserve">ms-PAF model: </w:t>
            </w:r>
          </w:p>
          <w:p w14:paraId="15721107" w14:textId="1917A044" w:rsidR="001B0430" w:rsidRDefault="001B0430" w:rsidP="001B0430">
            <w:pPr>
              <w:jc w:val="center"/>
              <w:rPr>
                <w:rFonts w:ascii="Calibri" w:eastAsia="Times New Roman" w:hAnsi="Calibri" w:cs="Calibri"/>
                <w:b/>
                <w:bCs/>
                <w:color w:val="000000"/>
                <w:lang w:val="en-AU" w:eastAsia="en-AU" w:bidi="ar-SA"/>
              </w:rPr>
            </w:pPr>
            <w:r w:rsidRPr="006B036A">
              <w:rPr>
                <w:rFonts w:ascii="Calibri" w:eastAsia="Times New Roman" w:hAnsi="Calibri" w:cs="Calibri"/>
                <w:b/>
                <w:bCs/>
                <w:color w:val="000000"/>
                <w:lang w:val="en-AU" w:eastAsia="en-AU" w:bidi="ar-SA"/>
              </w:rPr>
              <w:t xml:space="preserve">% species potentially affected </w:t>
            </w:r>
          </w:p>
        </w:tc>
        <w:tc>
          <w:tcPr>
            <w:tcW w:w="17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CF0054F" w14:textId="77777777" w:rsidR="00F46D77" w:rsidRDefault="001B0430" w:rsidP="001B0430">
            <w:pPr>
              <w:jc w:val="center"/>
              <w:rPr>
                <w:rFonts w:ascii="Calibri" w:eastAsia="Times New Roman" w:hAnsi="Calibri" w:cs="Calibri"/>
                <w:b/>
                <w:bCs/>
                <w:color w:val="000000"/>
                <w:lang w:val="en-AU" w:eastAsia="en-AU" w:bidi="ar-SA"/>
              </w:rPr>
            </w:pPr>
            <w:r w:rsidRPr="006B036A">
              <w:rPr>
                <w:rFonts w:ascii="Calibri" w:eastAsia="Times New Roman" w:hAnsi="Calibri" w:cs="Calibri"/>
                <w:b/>
                <w:bCs/>
                <w:color w:val="000000"/>
                <w:lang w:val="en-AU" w:eastAsia="en-AU" w:bidi="ar-SA"/>
              </w:rPr>
              <w:t xml:space="preserve">Diuron </w:t>
            </w:r>
          </w:p>
          <w:p w14:paraId="15721108" w14:textId="117EC949" w:rsidR="001B0430" w:rsidRDefault="009F2965" w:rsidP="001B0430">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 xml:space="preserve">ms-PAF </w:t>
            </w:r>
            <w:r w:rsidR="00F46D77">
              <w:rPr>
                <w:rFonts w:ascii="Calibri" w:eastAsia="Times New Roman" w:hAnsi="Calibri" w:cs="Calibri"/>
                <w:b/>
                <w:bCs/>
                <w:color w:val="000000"/>
                <w:lang w:val="en-AU" w:eastAsia="en-AU" w:bidi="ar-SA"/>
              </w:rPr>
              <w:t>c</w:t>
            </w:r>
            <w:r w:rsidR="001B0430" w:rsidRPr="006B036A">
              <w:rPr>
                <w:rFonts w:ascii="Calibri" w:eastAsia="Times New Roman" w:hAnsi="Calibri" w:cs="Calibri"/>
                <w:b/>
                <w:bCs/>
                <w:color w:val="000000"/>
                <w:lang w:val="en-AU" w:eastAsia="en-AU" w:bidi="ar-SA"/>
              </w:rPr>
              <w:t>oncentration</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5721109" w14:textId="77777777" w:rsidR="001B0430" w:rsidRPr="006B036A" w:rsidRDefault="006900CE" w:rsidP="006900CE">
            <w:pPr>
              <w:jc w:val="center"/>
              <w:rPr>
                <w:rFonts w:ascii="Calibri" w:eastAsia="Times New Roman" w:hAnsi="Calibri" w:cs="Calibri"/>
                <w:b/>
                <w:bCs/>
                <w:color w:val="000000"/>
                <w:lang w:val="en-AU" w:eastAsia="en-AU" w:bidi="ar-SA"/>
              </w:rPr>
            </w:pPr>
            <w:r w:rsidRPr="006900CE">
              <w:rPr>
                <w:rFonts w:ascii="Calibri" w:eastAsia="Times New Roman" w:hAnsi="Calibri" w:cs="Calibri"/>
                <w:b/>
                <w:bCs/>
                <w:color w:val="000000"/>
                <w:lang w:val="en-AU" w:eastAsia="en-AU" w:bidi="ar-SA"/>
              </w:rPr>
              <w:t>ANZECC and ARMCANZ</w:t>
            </w:r>
            <w:r>
              <w:rPr>
                <w:rFonts w:ascii="Calibri" w:eastAsia="Times New Roman" w:hAnsi="Calibri" w:cs="Calibri"/>
                <w:b/>
                <w:bCs/>
                <w:color w:val="000000"/>
                <w:lang w:val="en-AU" w:eastAsia="en-AU" w:bidi="ar-SA"/>
              </w:rPr>
              <w:t xml:space="preserve"> Risk Category</w:t>
            </w:r>
          </w:p>
        </w:tc>
        <w:tc>
          <w:tcPr>
            <w:tcW w:w="176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572110A" w14:textId="2EBAB2D2" w:rsidR="001B0430" w:rsidRPr="006B036A" w:rsidRDefault="009F2965" w:rsidP="001B0430">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 xml:space="preserve">Proposed </w:t>
            </w:r>
            <w:r w:rsidR="00F46D77">
              <w:rPr>
                <w:rFonts w:ascii="Calibri" w:eastAsia="Times New Roman" w:hAnsi="Calibri" w:cs="Calibri"/>
                <w:b/>
                <w:bCs/>
                <w:color w:val="000000"/>
                <w:lang w:val="en-AU" w:eastAsia="en-AU" w:bidi="ar-SA"/>
              </w:rPr>
              <w:t xml:space="preserve">PC99 </w:t>
            </w:r>
            <w:r>
              <w:rPr>
                <w:rFonts w:ascii="Calibri" w:eastAsia="Times New Roman" w:hAnsi="Calibri" w:cs="Calibri"/>
                <w:b/>
                <w:bCs/>
                <w:color w:val="000000"/>
                <w:lang w:val="en-AU" w:eastAsia="en-AU" w:bidi="ar-SA"/>
              </w:rPr>
              <w:t>marine guideline value for diuron</w:t>
            </w:r>
          </w:p>
        </w:tc>
      </w:tr>
      <w:tr w:rsidR="009F2965" w:rsidRPr="006B036A" w14:paraId="15721112" w14:textId="77777777" w:rsidTr="00F46D77">
        <w:trPr>
          <w:trHeight w:val="615"/>
        </w:trPr>
        <w:tc>
          <w:tcPr>
            <w:tcW w:w="1290" w:type="dxa"/>
            <w:vMerge w:val="restart"/>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1572110C" w14:textId="77777777" w:rsidR="009F2965" w:rsidRPr="006B036A" w:rsidRDefault="009F2965" w:rsidP="001B0430">
            <w:pPr>
              <w:jc w:val="center"/>
              <w:rPr>
                <w:rFonts w:ascii="Calibri" w:eastAsia="Times New Roman" w:hAnsi="Calibri" w:cs="Calibri"/>
                <w:color w:val="000000"/>
                <w:lang w:val="en-AU" w:eastAsia="en-AU" w:bidi="ar-SA"/>
              </w:rPr>
            </w:pPr>
            <w:r w:rsidRPr="006B036A">
              <w:rPr>
                <w:rFonts w:ascii="Calibri" w:eastAsia="Times New Roman" w:hAnsi="Calibri" w:cs="Calibri"/>
                <w:color w:val="000000"/>
                <w:lang w:val="en-AU" w:eastAsia="en-AU" w:bidi="ar-SA"/>
              </w:rPr>
              <w:t>1</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2110D" w14:textId="77777777" w:rsidR="009F2965" w:rsidRPr="006B036A" w:rsidRDefault="009F2965" w:rsidP="001B0430">
            <w:pPr>
              <w:jc w:val="center"/>
              <w:rPr>
                <w:rFonts w:ascii="Calibri" w:eastAsia="Times New Roman" w:hAnsi="Calibri" w:cs="Calibri"/>
                <w:color w:val="000000"/>
                <w:lang w:val="en-AU" w:eastAsia="en-AU" w:bidi="ar-SA"/>
              </w:rPr>
            </w:pPr>
            <w:r w:rsidRPr="006B036A">
              <w:rPr>
                <w:rFonts w:ascii="Calibri" w:eastAsia="Times New Roman" w:hAnsi="Calibri" w:cs="Calibri"/>
                <w:color w:val="000000"/>
                <w:lang w:val="en-AU" w:eastAsia="en-AU" w:bidi="ar-SA"/>
              </w:rPr>
              <w:t>≥ 900 ng L</w:t>
            </w:r>
            <w:r w:rsidRPr="006B036A">
              <w:rPr>
                <w:rFonts w:ascii="Calibri" w:eastAsia="Times New Roman" w:hAnsi="Calibri" w:cs="Calibri"/>
                <w:color w:val="000000"/>
                <w:vertAlign w:val="superscript"/>
                <w:lang w:val="en-AU" w:eastAsia="en-AU" w:bidi="ar-SA"/>
              </w:rPr>
              <w:t>-1</w:t>
            </w:r>
          </w:p>
        </w:tc>
        <w:tc>
          <w:tcPr>
            <w:tcW w:w="1965" w:type="dxa"/>
            <w:tcBorders>
              <w:top w:val="single" w:sz="4" w:space="0" w:color="auto"/>
              <w:left w:val="single" w:sz="4" w:space="0" w:color="auto"/>
              <w:bottom w:val="single" w:sz="4" w:space="0" w:color="auto"/>
              <w:right w:val="single" w:sz="4" w:space="0" w:color="auto"/>
            </w:tcBorders>
            <w:vAlign w:val="center"/>
          </w:tcPr>
          <w:p w14:paraId="1572110E" w14:textId="77777777" w:rsidR="009F2965" w:rsidRPr="006B036A" w:rsidRDefault="009F2965" w:rsidP="001B0430">
            <w:pPr>
              <w:jc w:val="center"/>
              <w:rPr>
                <w:rFonts w:ascii="Calibri" w:eastAsia="Times New Roman" w:hAnsi="Calibri" w:cs="Calibri"/>
                <w:b/>
                <w:bCs/>
                <w:color w:val="000000"/>
                <w:lang w:val="en-AU" w:eastAsia="en-AU" w:bidi="ar-SA"/>
              </w:rPr>
            </w:pPr>
            <w:r>
              <w:rPr>
                <w:rFonts w:ascii="Calibri" w:eastAsia="Times New Roman" w:hAnsi="Calibri" w:cs="Calibri"/>
                <w:b/>
                <w:color w:val="000000"/>
                <w:lang w:val="en-AU" w:eastAsia="en-AU" w:bidi="ar-SA"/>
              </w:rPr>
              <w:t>&gt;20</w:t>
            </w:r>
            <w:r w:rsidRPr="006B036A">
              <w:rPr>
                <w:rFonts w:ascii="Calibri" w:eastAsia="Times New Roman" w:hAnsi="Calibri" w:cs="Calibri"/>
                <w:b/>
                <w:color w:val="000000"/>
                <w:lang w:val="en-AU" w:eastAsia="en-AU" w:bidi="ar-SA"/>
              </w:rPr>
              <w:t>%</w:t>
            </w:r>
          </w:p>
        </w:tc>
        <w:tc>
          <w:tcPr>
            <w:tcW w:w="1720" w:type="dxa"/>
            <w:tcBorders>
              <w:top w:val="single" w:sz="4" w:space="0" w:color="auto"/>
              <w:left w:val="single" w:sz="4" w:space="0" w:color="auto"/>
              <w:bottom w:val="single" w:sz="4" w:space="0" w:color="auto"/>
              <w:right w:val="single" w:sz="4" w:space="0" w:color="auto"/>
            </w:tcBorders>
            <w:vAlign w:val="center"/>
          </w:tcPr>
          <w:p w14:paraId="1572110F" w14:textId="77777777" w:rsidR="009F2965" w:rsidRPr="006B036A" w:rsidRDefault="009F2965" w:rsidP="001B0430">
            <w:pPr>
              <w:jc w:val="center"/>
              <w:rPr>
                <w:rFonts w:ascii="Calibri" w:eastAsia="Times New Roman" w:hAnsi="Calibri" w:cs="Calibri"/>
                <w:b/>
                <w:bCs/>
                <w:color w:val="000000"/>
                <w:lang w:val="en-AU" w:eastAsia="en-AU" w:bidi="ar-SA"/>
              </w:rPr>
            </w:pPr>
            <w:r w:rsidRPr="006B036A">
              <w:rPr>
                <w:rFonts w:ascii="Calibri" w:eastAsia="Times New Roman" w:hAnsi="Calibri" w:cs="Calibri"/>
                <w:color w:val="000000"/>
                <w:lang w:val="en-AU" w:eastAsia="en-AU" w:bidi="ar-SA"/>
              </w:rPr>
              <w:t>&gt;1,200 ng L</w:t>
            </w:r>
            <w:r w:rsidRPr="006B036A">
              <w:rPr>
                <w:rFonts w:ascii="Calibri" w:eastAsia="Times New Roman" w:hAnsi="Calibri" w:cs="Calibri"/>
                <w:color w:val="000000"/>
                <w:vertAlign w:val="superscript"/>
                <w:lang w:val="en-AU" w:eastAsia="en-AU" w:bidi="ar-SA"/>
              </w:rPr>
              <w:t>-1</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721110" w14:textId="77777777" w:rsidR="009F2965" w:rsidRPr="00F46D77" w:rsidRDefault="009F2965" w:rsidP="001B0430">
            <w:pPr>
              <w:jc w:val="center"/>
              <w:rPr>
                <w:rFonts w:ascii="Calibri" w:eastAsia="Times New Roman" w:hAnsi="Calibri" w:cs="Calibri"/>
                <w:bCs/>
                <w:color w:val="000000"/>
                <w:lang w:val="en-AU" w:eastAsia="en-AU" w:bidi="ar-SA"/>
              </w:rPr>
            </w:pPr>
            <w:r w:rsidRPr="00F46D77">
              <w:rPr>
                <w:rFonts w:ascii="Calibri" w:eastAsia="Times New Roman" w:hAnsi="Calibri" w:cs="Calibri"/>
                <w:bCs/>
                <w:color w:val="000000"/>
                <w:lang w:val="en-AU" w:eastAsia="en-AU" w:bidi="ar-SA"/>
              </w:rPr>
              <w:t>&lt;80% of species protected</w:t>
            </w:r>
          </w:p>
        </w:tc>
        <w:tc>
          <w:tcPr>
            <w:tcW w:w="176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15721111" w14:textId="2F686345" w:rsidR="009F2965" w:rsidRPr="006B036A" w:rsidRDefault="009F2965" w:rsidP="001B0430">
            <w:pPr>
              <w:jc w:val="center"/>
              <w:rPr>
                <w:rFonts w:ascii="Calibri" w:eastAsia="Times New Roman" w:hAnsi="Calibri" w:cs="Calibri"/>
                <w:color w:val="000000"/>
                <w:lang w:val="en-AU" w:eastAsia="en-AU" w:bidi="ar-SA"/>
              </w:rPr>
            </w:pPr>
          </w:p>
        </w:tc>
      </w:tr>
      <w:tr w:rsidR="009F2965" w:rsidRPr="006B036A" w14:paraId="15721119" w14:textId="77777777" w:rsidTr="00F46D77">
        <w:trPr>
          <w:trHeight w:val="269"/>
        </w:trPr>
        <w:tc>
          <w:tcPr>
            <w:tcW w:w="1290" w:type="dxa"/>
            <w:vMerge/>
            <w:tcBorders>
              <w:top w:val="single" w:sz="4" w:space="0" w:color="auto"/>
              <w:left w:val="single" w:sz="4" w:space="0" w:color="auto"/>
              <w:bottom w:val="single" w:sz="4" w:space="0" w:color="auto"/>
              <w:right w:val="single" w:sz="4" w:space="0" w:color="auto"/>
            </w:tcBorders>
            <w:vAlign w:val="center"/>
            <w:hideMark/>
          </w:tcPr>
          <w:p w14:paraId="15721113" w14:textId="77777777" w:rsidR="009F2965" w:rsidRPr="006B036A" w:rsidRDefault="009F2965" w:rsidP="001B0430">
            <w:pPr>
              <w:jc w:val="left"/>
              <w:rPr>
                <w:rFonts w:ascii="Calibri" w:eastAsia="Times New Roman" w:hAnsi="Calibri" w:cs="Calibri"/>
                <w:color w:val="000000"/>
                <w:lang w:val="en-AU" w:eastAsia="en-AU" w:bidi="ar-SA"/>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15721114" w14:textId="77777777" w:rsidR="009F2965" w:rsidRPr="006B036A" w:rsidRDefault="009F2965" w:rsidP="001B0430">
            <w:pPr>
              <w:jc w:val="left"/>
              <w:rPr>
                <w:rFonts w:ascii="Calibri" w:eastAsia="Times New Roman" w:hAnsi="Calibri" w:cs="Calibri"/>
                <w:color w:val="000000"/>
                <w:lang w:val="en-AU" w:eastAsia="en-AU" w:bidi="ar-SA"/>
              </w:rPr>
            </w:pPr>
          </w:p>
        </w:tc>
        <w:tc>
          <w:tcPr>
            <w:tcW w:w="1965" w:type="dxa"/>
            <w:vMerge w:val="restart"/>
            <w:tcBorders>
              <w:top w:val="single" w:sz="4" w:space="0" w:color="auto"/>
              <w:left w:val="single" w:sz="4" w:space="0" w:color="auto"/>
              <w:bottom w:val="single" w:sz="4" w:space="0" w:color="auto"/>
              <w:right w:val="single" w:sz="4" w:space="0" w:color="auto"/>
            </w:tcBorders>
            <w:vAlign w:val="center"/>
          </w:tcPr>
          <w:p w14:paraId="15721115" w14:textId="77777777" w:rsidR="009F2965" w:rsidRPr="006B036A" w:rsidRDefault="009F2965" w:rsidP="001B0430">
            <w:pPr>
              <w:jc w:val="center"/>
              <w:rPr>
                <w:rFonts w:ascii="Calibri" w:eastAsia="Times New Roman" w:hAnsi="Calibri" w:cs="Calibri"/>
                <w:b/>
                <w:bCs/>
                <w:color w:val="000000"/>
                <w:lang w:val="en-AU" w:eastAsia="en-AU" w:bidi="ar-SA"/>
              </w:rPr>
            </w:pPr>
            <w:r>
              <w:rPr>
                <w:rFonts w:ascii="Calibri" w:eastAsia="Times New Roman" w:hAnsi="Calibri" w:cs="Calibri"/>
                <w:b/>
                <w:color w:val="000000"/>
                <w:lang w:val="en-AU" w:eastAsia="en-AU" w:bidi="ar-SA"/>
              </w:rPr>
              <w:t>10 - 20</w:t>
            </w:r>
            <w:r w:rsidRPr="006B036A">
              <w:rPr>
                <w:rFonts w:ascii="Calibri" w:eastAsia="Times New Roman" w:hAnsi="Calibri" w:cs="Calibri"/>
                <w:b/>
                <w:color w:val="000000"/>
                <w:lang w:val="en-AU" w:eastAsia="en-AU" w:bidi="ar-SA"/>
              </w:rPr>
              <w:t>%</w:t>
            </w:r>
          </w:p>
        </w:tc>
        <w:tc>
          <w:tcPr>
            <w:tcW w:w="1720" w:type="dxa"/>
            <w:vMerge w:val="restart"/>
            <w:tcBorders>
              <w:top w:val="single" w:sz="4" w:space="0" w:color="auto"/>
              <w:left w:val="single" w:sz="4" w:space="0" w:color="auto"/>
              <w:bottom w:val="single" w:sz="4" w:space="0" w:color="auto"/>
              <w:right w:val="single" w:sz="4" w:space="0" w:color="auto"/>
            </w:tcBorders>
            <w:vAlign w:val="center"/>
          </w:tcPr>
          <w:p w14:paraId="15721116" w14:textId="77777777" w:rsidR="009F2965" w:rsidRPr="006B036A" w:rsidRDefault="009F2965" w:rsidP="001B0430">
            <w:pPr>
              <w:jc w:val="center"/>
              <w:rPr>
                <w:rFonts w:ascii="Calibri" w:eastAsia="Times New Roman" w:hAnsi="Calibri" w:cs="Calibri"/>
                <w:b/>
                <w:bCs/>
                <w:color w:val="000000"/>
                <w:lang w:val="en-AU" w:eastAsia="en-AU" w:bidi="ar-SA"/>
              </w:rPr>
            </w:pPr>
            <w:r w:rsidRPr="006B036A">
              <w:rPr>
                <w:rFonts w:ascii="Calibri" w:eastAsia="Times New Roman" w:hAnsi="Calibri" w:cs="Calibri"/>
                <w:color w:val="000000"/>
                <w:lang w:val="en-AU" w:eastAsia="en-AU" w:bidi="ar-SA"/>
              </w:rPr>
              <w:t>5</w:t>
            </w:r>
            <w:r>
              <w:rPr>
                <w:rFonts w:ascii="Calibri" w:eastAsia="Times New Roman" w:hAnsi="Calibri" w:cs="Calibri"/>
                <w:color w:val="000000"/>
                <w:lang w:val="en-AU" w:eastAsia="en-AU" w:bidi="ar-SA"/>
              </w:rPr>
              <w:t>2</w:t>
            </w:r>
            <w:r w:rsidRPr="006B036A">
              <w:rPr>
                <w:rFonts w:ascii="Calibri" w:eastAsia="Times New Roman" w:hAnsi="Calibri" w:cs="Calibri"/>
                <w:color w:val="000000"/>
                <w:lang w:val="en-AU" w:eastAsia="en-AU" w:bidi="ar-SA"/>
              </w:rPr>
              <w:t>0 - 1,200 ng L</w:t>
            </w:r>
            <w:r w:rsidRPr="006B036A">
              <w:rPr>
                <w:rFonts w:ascii="Calibri" w:eastAsia="Times New Roman" w:hAnsi="Calibri" w:cs="Calibri"/>
                <w:color w:val="000000"/>
                <w:vertAlign w:val="superscript"/>
                <w:lang w:val="en-AU" w:eastAsia="en-AU" w:bidi="ar-SA"/>
              </w:rPr>
              <w:t>-1</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5721117" w14:textId="77777777" w:rsidR="009F2965" w:rsidRPr="00F46D77" w:rsidRDefault="009F2965" w:rsidP="001B0430">
            <w:pPr>
              <w:jc w:val="center"/>
              <w:rPr>
                <w:rFonts w:ascii="Calibri" w:eastAsia="Times New Roman" w:hAnsi="Calibri" w:cs="Calibri"/>
                <w:bCs/>
                <w:color w:val="000000"/>
                <w:lang w:val="en-AU" w:eastAsia="en-AU" w:bidi="ar-SA"/>
              </w:rPr>
            </w:pPr>
            <w:r w:rsidRPr="00F46D77">
              <w:rPr>
                <w:rFonts w:ascii="Calibri" w:eastAsia="Times New Roman" w:hAnsi="Calibri" w:cs="Calibri"/>
                <w:bCs/>
                <w:color w:val="000000"/>
                <w:lang w:val="en-AU" w:eastAsia="en-AU" w:bidi="ar-SA"/>
              </w:rPr>
              <w:t>80% of species protected (PC80)</w:t>
            </w:r>
          </w:p>
        </w:tc>
        <w:tc>
          <w:tcPr>
            <w:tcW w:w="176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14:paraId="15721118" w14:textId="52B50C42" w:rsidR="009F2965" w:rsidRPr="006B036A" w:rsidRDefault="009F2965" w:rsidP="001B0430">
            <w:pPr>
              <w:jc w:val="center"/>
              <w:rPr>
                <w:rFonts w:ascii="Calibri" w:eastAsia="Times New Roman" w:hAnsi="Calibri" w:cs="Calibri"/>
                <w:color w:val="000000"/>
                <w:lang w:val="en-AU" w:eastAsia="en-AU" w:bidi="ar-SA"/>
              </w:rPr>
            </w:pPr>
          </w:p>
        </w:tc>
      </w:tr>
      <w:tr w:rsidR="009F2965" w:rsidRPr="006B036A" w14:paraId="15721120" w14:textId="77777777" w:rsidTr="00F46D77">
        <w:trPr>
          <w:trHeight w:val="660"/>
        </w:trPr>
        <w:tc>
          <w:tcPr>
            <w:tcW w:w="1290" w:type="dxa"/>
            <w:vMerge w:val="restart"/>
            <w:tcBorders>
              <w:top w:val="single" w:sz="4" w:space="0" w:color="auto"/>
              <w:left w:val="single" w:sz="4" w:space="0" w:color="auto"/>
              <w:bottom w:val="single" w:sz="4" w:space="0" w:color="auto"/>
              <w:right w:val="single" w:sz="4" w:space="0" w:color="auto"/>
            </w:tcBorders>
            <w:shd w:val="clear" w:color="000000" w:fill="E26B0A"/>
            <w:noWrap/>
            <w:vAlign w:val="center"/>
            <w:hideMark/>
          </w:tcPr>
          <w:p w14:paraId="1572111A" w14:textId="77777777" w:rsidR="009F2965" w:rsidRPr="006B036A" w:rsidRDefault="009F2965" w:rsidP="001B0430">
            <w:pPr>
              <w:jc w:val="center"/>
              <w:rPr>
                <w:rFonts w:ascii="Calibri" w:eastAsia="Times New Roman" w:hAnsi="Calibri" w:cs="Calibri"/>
                <w:color w:val="000000"/>
                <w:lang w:val="en-AU" w:eastAsia="en-AU" w:bidi="ar-SA"/>
              </w:rPr>
            </w:pPr>
            <w:r w:rsidRPr="006B036A">
              <w:rPr>
                <w:rFonts w:ascii="Calibri" w:eastAsia="Times New Roman" w:hAnsi="Calibri" w:cs="Calibri"/>
                <w:color w:val="000000"/>
                <w:lang w:val="en-AU" w:eastAsia="en-AU" w:bidi="ar-SA"/>
              </w:rPr>
              <w:t>2</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2111B" w14:textId="77777777" w:rsidR="009F2965" w:rsidRPr="006B036A" w:rsidRDefault="009F2965" w:rsidP="001B0430">
            <w:pPr>
              <w:jc w:val="center"/>
              <w:rPr>
                <w:rFonts w:ascii="Calibri" w:eastAsia="Times New Roman" w:hAnsi="Calibri" w:cs="Calibri"/>
                <w:color w:val="000000"/>
                <w:lang w:val="en-AU" w:eastAsia="en-AU" w:bidi="ar-SA"/>
              </w:rPr>
            </w:pPr>
            <w:r w:rsidRPr="006B036A">
              <w:rPr>
                <w:rFonts w:ascii="Calibri" w:eastAsia="Times New Roman" w:hAnsi="Calibri" w:cs="Calibri"/>
                <w:color w:val="000000"/>
                <w:lang w:val="en-AU" w:eastAsia="en-AU" w:bidi="ar-SA"/>
              </w:rPr>
              <w:t>250 - 900 ng L</w:t>
            </w:r>
            <w:r w:rsidRPr="006B036A">
              <w:rPr>
                <w:rFonts w:ascii="Calibri" w:eastAsia="Times New Roman" w:hAnsi="Calibri" w:cs="Calibri"/>
                <w:color w:val="000000"/>
                <w:vertAlign w:val="superscript"/>
                <w:lang w:val="en-AU" w:eastAsia="en-AU" w:bidi="ar-SA"/>
              </w:rPr>
              <w:t>-1</w:t>
            </w:r>
          </w:p>
        </w:tc>
        <w:tc>
          <w:tcPr>
            <w:tcW w:w="1965" w:type="dxa"/>
            <w:vMerge/>
            <w:tcBorders>
              <w:top w:val="single" w:sz="4" w:space="0" w:color="auto"/>
              <w:left w:val="single" w:sz="4" w:space="0" w:color="auto"/>
              <w:bottom w:val="single" w:sz="4" w:space="0" w:color="auto"/>
              <w:right w:val="single" w:sz="4" w:space="0" w:color="auto"/>
            </w:tcBorders>
            <w:vAlign w:val="center"/>
          </w:tcPr>
          <w:p w14:paraId="1572111C" w14:textId="77777777" w:rsidR="009F2965" w:rsidRPr="006B036A" w:rsidRDefault="009F2965" w:rsidP="001B0430">
            <w:pPr>
              <w:jc w:val="left"/>
              <w:rPr>
                <w:rFonts w:ascii="Calibri" w:eastAsia="Times New Roman" w:hAnsi="Calibri" w:cs="Calibri"/>
                <w:b/>
                <w:bCs/>
                <w:color w:val="000000"/>
                <w:lang w:val="en-AU" w:eastAsia="en-AU" w:bidi="ar-SA"/>
              </w:rPr>
            </w:pPr>
          </w:p>
        </w:tc>
        <w:tc>
          <w:tcPr>
            <w:tcW w:w="1720" w:type="dxa"/>
            <w:vMerge/>
            <w:tcBorders>
              <w:top w:val="single" w:sz="4" w:space="0" w:color="auto"/>
              <w:left w:val="single" w:sz="4" w:space="0" w:color="auto"/>
              <w:bottom w:val="single" w:sz="4" w:space="0" w:color="auto"/>
              <w:right w:val="single" w:sz="4" w:space="0" w:color="auto"/>
            </w:tcBorders>
            <w:vAlign w:val="center"/>
          </w:tcPr>
          <w:p w14:paraId="1572111D" w14:textId="77777777" w:rsidR="009F2965" w:rsidRPr="006B036A" w:rsidRDefault="009F2965" w:rsidP="001B0430">
            <w:pPr>
              <w:jc w:val="left"/>
              <w:rPr>
                <w:rFonts w:ascii="Calibri" w:eastAsia="Times New Roman" w:hAnsi="Calibri" w:cs="Calibri"/>
                <w:b/>
                <w:bCs/>
                <w:color w:val="000000"/>
                <w:lang w:val="en-AU" w:eastAsia="en-AU" w:bidi="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572111E" w14:textId="77777777" w:rsidR="009F2965" w:rsidRPr="00F46D77" w:rsidRDefault="009F2965" w:rsidP="001B0430">
            <w:pPr>
              <w:jc w:val="left"/>
              <w:rPr>
                <w:rFonts w:ascii="Calibri" w:eastAsia="Times New Roman" w:hAnsi="Calibri" w:cs="Calibri"/>
                <w:bCs/>
                <w:color w:val="000000"/>
                <w:lang w:val="en-AU" w:eastAsia="en-AU" w:bidi="ar-SA"/>
              </w:rPr>
            </w:pPr>
          </w:p>
        </w:tc>
        <w:tc>
          <w:tcPr>
            <w:tcW w:w="1762" w:type="dxa"/>
            <w:vMerge/>
            <w:tcBorders>
              <w:top w:val="single" w:sz="4" w:space="0" w:color="auto"/>
              <w:left w:val="single" w:sz="4" w:space="0" w:color="auto"/>
              <w:bottom w:val="single" w:sz="4" w:space="0" w:color="auto"/>
              <w:right w:val="single" w:sz="4" w:space="0" w:color="auto"/>
            </w:tcBorders>
            <w:vAlign w:val="center"/>
          </w:tcPr>
          <w:p w14:paraId="1572111F" w14:textId="77777777" w:rsidR="009F2965" w:rsidRPr="006B036A" w:rsidRDefault="009F2965" w:rsidP="001B0430">
            <w:pPr>
              <w:jc w:val="left"/>
              <w:rPr>
                <w:rFonts w:ascii="Calibri" w:eastAsia="Times New Roman" w:hAnsi="Calibri" w:cs="Calibri"/>
                <w:color w:val="000000"/>
                <w:lang w:val="en-AU" w:eastAsia="en-AU" w:bidi="ar-SA"/>
              </w:rPr>
            </w:pPr>
          </w:p>
        </w:tc>
      </w:tr>
      <w:tr w:rsidR="001B0430" w:rsidRPr="006B036A" w14:paraId="15721127" w14:textId="77777777" w:rsidTr="00F46D77">
        <w:trPr>
          <w:trHeight w:val="655"/>
        </w:trPr>
        <w:tc>
          <w:tcPr>
            <w:tcW w:w="1290" w:type="dxa"/>
            <w:vMerge/>
            <w:tcBorders>
              <w:top w:val="single" w:sz="4" w:space="0" w:color="auto"/>
              <w:left w:val="single" w:sz="4" w:space="0" w:color="auto"/>
              <w:bottom w:val="single" w:sz="4" w:space="0" w:color="auto"/>
              <w:right w:val="single" w:sz="4" w:space="0" w:color="auto"/>
            </w:tcBorders>
            <w:vAlign w:val="center"/>
            <w:hideMark/>
          </w:tcPr>
          <w:p w14:paraId="15721121" w14:textId="77777777" w:rsidR="001B0430" w:rsidRPr="006B036A" w:rsidRDefault="001B0430" w:rsidP="001B0430">
            <w:pPr>
              <w:jc w:val="left"/>
              <w:rPr>
                <w:rFonts w:ascii="Calibri" w:eastAsia="Times New Roman" w:hAnsi="Calibri" w:cs="Calibri"/>
                <w:color w:val="000000"/>
                <w:lang w:val="en-AU" w:eastAsia="en-AU" w:bidi="ar-SA"/>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15721122" w14:textId="77777777" w:rsidR="001B0430" w:rsidRPr="006B036A" w:rsidRDefault="001B0430" w:rsidP="001B0430">
            <w:pPr>
              <w:jc w:val="left"/>
              <w:rPr>
                <w:rFonts w:ascii="Calibri" w:eastAsia="Times New Roman" w:hAnsi="Calibri" w:cs="Calibri"/>
                <w:color w:val="000000"/>
                <w:lang w:val="en-AU" w:eastAsia="en-AU" w:bidi="ar-SA"/>
              </w:rPr>
            </w:pPr>
          </w:p>
        </w:tc>
        <w:tc>
          <w:tcPr>
            <w:tcW w:w="1965" w:type="dxa"/>
            <w:tcBorders>
              <w:top w:val="single" w:sz="4" w:space="0" w:color="auto"/>
              <w:left w:val="single" w:sz="4" w:space="0" w:color="auto"/>
              <w:bottom w:val="single" w:sz="4" w:space="0" w:color="auto"/>
              <w:right w:val="single" w:sz="4" w:space="0" w:color="auto"/>
            </w:tcBorders>
            <w:vAlign w:val="center"/>
          </w:tcPr>
          <w:p w14:paraId="15721123" w14:textId="77777777" w:rsidR="001B0430" w:rsidRPr="006B036A" w:rsidRDefault="007F0006" w:rsidP="001B0430">
            <w:pPr>
              <w:jc w:val="center"/>
              <w:rPr>
                <w:rFonts w:ascii="Calibri" w:eastAsia="Times New Roman" w:hAnsi="Calibri" w:cs="Calibri"/>
                <w:b/>
                <w:bCs/>
                <w:color w:val="000000"/>
                <w:lang w:val="en-AU" w:eastAsia="en-AU" w:bidi="ar-SA"/>
              </w:rPr>
            </w:pPr>
            <w:r>
              <w:rPr>
                <w:rFonts w:ascii="Calibri" w:eastAsia="Times New Roman" w:hAnsi="Calibri" w:cs="Calibri"/>
                <w:b/>
                <w:color w:val="000000"/>
                <w:lang w:val="en-AU" w:eastAsia="en-AU" w:bidi="ar-SA"/>
              </w:rPr>
              <w:t>5 - 10</w:t>
            </w:r>
            <w:r w:rsidR="001B0430" w:rsidRPr="006B036A">
              <w:rPr>
                <w:rFonts w:ascii="Calibri" w:eastAsia="Times New Roman" w:hAnsi="Calibri" w:cs="Calibri"/>
                <w:b/>
                <w:color w:val="000000"/>
                <w:lang w:val="en-AU" w:eastAsia="en-AU" w:bidi="ar-SA"/>
              </w:rPr>
              <w:t>%</w:t>
            </w:r>
          </w:p>
        </w:tc>
        <w:tc>
          <w:tcPr>
            <w:tcW w:w="1720" w:type="dxa"/>
            <w:tcBorders>
              <w:top w:val="single" w:sz="4" w:space="0" w:color="auto"/>
              <w:left w:val="single" w:sz="4" w:space="0" w:color="auto"/>
              <w:bottom w:val="single" w:sz="4" w:space="0" w:color="auto"/>
              <w:right w:val="single" w:sz="4" w:space="0" w:color="auto"/>
            </w:tcBorders>
            <w:vAlign w:val="center"/>
          </w:tcPr>
          <w:p w14:paraId="15721124" w14:textId="77777777" w:rsidR="001B0430" w:rsidRPr="006B036A" w:rsidRDefault="001B0430" w:rsidP="001B0430">
            <w:pPr>
              <w:jc w:val="center"/>
              <w:rPr>
                <w:rFonts w:ascii="Calibri" w:eastAsia="Times New Roman" w:hAnsi="Calibri" w:cs="Calibri"/>
                <w:b/>
                <w:bCs/>
                <w:color w:val="000000"/>
                <w:lang w:val="en-AU" w:eastAsia="en-AU" w:bidi="ar-SA"/>
              </w:rPr>
            </w:pPr>
            <w:r>
              <w:rPr>
                <w:rFonts w:ascii="Calibri" w:eastAsia="Times New Roman" w:hAnsi="Calibri" w:cs="Calibri"/>
                <w:color w:val="000000"/>
                <w:lang w:val="en-AU" w:eastAsia="en-AU" w:bidi="ar-SA"/>
              </w:rPr>
              <w:t>240</w:t>
            </w:r>
            <w:r w:rsidRPr="006B036A">
              <w:rPr>
                <w:rFonts w:ascii="Calibri" w:eastAsia="Times New Roman" w:hAnsi="Calibri" w:cs="Calibri"/>
                <w:color w:val="000000"/>
                <w:lang w:val="en-AU" w:eastAsia="en-AU" w:bidi="ar-SA"/>
              </w:rPr>
              <w:t xml:space="preserve"> - 5</w:t>
            </w:r>
            <w:r>
              <w:rPr>
                <w:rFonts w:ascii="Calibri" w:eastAsia="Times New Roman" w:hAnsi="Calibri" w:cs="Calibri"/>
                <w:color w:val="000000"/>
                <w:lang w:val="en-AU" w:eastAsia="en-AU" w:bidi="ar-SA"/>
              </w:rPr>
              <w:t>2</w:t>
            </w:r>
            <w:r w:rsidRPr="006B036A">
              <w:rPr>
                <w:rFonts w:ascii="Calibri" w:eastAsia="Times New Roman" w:hAnsi="Calibri" w:cs="Calibri"/>
                <w:color w:val="000000"/>
                <w:lang w:val="en-AU" w:eastAsia="en-AU" w:bidi="ar-SA"/>
              </w:rPr>
              <w:t>0 ng L</w:t>
            </w:r>
            <w:r w:rsidRPr="006B036A">
              <w:rPr>
                <w:rFonts w:ascii="Calibri" w:eastAsia="Times New Roman" w:hAnsi="Calibri" w:cs="Calibri"/>
                <w:color w:val="000000"/>
                <w:vertAlign w:val="superscript"/>
                <w:lang w:val="en-AU" w:eastAsia="en-AU" w:bidi="ar-SA"/>
              </w:rPr>
              <w:t>-1</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721125" w14:textId="77777777" w:rsidR="001B0430" w:rsidRPr="00F46D77" w:rsidRDefault="001B0430" w:rsidP="001B0430">
            <w:pPr>
              <w:jc w:val="center"/>
              <w:rPr>
                <w:rFonts w:ascii="Calibri" w:eastAsia="Times New Roman" w:hAnsi="Calibri" w:cs="Calibri"/>
                <w:bCs/>
                <w:color w:val="000000"/>
                <w:lang w:val="en-AU" w:eastAsia="en-AU" w:bidi="ar-SA"/>
              </w:rPr>
            </w:pPr>
            <w:r w:rsidRPr="00F46D77">
              <w:rPr>
                <w:rFonts w:ascii="Calibri" w:eastAsia="Times New Roman" w:hAnsi="Calibri" w:cs="Calibri"/>
                <w:bCs/>
                <w:color w:val="000000"/>
                <w:lang w:val="en-AU" w:eastAsia="en-AU" w:bidi="ar-SA"/>
              </w:rPr>
              <w:t>90% of species protected (PC90)</w:t>
            </w:r>
          </w:p>
        </w:tc>
        <w:tc>
          <w:tcPr>
            <w:tcW w:w="176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21126" w14:textId="061611CB" w:rsidR="001B0430" w:rsidRPr="00F46D77" w:rsidRDefault="009F2965" w:rsidP="001B0430">
            <w:pPr>
              <w:jc w:val="center"/>
              <w:rPr>
                <w:rFonts w:ascii="Calibri" w:eastAsia="Times New Roman" w:hAnsi="Calibri" w:cs="Calibri"/>
                <w:b/>
                <w:color w:val="000000"/>
                <w:lang w:val="en-AU" w:eastAsia="en-AU" w:bidi="ar-SA"/>
              </w:rPr>
            </w:pPr>
            <w:r w:rsidRPr="00F46D77">
              <w:rPr>
                <w:rFonts w:ascii="Calibri" w:eastAsia="Times New Roman" w:hAnsi="Calibri" w:cs="Calibri"/>
                <w:b/>
                <w:color w:val="000000"/>
                <w:lang w:val="en-AU" w:eastAsia="en-AU" w:bidi="ar-SA"/>
              </w:rPr>
              <w:t>43</w:t>
            </w:r>
            <w:r w:rsidR="001B0430" w:rsidRPr="00F46D77">
              <w:rPr>
                <w:rFonts w:ascii="Calibri" w:eastAsia="Times New Roman" w:hAnsi="Calibri" w:cs="Calibri"/>
                <w:b/>
                <w:color w:val="000000"/>
                <w:lang w:val="en-AU" w:eastAsia="en-AU" w:bidi="ar-SA"/>
              </w:rPr>
              <w:t>0 ng L</w:t>
            </w:r>
            <w:r w:rsidR="001B0430" w:rsidRPr="00F46D77">
              <w:rPr>
                <w:rFonts w:ascii="Calibri" w:eastAsia="Times New Roman" w:hAnsi="Calibri" w:cs="Calibri"/>
                <w:b/>
                <w:color w:val="000000"/>
                <w:vertAlign w:val="superscript"/>
                <w:lang w:val="en-AU" w:eastAsia="en-AU" w:bidi="ar-SA"/>
              </w:rPr>
              <w:t>-1</w:t>
            </w:r>
          </w:p>
        </w:tc>
      </w:tr>
      <w:tr w:rsidR="009F2965" w:rsidRPr="006B036A" w14:paraId="1572112E" w14:textId="77777777" w:rsidTr="00F46D77">
        <w:trPr>
          <w:trHeight w:val="920"/>
        </w:trPr>
        <w:tc>
          <w:tcPr>
            <w:tcW w:w="129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15721128" w14:textId="77777777" w:rsidR="009F2965" w:rsidRPr="006B036A" w:rsidRDefault="009F2965" w:rsidP="001B0430">
            <w:pPr>
              <w:jc w:val="center"/>
              <w:rPr>
                <w:rFonts w:ascii="Calibri" w:eastAsia="Times New Roman" w:hAnsi="Calibri" w:cs="Calibri"/>
                <w:color w:val="000000"/>
                <w:lang w:val="en-AU" w:eastAsia="en-AU" w:bidi="ar-SA"/>
              </w:rPr>
            </w:pPr>
            <w:r w:rsidRPr="006B036A">
              <w:rPr>
                <w:rFonts w:ascii="Calibri" w:eastAsia="Times New Roman" w:hAnsi="Calibri" w:cs="Calibri"/>
                <w:color w:val="000000"/>
                <w:lang w:val="en-AU" w:eastAsia="en-AU" w:bidi="ar-SA"/>
              </w:rPr>
              <w:t>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21129" w14:textId="77777777" w:rsidR="009F2965" w:rsidRPr="006B036A" w:rsidRDefault="009F2965" w:rsidP="001B0430">
            <w:pPr>
              <w:jc w:val="center"/>
              <w:rPr>
                <w:rFonts w:ascii="Calibri" w:eastAsia="Times New Roman" w:hAnsi="Calibri" w:cs="Calibri"/>
                <w:color w:val="000000"/>
                <w:lang w:val="en-AU" w:eastAsia="en-AU" w:bidi="ar-SA"/>
              </w:rPr>
            </w:pPr>
            <w:r w:rsidRPr="006B036A">
              <w:rPr>
                <w:rFonts w:ascii="Calibri" w:eastAsia="Times New Roman" w:hAnsi="Calibri" w:cs="Calibri"/>
                <w:color w:val="000000"/>
                <w:lang w:val="en-AU" w:eastAsia="en-AU" w:bidi="ar-SA"/>
              </w:rPr>
              <w:t>50 - 250 ng L</w:t>
            </w:r>
            <w:r w:rsidRPr="006B036A">
              <w:rPr>
                <w:rFonts w:ascii="Calibri" w:eastAsia="Times New Roman" w:hAnsi="Calibri" w:cs="Calibri"/>
                <w:color w:val="000000"/>
                <w:vertAlign w:val="superscript"/>
                <w:lang w:val="en-AU" w:eastAsia="en-AU" w:bidi="ar-SA"/>
              </w:rPr>
              <w:t>-1</w:t>
            </w:r>
          </w:p>
        </w:tc>
        <w:tc>
          <w:tcPr>
            <w:tcW w:w="1965" w:type="dxa"/>
            <w:tcBorders>
              <w:top w:val="single" w:sz="4" w:space="0" w:color="auto"/>
              <w:left w:val="single" w:sz="4" w:space="0" w:color="auto"/>
              <w:bottom w:val="single" w:sz="4" w:space="0" w:color="auto"/>
              <w:right w:val="single" w:sz="4" w:space="0" w:color="auto"/>
            </w:tcBorders>
            <w:vAlign w:val="center"/>
          </w:tcPr>
          <w:p w14:paraId="1572112A" w14:textId="77777777" w:rsidR="009F2965" w:rsidRPr="006B036A" w:rsidRDefault="009F2965" w:rsidP="001B0430">
            <w:pPr>
              <w:jc w:val="center"/>
              <w:rPr>
                <w:rFonts w:ascii="Calibri" w:eastAsia="Times New Roman" w:hAnsi="Calibri" w:cs="Calibri"/>
                <w:b/>
                <w:bCs/>
                <w:color w:val="000000"/>
                <w:lang w:val="en-AU" w:eastAsia="en-AU" w:bidi="ar-SA"/>
              </w:rPr>
            </w:pPr>
            <w:r>
              <w:rPr>
                <w:rFonts w:ascii="Calibri" w:eastAsia="Times New Roman" w:hAnsi="Calibri" w:cs="Calibri"/>
                <w:b/>
                <w:color w:val="000000"/>
                <w:lang w:val="en-AU" w:eastAsia="en-AU" w:bidi="ar-SA"/>
              </w:rPr>
              <w:t>1 - 5</w:t>
            </w:r>
            <w:r w:rsidRPr="006B036A">
              <w:rPr>
                <w:rFonts w:ascii="Calibri" w:eastAsia="Times New Roman" w:hAnsi="Calibri" w:cs="Calibri"/>
                <w:b/>
                <w:color w:val="000000"/>
                <w:lang w:val="en-AU" w:eastAsia="en-AU" w:bidi="ar-SA"/>
              </w:rPr>
              <w:t>%</w:t>
            </w:r>
          </w:p>
        </w:tc>
        <w:tc>
          <w:tcPr>
            <w:tcW w:w="1720" w:type="dxa"/>
            <w:tcBorders>
              <w:top w:val="single" w:sz="4" w:space="0" w:color="auto"/>
              <w:left w:val="single" w:sz="4" w:space="0" w:color="auto"/>
              <w:bottom w:val="single" w:sz="4" w:space="0" w:color="auto"/>
              <w:right w:val="single" w:sz="4" w:space="0" w:color="auto"/>
            </w:tcBorders>
            <w:vAlign w:val="center"/>
          </w:tcPr>
          <w:p w14:paraId="1572112B" w14:textId="77777777" w:rsidR="009F2965" w:rsidRPr="006B036A" w:rsidRDefault="009F2965" w:rsidP="001B0430">
            <w:pPr>
              <w:jc w:val="center"/>
              <w:rPr>
                <w:rFonts w:ascii="Calibri" w:eastAsia="Times New Roman" w:hAnsi="Calibri" w:cs="Calibri"/>
                <w:b/>
                <w:bCs/>
                <w:color w:val="000000"/>
                <w:lang w:val="en-AU" w:eastAsia="en-AU" w:bidi="ar-SA"/>
              </w:rPr>
            </w:pPr>
            <w:r w:rsidRPr="006B036A">
              <w:rPr>
                <w:rFonts w:ascii="Calibri" w:eastAsia="Times New Roman" w:hAnsi="Calibri" w:cs="Calibri"/>
                <w:color w:val="000000"/>
                <w:lang w:val="en-AU" w:eastAsia="en-AU" w:bidi="ar-SA"/>
              </w:rPr>
              <w:t>4</w:t>
            </w:r>
            <w:r>
              <w:rPr>
                <w:rFonts w:ascii="Calibri" w:eastAsia="Times New Roman" w:hAnsi="Calibri" w:cs="Calibri"/>
                <w:color w:val="000000"/>
                <w:lang w:val="en-AU" w:eastAsia="en-AU" w:bidi="ar-SA"/>
              </w:rPr>
              <w:t>6</w:t>
            </w:r>
            <w:r w:rsidRPr="006B036A">
              <w:rPr>
                <w:rFonts w:ascii="Calibri" w:eastAsia="Times New Roman" w:hAnsi="Calibri" w:cs="Calibri"/>
                <w:color w:val="000000"/>
                <w:lang w:val="en-AU" w:eastAsia="en-AU" w:bidi="ar-SA"/>
              </w:rPr>
              <w:t xml:space="preserve"> - 2</w:t>
            </w:r>
            <w:r>
              <w:rPr>
                <w:rFonts w:ascii="Calibri" w:eastAsia="Times New Roman" w:hAnsi="Calibri" w:cs="Calibri"/>
                <w:color w:val="000000"/>
                <w:lang w:val="en-AU" w:eastAsia="en-AU" w:bidi="ar-SA"/>
              </w:rPr>
              <w:t>4</w:t>
            </w:r>
            <w:r w:rsidRPr="006B036A">
              <w:rPr>
                <w:rFonts w:ascii="Calibri" w:eastAsia="Times New Roman" w:hAnsi="Calibri" w:cs="Calibri"/>
                <w:color w:val="000000"/>
                <w:lang w:val="en-AU" w:eastAsia="en-AU" w:bidi="ar-SA"/>
              </w:rPr>
              <w:t>0 ng L</w:t>
            </w:r>
            <w:r w:rsidRPr="006B036A">
              <w:rPr>
                <w:rFonts w:ascii="Calibri" w:eastAsia="Times New Roman" w:hAnsi="Calibri" w:cs="Calibri"/>
                <w:color w:val="000000"/>
                <w:vertAlign w:val="superscript"/>
                <w:lang w:val="en-AU" w:eastAsia="en-AU" w:bidi="ar-SA"/>
              </w:rPr>
              <w:t>-1</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72112C" w14:textId="77777777" w:rsidR="009F2965" w:rsidRPr="00F46D77" w:rsidRDefault="009F2965" w:rsidP="001B0430">
            <w:pPr>
              <w:jc w:val="center"/>
              <w:rPr>
                <w:rFonts w:ascii="Calibri" w:eastAsia="Times New Roman" w:hAnsi="Calibri" w:cs="Calibri"/>
                <w:bCs/>
                <w:color w:val="000000"/>
                <w:lang w:val="en-AU" w:eastAsia="en-AU" w:bidi="ar-SA"/>
              </w:rPr>
            </w:pPr>
            <w:r w:rsidRPr="00F46D77">
              <w:rPr>
                <w:rFonts w:ascii="Calibri" w:eastAsia="Times New Roman" w:hAnsi="Calibri" w:cs="Calibri"/>
                <w:bCs/>
                <w:color w:val="000000"/>
                <w:lang w:val="en-AU" w:eastAsia="en-AU" w:bidi="ar-SA"/>
              </w:rPr>
              <w:t>95% of species protected (PC95)</w:t>
            </w:r>
          </w:p>
        </w:tc>
        <w:tc>
          <w:tcPr>
            <w:tcW w:w="176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1572112D" w14:textId="172261CD" w:rsidR="009F2965" w:rsidRPr="006B036A" w:rsidRDefault="009F2965" w:rsidP="001B0430">
            <w:pPr>
              <w:jc w:val="center"/>
              <w:rPr>
                <w:rFonts w:ascii="Calibri" w:eastAsia="Times New Roman" w:hAnsi="Calibri" w:cs="Calibri"/>
                <w:color w:val="000000"/>
                <w:lang w:val="en-AU" w:eastAsia="en-AU" w:bidi="ar-SA"/>
              </w:rPr>
            </w:pPr>
          </w:p>
        </w:tc>
      </w:tr>
      <w:tr w:rsidR="009F2965" w:rsidRPr="006B036A" w14:paraId="15721135" w14:textId="77777777" w:rsidTr="00F46D77">
        <w:trPr>
          <w:trHeight w:val="512"/>
        </w:trPr>
        <w:tc>
          <w:tcPr>
            <w:tcW w:w="1290" w:type="dxa"/>
            <w:tcBorders>
              <w:top w:val="single" w:sz="4" w:space="0" w:color="auto"/>
              <w:left w:val="single" w:sz="4" w:space="0" w:color="auto"/>
              <w:bottom w:val="single" w:sz="4" w:space="0" w:color="auto"/>
              <w:right w:val="single" w:sz="4" w:space="0" w:color="auto"/>
            </w:tcBorders>
            <w:shd w:val="clear" w:color="000000" w:fill="9BBB59"/>
            <w:noWrap/>
            <w:vAlign w:val="center"/>
            <w:hideMark/>
          </w:tcPr>
          <w:p w14:paraId="1572112F" w14:textId="77777777" w:rsidR="009F2965" w:rsidRPr="006B036A" w:rsidRDefault="009F2965" w:rsidP="001B0430">
            <w:pPr>
              <w:jc w:val="center"/>
              <w:rPr>
                <w:rFonts w:ascii="Calibri" w:eastAsia="Times New Roman" w:hAnsi="Calibri" w:cs="Calibri"/>
                <w:color w:val="000000"/>
                <w:lang w:val="en-AU" w:eastAsia="en-AU" w:bidi="ar-SA"/>
              </w:rPr>
            </w:pPr>
            <w:r w:rsidRPr="006B036A">
              <w:rPr>
                <w:rFonts w:ascii="Calibri" w:eastAsia="Times New Roman" w:hAnsi="Calibri" w:cs="Calibri"/>
                <w:color w:val="000000"/>
                <w:lang w:val="en-AU" w:eastAsia="en-AU" w:bidi="ar-SA"/>
              </w:rPr>
              <w:t>4</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21130" w14:textId="77777777" w:rsidR="009F2965" w:rsidRPr="006B036A" w:rsidRDefault="009F2965" w:rsidP="001B0430">
            <w:pPr>
              <w:jc w:val="center"/>
              <w:rPr>
                <w:rFonts w:ascii="Calibri" w:eastAsia="Times New Roman" w:hAnsi="Calibri" w:cs="Calibri"/>
                <w:color w:val="000000"/>
                <w:lang w:val="en-AU" w:eastAsia="en-AU" w:bidi="ar-SA"/>
              </w:rPr>
            </w:pPr>
            <w:r w:rsidRPr="006B036A">
              <w:rPr>
                <w:rFonts w:ascii="Calibri" w:eastAsia="Times New Roman" w:hAnsi="Calibri" w:cs="Calibri"/>
                <w:color w:val="000000"/>
                <w:lang w:val="en-AU" w:eastAsia="en-AU" w:bidi="ar-SA"/>
              </w:rPr>
              <w:t>10 - 50 ng L</w:t>
            </w:r>
            <w:r w:rsidRPr="006B036A">
              <w:rPr>
                <w:rFonts w:ascii="Calibri" w:eastAsia="Times New Roman" w:hAnsi="Calibri" w:cs="Calibri"/>
                <w:color w:val="000000"/>
                <w:vertAlign w:val="superscript"/>
                <w:lang w:val="en-AU" w:eastAsia="en-AU" w:bidi="ar-SA"/>
              </w:rPr>
              <w:t>-1</w:t>
            </w:r>
          </w:p>
        </w:tc>
        <w:tc>
          <w:tcPr>
            <w:tcW w:w="1965" w:type="dxa"/>
            <w:vMerge w:val="restart"/>
            <w:tcBorders>
              <w:top w:val="single" w:sz="4" w:space="0" w:color="auto"/>
              <w:left w:val="single" w:sz="4" w:space="0" w:color="auto"/>
              <w:bottom w:val="single" w:sz="4" w:space="0" w:color="auto"/>
              <w:right w:val="single" w:sz="4" w:space="0" w:color="auto"/>
            </w:tcBorders>
            <w:vAlign w:val="center"/>
          </w:tcPr>
          <w:p w14:paraId="15721131" w14:textId="77777777" w:rsidR="009F2965" w:rsidRPr="006B036A" w:rsidRDefault="009F2965" w:rsidP="001B0430">
            <w:pPr>
              <w:jc w:val="center"/>
              <w:rPr>
                <w:rFonts w:ascii="Calibri" w:eastAsia="Times New Roman" w:hAnsi="Calibri" w:cs="Calibri"/>
                <w:b/>
                <w:bCs/>
                <w:color w:val="000000"/>
                <w:lang w:val="en-AU" w:eastAsia="en-AU" w:bidi="ar-SA"/>
              </w:rPr>
            </w:pPr>
            <w:r>
              <w:rPr>
                <w:rFonts w:ascii="Calibri" w:eastAsia="Times New Roman" w:hAnsi="Calibri" w:cs="Calibri"/>
                <w:b/>
                <w:color w:val="000000"/>
                <w:lang w:val="en-AU" w:eastAsia="en-AU" w:bidi="ar-SA"/>
              </w:rPr>
              <w:t>&lt;1</w:t>
            </w:r>
            <w:r w:rsidRPr="006B036A">
              <w:rPr>
                <w:rFonts w:ascii="Calibri" w:eastAsia="Times New Roman" w:hAnsi="Calibri" w:cs="Calibri"/>
                <w:b/>
                <w:color w:val="000000"/>
                <w:lang w:val="en-AU" w:eastAsia="en-AU" w:bidi="ar-SA"/>
              </w:rPr>
              <w:t>%</w:t>
            </w:r>
          </w:p>
        </w:tc>
        <w:tc>
          <w:tcPr>
            <w:tcW w:w="1720" w:type="dxa"/>
            <w:vMerge w:val="restart"/>
            <w:tcBorders>
              <w:top w:val="single" w:sz="4" w:space="0" w:color="auto"/>
              <w:left w:val="single" w:sz="4" w:space="0" w:color="auto"/>
              <w:bottom w:val="single" w:sz="4" w:space="0" w:color="auto"/>
              <w:right w:val="single" w:sz="4" w:space="0" w:color="auto"/>
            </w:tcBorders>
            <w:vAlign w:val="center"/>
          </w:tcPr>
          <w:p w14:paraId="15721132" w14:textId="77777777" w:rsidR="009F2965" w:rsidRPr="006B036A" w:rsidRDefault="009F2965" w:rsidP="001B0430">
            <w:pPr>
              <w:jc w:val="center"/>
              <w:rPr>
                <w:rFonts w:ascii="Calibri" w:eastAsia="Times New Roman" w:hAnsi="Calibri" w:cs="Calibri"/>
                <w:b/>
                <w:bCs/>
                <w:color w:val="000000"/>
                <w:lang w:val="en-AU" w:eastAsia="en-AU" w:bidi="ar-SA"/>
              </w:rPr>
            </w:pPr>
            <w:r w:rsidRPr="006B036A">
              <w:rPr>
                <w:rFonts w:ascii="Calibri" w:eastAsia="Times New Roman" w:hAnsi="Calibri" w:cs="Calibri"/>
                <w:color w:val="000000"/>
                <w:lang w:val="en-AU" w:eastAsia="en-AU" w:bidi="ar-SA"/>
              </w:rPr>
              <w:t>≤4</w:t>
            </w:r>
            <w:r>
              <w:rPr>
                <w:rFonts w:ascii="Calibri" w:eastAsia="Times New Roman" w:hAnsi="Calibri" w:cs="Calibri"/>
                <w:color w:val="000000"/>
                <w:lang w:val="en-AU" w:eastAsia="en-AU" w:bidi="ar-SA"/>
              </w:rPr>
              <w:t>6</w:t>
            </w:r>
            <w:r w:rsidRPr="006B036A">
              <w:rPr>
                <w:rFonts w:ascii="Calibri" w:eastAsia="Times New Roman" w:hAnsi="Calibri" w:cs="Calibri"/>
                <w:color w:val="000000"/>
                <w:lang w:val="en-AU" w:eastAsia="en-AU" w:bidi="ar-SA"/>
              </w:rPr>
              <w:t xml:space="preserve"> ng L</w:t>
            </w:r>
            <w:r w:rsidRPr="006B036A">
              <w:rPr>
                <w:rFonts w:ascii="Calibri" w:eastAsia="Times New Roman" w:hAnsi="Calibri" w:cs="Calibri"/>
                <w:color w:val="000000"/>
                <w:vertAlign w:val="superscript"/>
                <w:lang w:val="en-AU" w:eastAsia="en-AU" w:bidi="ar-SA"/>
              </w:rPr>
              <w:t>-1</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5721133" w14:textId="77777777" w:rsidR="009F2965" w:rsidRPr="00F46D77" w:rsidRDefault="009F2965" w:rsidP="001B0430">
            <w:pPr>
              <w:jc w:val="center"/>
              <w:rPr>
                <w:rFonts w:ascii="Calibri" w:eastAsia="Times New Roman" w:hAnsi="Calibri" w:cs="Calibri"/>
                <w:bCs/>
                <w:color w:val="000000"/>
                <w:lang w:val="en-AU" w:eastAsia="en-AU" w:bidi="ar-SA"/>
              </w:rPr>
            </w:pPr>
            <w:r w:rsidRPr="00F46D77">
              <w:rPr>
                <w:rFonts w:ascii="Calibri" w:eastAsia="Times New Roman" w:hAnsi="Calibri" w:cs="Calibri"/>
                <w:bCs/>
                <w:color w:val="000000"/>
                <w:lang w:val="en-AU" w:eastAsia="en-AU" w:bidi="ar-SA"/>
              </w:rPr>
              <w:t>99% of species protected (PC99)</w:t>
            </w:r>
          </w:p>
        </w:tc>
        <w:tc>
          <w:tcPr>
            <w:tcW w:w="176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14:paraId="15721134" w14:textId="1D0EA761" w:rsidR="009F2965" w:rsidRPr="006B036A" w:rsidRDefault="009F2965" w:rsidP="001B0430">
            <w:pPr>
              <w:jc w:val="center"/>
              <w:rPr>
                <w:rFonts w:ascii="Calibri" w:eastAsia="Times New Roman" w:hAnsi="Calibri" w:cs="Calibri"/>
                <w:color w:val="000000"/>
                <w:lang w:val="en-AU" w:eastAsia="en-AU" w:bidi="ar-SA"/>
              </w:rPr>
            </w:pPr>
          </w:p>
        </w:tc>
      </w:tr>
      <w:tr w:rsidR="009F2965" w:rsidRPr="006B036A" w14:paraId="1572113D" w14:textId="77777777" w:rsidTr="00F46D77">
        <w:trPr>
          <w:trHeight w:val="552"/>
        </w:trPr>
        <w:tc>
          <w:tcPr>
            <w:tcW w:w="1290" w:type="dxa"/>
            <w:tcBorders>
              <w:top w:val="single" w:sz="4" w:space="0" w:color="auto"/>
              <w:left w:val="single" w:sz="4" w:space="0" w:color="auto"/>
              <w:bottom w:val="single" w:sz="4" w:space="0" w:color="auto"/>
              <w:right w:val="single" w:sz="4" w:space="0" w:color="auto"/>
            </w:tcBorders>
            <w:shd w:val="clear" w:color="000000" w:fill="4F6228"/>
            <w:noWrap/>
            <w:vAlign w:val="center"/>
            <w:hideMark/>
          </w:tcPr>
          <w:p w14:paraId="15721136" w14:textId="77777777" w:rsidR="009F2965" w:rsidRDefault="009F2965" w:rsidP="001B0430">
            <w:pPr>
              <w:jc w:val="center"/>
              <w:rPr>
                <w:rFonts w:ascii="Calibri" w:eastAsia="Times New Roman" w:hAnsi="Calibri" w:cs="Calibri"/>
                <w:color w:val="000000"/>
                <w:lang w:val="en-AU" w:eastAsia="en-AU" w:bidi="ar-SA"/>
              </w:rPr>
            </w:pPr>
            <w:r w:rsidRPr="006B036A">
              <w:rPr>
                <w:rFonts w:ascii="Calibri" w:eastAsia="Times New Roman" w:hAnsi="Calibri" w:cs="Calibri"/>
                <w:color w:val="000000"/>
                <w:lang w:val="en-AU" w:eastAsia="en-AU" w:bidi="ar-SA"/>
              </w:rPr>
              <w:t>5</w:t>
            </w:r>
          </w:p>
          <w:p w14:paraId="15721137" w14:textId="77777777" w:rsidR="009F2965" w:rsidRPr="006B036A" w:rsidRDefault="009F2965" w:rsidP="001B0430">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(no effect)</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21138" w14:textId="77777777" w:rsidR="009F2965" w:rsidRPr="006B036A" w:rsidRDefault="009F2965" w:rsidP="001B0430">
            <w:pPr>
              <w:jc w:val="center"/>
              <w:rPr>
                <w:rFonts w:ascii="Calibri" w:eastAsia="Times New Roman" w:hAnsi="Calibri" w:cs="Calibri"/>
                <w:color w:val="000000"/>
                <w:lang w:val="en-AU" w:eastAsia="en-AU" w:bidi="ar-SA"/>
              </w:rPr>
            </w:pPr>
            <w:r w:rsidRPr="006B036A">
              <w:rPr>
                <w:rFonts w:ascii="Calibri" w:eastAsia="Times New Roman" w:hAnsi="Calibri" w:cs="Calibri"/>
                <w:color w:val="000000"/>
                <w:lang w:val="en-AU" w:eastAsia="en-AU" w:bidi="ar-SA"/>
              </w:rPr>
              <w:t>≤ 10 ng L</w:t>
            </w:r>
            <w:r w:rsidRPr="006B036A">
              <w:rPr>
                <w:rFonts w:ascii="Calibri" w:eastAsia="Times New Roman" w:hAnsi="Calibri" w:cs="Calibri"/>
                <w:color w:val="000000"/>
                <w:vertAlign w:val="superscript"/>
                <w:lang w:val="en-AU" w:eastAsia="en-AU" w:bidi="ar-SA"/>
              </w:rPr>
              <w:t>-1</w:t>
            </w:r>
          </w:p>
        </w:tc>
        <w:tc>
          <w:tcPr>
            <w:tcW w:w="1965" w:type="dxa"/>
            <w:vMerge/>
            <w:tcBorders>
              <w:top w:val="single" w:sz="4" w:space="0" w:color="auto"/>
              <w:left w:val="single" w:sz="4" w:space="0" w:color="auto"/>
              <w:bottom w:val="single" w:sz="4" w:space="0" w:color="auto"/>
              <w:right w:val="single" w:sz="4" w:space="0" w:color="auto"/>
            </w:tcBorders>
            <w:vAlign w:val="center"/>
          </w:tcPr>
          <w:p w14:paraId="15721139" w14:textId="77777777" w:rsidR="009F2965" w:rsidRPr="006B036A" w:rsidRDefault="009F2965" w:rsidP="001B0430">
            <w:pPr>
              <w:jc w:val="left"/>
              <w:rPr>
                <w:rFonts w:ascii="Calibri" w:eastAsia="Times New Roman" w:hAnsi="Calibri" w:cs="Calibri"/>
                <w:b/>
                <w:bCs/>
                <w:color w:val="000000"/>
                <w:lang w:val="en-AU" w:eastAsia="en-AU" w:bidi="ar-SA"/>
              </w:rPr>
            </w:pPr>
          </w:p>
        </w:tc>
        <w:tc>
          <w:tcPr>
            <w:tcW w:w="1720" w:type="dxa"/>
            <w:vMerge/>
            <w:tcBorders>
              <w:top w:val="single" w:sz="4" w:space="0" w:color="auto"/>
              <w:left w:val="single" w:sz="4" w:space="0" w:color="auto"/>
              <w:bottom w:val="single" w:sz="4" w:space="0" w:color="auto"/>
              <w:right w:val="single" w:sz="4" w:space="0" w:color="auto"/>
            </w:tcBorders>
            <w:vAlign w:val="center"/>
          </w:tcPr>
          <w:p w14:paraId="1572113A" w14:textId="77777777" w:rsidR="009F2965" w:rsidRPr="006B036A" w:rsidRDefault="009F2965" w:rsidP="001B0430">
            <w:pPr>
              <w:jc w:val="left"/>
              <w:rPr>
                <w:rFonts w:ascii="Calibri" w:eastAsia="Times New Roman" w:hAnsi="Calibri" w:cs="Calibri"/>
                <w:b/>
                <w:bCs/>
                <w:color w:val="000000"/>
                <w:lang w:val="en-AU" w:eastAsia="en-AU" w:bidi="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572113B" w14:textId="77777777" w:rsidR="009F2965" w:rsidRPr="006B036A" w:rsidRDefault="009F2965" w:rsidP="001B0430">
            <w:pPr>
              <w:jc w:val="left"/>
              <w:rPr>
                <w:rFonts w:ascii="Calibri" w:eastAsia="Times New Roman" w:hAnsi="Calibri" w:cs="Calibri"/>
                <w:b/>
                <w:bCs/>
                <w:color w:val="000000"/>
                <w:lang w:val="en-AU" w:eastAsia="en-AU" w:bidi="ar-SA"/>
              </w:rPr>
            </w:pPr>
          </w:p>
        </w:tc>
        <w:tc>
          <w:tcPr>
            <w:tcW w:w="1762" w:type="dxa"/>
            <w:vMerge/>
            <w:tcBorders>
              <w:top w:val="single" w:sz="4" w:space="0" w:color="auto"/>
              <w:left w:val="single" w:sz="4" w:space="0" w:color="auto"/>
              <w:bottom w:val="single" w:sz="4" w:space="0" w:color="auto"/>
              <w:right w:val="single" w:sz="4" w:space="0" w:color="auto"/>
            </w:tcBorders>
            <w:vAlign w:val="center"/>
          </w:tcPr>
          <w:p w14:paraId="1572113C" w14:textId="77777777" w:rsidR="009F2965" w:rsidRPr="006B036A" w:rsidRDefault="009F2965" w:rsidP="001B0430">
            <w:pPr>
              <w:jc w:val="left"/>
              <w:rPr>
                <w:rFonts w:ascii="Calibri" w:eastAsia="Times New Roman" w:hAnsi="Calibri" w:cs="Calibri"/>
                <w:color w:val="000000"/>
                <w:lang w:val="en-AU" w:eastAsia="en-AU" w:bidi="ar-SA"/>
              </w:rPr>
            </w:pPr>
          </w:p>
        </w:tc>
      </w:tr>
    </w:tbl>
    <w:p w14:paraId="5BA2DDFF" w14:textId="77777777" w:rsidR="009F2965" w:rsidRDefault="009F2965" w:rsidP="00AF2A13">
      <w:pPr>
        <w:spacing w:line="276" w:lineRule="auto"/>
        <w:rPr>
          <w:lang w:val="en-AU"/>
        </w:rPr>
      </w:pPr>
    </w:p>
    <w:p w14:paraId="1572113E" w14:textId="5FEC7F12" w:rsidR="00AF2A13" w:rsidRDefault="00BF3B65" w:rsidP="00AF2A13">
      <w:pPr>
        <w:spacing w:line="276" w:lineRule="auto"/>
        <w:rPr>
          <w:lang w:val="en-AU"/>
        </w:rPr>
      </w:pPr>
      <w:r>
        <w:rPr>
          <w:lang w:val="en-AU"/>
        </w:rPr>
        <w:t xml:space="preserve">In addition to </w:t>
      </w:r>
      <w:r w:rsidR="00AF2A13">
        <w:rPr>
          <w:lang w:val="en-AU"/>
        </w:rPr>
        <w:t xml:space="preserve">the </w:t>
      </w:r>
      <w:r>
        <w:rPr>
          <w:lang w:val="en-AU"/>
        </w:rPr>
        <w:t xml:space="preserve">PC99 comparison discussed above, PC95, </w:t>
      </w:r>
      <w:r w:rsidR="00653E66">
        <w:rPr>
          <w:lang w:val="en-AU"/>
        </w:rPr>
        <w:t>PC</w:t>
      </w:r>
      <w:r>
        <w:rPr>
          <w:lang w:val="en-AU"/>
        </w:rPr>
        <w:t xml:space="preserve">90 and </w:t>
      </w:r>
      <w:r w:rsidR="00653E66">
        <w:rPr>
          <w:lang w:val="en-AU"/>
        </w:rPr>
        <w:t>PC</w:t>
      </w:r>
      <w:r>
        <w:rPr>
          <w:lang w:val="en-AU"/>
        </w:rPr>
        <w:t xml:space="preserve">80 diuron equivalent values were compared between the </w:t>
      </w:r>
      <w:r w:rsidR="00E67935">
        <w:rPr>
          <w:lang w:val="en-AU"/>
        </w:rPr>
        <w:t xml:space="preserve">ms-PAF model </w:t>
      </w:r>
      <w:r>
        <w:rPr>
          <w:lang w:val="en-AU"/>
        </w:rPr>
        <w:t>and the</w:t>
      </w:r>
      <w:r w:rsidR="00E67935">
        <w:rPr>
          <w:lang w:val="en-AU"/>
        </w:rPr>
        <w:t xml:space="preserve"> recently released proposed diuron </w:t>
      </w:r>
      <w:r w:rsidR="00AF2A13">
        <w:rPr>
          <w:lang w:val="en-AU"/>
        </w:rPr>
        <w:t>GVs</w:t>
      </w:r>
      <w:r w:rsidR="00E67935">
        <w:rPr>
          <w:lang w:val="en-AU"/>
        </w:rPr>
        <w:t xml:space="preserve"> </w:t>
      </w:r>
      <w:r w:rsidR="00C91BF5">
        <w:rPr>
          <w:lang w:val="en-AU"/>
        </w:rPr>
        <w:fldChar w:fldCharType="begin"/>
      </w:r>
      <w:r w:rsidR="00CD2946">
        <w:rPr>
          <w:lang w:val="en-AU"/>
        </w:rPr>
        <w:instrText xml:space="preserve"> ADDIN EN.CITE &lt;EndNote&gt;&lt;Cite&gt;&lt;Author&gt;King&lt;/Author&gt;&lt;Year&gt;2017&lt;/Year&gt;&lt;RecNum&gt;33&lt;/RecNum&gt;&lt;DisplayText&gt;(King et al., 2017a, King et al., 2017b)&lt;/DisplayText&gt;&lt;record&gt;&lt;rec-number&gt;33&lt;/rec-number&gt;&lt;foreign-keys&gt;&lt;key app="EN" db-id="vvtrt2pt4xpx5teta99vvtwg50vzve2aexae" timestamp="1493157363"&gt;33&lt;/key&gt;&lt;/foreign-keys&gt;&lt;ref-type name="Report"&gt;27&lt;/ref-type&gt;&lt;contributors&gt;&lt;authors&gt;&lt;author&gt;King, O.C.&lt;/author&gt;&lt;author&gt;Smith, R.A.&lt;/author&gt;&lt;author&gt;Warne M. St J.&lt;/author&gt;&lt;/authors&gt;&lt;/contributors&gt;&lt;titles&gt;&lt;title&gt;Proposed Default Guideline Values for Toxicants: Diuron – Marine&lt;/title&gt;&lt;/titles&gt;&lt;pages&gt;pp 37 &lt;/pages&gt;&lt;dates&gt;&lt;year&gt;2017&lt;/year&gt;&lt;/dates&gt;&lt;pub-location&gt;Brisbane, Australia&lt;/pub-location&gt;&lt;publisher&gt;Department of Science, Information Technology and Innovation&lt;/publisher&gt;&lt;urls&gt;&lt;/urls&gt;&lt;/record&gt;&lt;/Cite&gt;&lt;Cite&gt;&lt;Author&gt;King&lt;/Author&gt;&lt;Year&gt;2017&lt;/Year&gt;&lt;RecNum&gt;94&lt;/RecNum&gt;&lt;record&gt;&lt;rec-number&gt;94&lt;/rec-number&gt;&lt;foreign-keys&gt;&lt;key app="EN" db-id="vvtrt2pt4xpx5teta99vvtwg50vzve2aexae" timestamp="1493507796"&gt;94&lt;/key&gt;&lt;/foreign-keys&gt;&lt;ref-type name="Report"&gt;27&lt;/ref-type&gt;&lt;contributors&gt;&lt;authors&gt;&lt;author&gt;King, O.C. &lt;/author&gt;&lt;author&gt;Smith, R.A. &lt;/author&gt;&lt;author&gt;Warne, M.St.J. &lt;/author&gt;&lt;/authors&gt;&lt;/contributors&gt;&lt;titles&gt;&lt;title&gt;Proposed default guideline values for the protection of aquatic ecosystems: Diuron – freshwater&lt;/title&gt;&lt;/titles&gt;&lt;pages&gt;pp 58&lt;/pages&gt;&lt;dates&gt;&lt;year&gt;2017&lt;/year&gt;&lt;/dates&gt;&lt;pub-location&gt;Brisbane, Australia&lt;/pub-location&gt;&lt;publisher&gt;Department of Science, Information Technology and Innovation&lt;/publisher&gt;&lt;urls&gt;&lt;/urls&gt;&lt;/record&gt;&lt;/Cite&gt;&lt;/EndNote&gt;</w:instrText>
      </w:r>
      <w:r w:rsidR="00C91BF5">
        <w:rPr>
          <w:lang w:val="en-AU"/>
        </w:rPr>
        <w:fldChar w:fldCharType="separate"/>
      </w:r>
      <w:r w:rsidR="00CD2946">
        <w:rPr>
          <w:noProof/>
          <w:lang w:val="en-AU"/>
        </w:rPr>
        <w:t>(King et al., 2017a, King et al., 2017b)</w:t>
      </w:r>
      <w:r w:rsidR="00C91BF5">
        <w:rPr>
          <w:lang w:val="en-AU"/>
        </w:rPr>
        <w:fldChar w:fldCharType="end"/>
      </w:r>
      <w:r w:rsidR="00E67935">
        <w:rPr>
          <w:lang w:val="en-AU"/>
        </w:rPr>
        <w:t xml:space="preserve"> (</w:t>
      </w:r>
      <w:r w:rsidR="002A77E1">
        <w:fldChar w:fldCharType="begin"/>
      </w:r>
      <w:r w:rsidR="002A77E1">
        <w:instrText xml:space="preserve"> REF _Ref480895976 \h  \* MERGEFORMAT </w:instrText>
      </w:r>
      <w:r w:rsidR="002A77E1">
        <w:fldChar w:fldCharType="separate"/>
      </w:r>
      <w:r w:rsidR="00D12276" w:rsidRPr="00F32F87">
        <w:t xml:space="preserve">Table </w:t>
      </w:r>
      <w:r w:rsidR="00D12276" w:rsidRPr="00D12276">
        <w:rPr>
          <w:noProof/>
        </w:rPr>
        <w:t>15</w:t>
      </w:r>
      <w:r w:rsidR="002A77E1">
        <w:fldChar w:fldCharType="end"/>
      </w:r>
      <w:r w:rsidR="00E67935">
        <w:rPr>
          <w:lang w:val="en-AU"/>
        </w:rPr>
        <w:t xml:space="preserve">). </w:t>
      </w:r>
      <w:r w:rsidR="00AF2A13">
        <w:rPr>
          <w:lang w:val="en-AU"/>
        </w:rPr>
        <w:t>The greatest differences were observed for PC99</w:t>
      </w:r>
      <w:r w:rsidR="00CD2946">
        <w:rPr>
          <w:lang w:val="en-AU"/>
        </w:rPr>
        <w:t>, where the ms-PAF PC99 value was an order of magnitude lower than the marine GV and approximately half the freshwater GV. T</w:t>
      </w:r>
      <w:r w:rsidR="00AF2A13">
        <w:rPr>
          <w:lang w:val="en-AU"/>
        </w:rPr>
        <w:t xml:space="preserve">he relative difference decreased with increasing % of species effected (i.e. as you move ‘up’ the SSD to a higher PAF value). The </w:t>
      </w:r>
      <w:r w:rsidR="00981ABC">
        <w:rPr>
          <w:lang w:val="en-AU"/>
        </w:rPr>
        <w:t xml:space="preserve">ms-PAF model </w:t>
      </w:r>
      <w:r w:rsidR="00AF2A13">
        <w:rPr>
          <w:lang w:val="en-AU"/>
        </w:rPr>
        <w:t>PC80</w:t>
      </w:r>
      <w:r w:rsidR="00981ABC">
        <w:rPr>
          <w:lang w:val="en-AU"/>
        </w:rPr>
        <w:t xml:space="preserve"> concentration</w:t>
      </w:r>
      <w:r w:rsidR="00AF2A13">
        <w:rPr>
          <w:lang w:val="en-AU"/>
        </w:rPr>
        <w:t>, i</w:t>
      </w:r>
      <w:r w:rsidR="00653E66">
        <w:rPr>
          <w:lang w:val="en-AU"/>
        </w:rPr>
        <w:t>.</w:t>
      </w:r>
      <w:r w:rsidR="00AF2A13">
        <w:rPr>
          <w:lang w:val="en-AU"/>
        </w:rPr>
        <w:t xml:space="preserve">e. 20% effected species, </w:t>
      </w:r>
      <w:r w:rsidR="00F47739">
        <w:rPr>
          <w:lang w:val="en-AU"/>
        </w:rPr>
        <w:t>wa</w:t>
      </w:r>
      <w:r w:rsidR="00981ABC">
        <w:rPr>
          <w:lang w:val="en-AU"/>
        </w:rPr>
        <w:t>s</w:t>
      </w:r>
      <w:r w:rsidR="00AF2A13">
        <w:rPr>
          <w:lang w:val="en-AU"/>
        </w:rPr>
        <w:t xml:space="preserve"> identical </w:t>
      </w:r>
      <w:r w:rsidR="00981ABC">
        <w:rPr>
          <w:lang w:val="en-AU"/>
        </w:rPr>
        <w:t>to</w:t>
      </w:r>
      <w:r w:rsidR="000D44EC">
        <w:rPr>
          <w:lang w:val="en-AU"/>
        </w:rPr>
        <w:t xml:space="preserve"> the marine </w:t>
      </w:r>
      <w:r w:rsidR="00981ABC">
        <w:rPr>
          <w:lang w:val="en-AU"/>
        </w:rPr>
        <w:t>GV</w:t>
      </w:r>
      <w:r w:rsidR="00AF2A13">
        <w:rPr>
          <w:lang w:val="en-AU"/>
        </w:rPr>
        <w:t xml:space="preserve"> (</w:t>
      </w:r>
      <w:r w:rsidR="002A77E1">
        <w:fldChar w:fldCharType="begin"/>
      </w:r>
      <w:r w:rsidR="002A77E1">
        <w:instrText xml:space="preserve"> REF _Ref480895976 \h  \* MERGEFORMAT </w:instrText>
      </w:r>
      <w:r w:rsidR="002A77E1">
        <w:fldChar w:fldCharType="separate"/>
      </w:r>
      <w:r w:rsidR="00D12276" w:rsidRPr="00F32F87">
        <w:t xml:space="preserve">Table </w:t>
      </w:r>
      <w:r w:rsidR="00D12276" w:rsidRPr="00D12276">
        <w:rPr>
          <w:noProof/>
        </w:rPr>
        <w:t>15</w:t>
      </w:r>
      <w:r w:rsidR="002A77E1">
        <w:fldChar w:fldCharType="end"/>
      </w:r>
      <w:r w:rsidR="00AF2A13">
        <w:rPr>
          <w:lang w:val="en-AU"/>
        </w:rPr>
        <w:t>). This suggests that any effects of species composition (freshwater/marine v</w:t>
      </w:r>
      <w:r w:rsidR="00C60B74">
        <w:rPr>
          <w:lang w:val="en-AU"/>
        </w:rPr>
        <w:t>ersus</w:t>
      </w:r>
      <w:r w:rsidR="00AF2A13">
        <w:rPr>
          <w:lang w:val="en-AU"/>
        </w:rPr>
        <w:t xml:space="preserve"> marine) and difference in slope (</w:t>
      </w:r>
      <w:r w:rsidR="00AF2A13">
        <w:rPr>
          <w:rFonts w:cs="Arial"/>
          <w:lang w:val="en-AU"/>
        </w:rPr>
        <w:t>β</w:t>
      </w:r>
      <w:r w:rsidR="00AF2A13">
        <w:rPr>
          <w:lang w:val="en-AU"/>
        </w:rPr>
        <w:t xml:space="preserve">) of the fitted logistic functions between individual and global SSDs, </w:t>
      </w:r>
      <w:r w:rsidR="00981ABC">
        <w:rPr>
          <w:lang w:val="en-AU"/>
        </w:rPr>
        <w:t>has most impact</w:t>
      </w:r>
      <w:r w:rsidR="00AF2A13">
        <w:rPr>
          <w:lang w:val="en-AU"/>
        </w:rPr>
        <w:t xml:space="preserve"> at the lower, most sensitive end of the species sensitivity distribution. </w:t>
      </w:r>
    </w:p>
    <w:p w14:paraId="1572113F" w14:textId="77777777" w:rsidR="00E67935" w:rsidRDefault="00E67935" w:rsidP="00F97374">
      <w:pPr>
        <w:spacing w:line="276" w:lineRule="auto"/>
        <w:rPr>
          <w:lang w:val="en-AU"/>
        </w:rPr>
      </w:pPr>
    </w:p>
    <w:p w14:paraId="15721140" w14:textId="1E060056" w:rsidR="00D05860" w:rsidRPr="00F32F87" w:rsidRDefault="00D05860" w:rsidP="00D05860">
      <w:pPr>
        <w:pStyle w:val="Caption"/>
        <w:spacing w:after="120"/>
        <w:rPr>
          <w:b w:val="0"/>
        </w:rPr>
      </w:pPr>
      <w:bookmarkStart w:id="724" w:name="_Ref480895976"/>
      <w:bookmarkStart w:id="725" w:name="_Toc502499873"/>
      <w:r w:rsidRPr="00F32F87">
        <w:rPr>
          <w:b w:val="0"/>
        </w:rPr>
        <w:t xml:space="preserve">Table </w:t>
      </w:r>
      <w:r w:rsidR="00C91BF5" w:rsidRPr="00F32F87">
        <w:rPr>
          <w:b w:val="0"/>
        </w:rPr>
        <w:fldChar w:fldCharType="begin"/>
      </w:r>
      <w:r w:rsidRPr="00F32F87">
        <w:rPr>
          <w:b w:val="0"/>
        </w:rPr>
        <w:instrText xml:space="preserve"> SEQ Table \* ARABIC </w:instrText>
      </w:r>
      <w:r w:rsidR="00C91BF5" w:rsidRPr="00F32F87">
        <w:rPr>
          <w:b w:val="0"/>
        </w:rPr>
        <w:fldChar w:fldCharType="separate"/>
      </w:r>
      <w:r w:rsidR="00D12276">
        <w:rPr>
          <w:b w:val="0"/>
          <w:noProof/>
        </w:rPr>
        <w:t>15</w:t>
      </w:r>
      <w:r w:rsidR="00C91BF5" w:rsidRPr="00F32F87">
        <w:rPr>
          <w:b w:val="0"/>
        </w:rPr>
        <w:fldChar w:fldCharType="end"/>
      </w:r>
      <w:bookmarkEnd w:id="724"/>
      <w:r w:rsidRPr="00F32F87">
        <w:rPr>
          <w:b w:val="0"/>
        </w:rPr>
        <w:t xml:space="preserve">: </w:t>
      </w:r>
      <w:r>
        <w:rPr>
          <w:b w:val="0"/>
        </w:rPr>
        <w:t>Comparison of</w:t>
      </w:r>
      <w:r w:rsidRPr="00A206DB">
        <w:rPr>
          <w:b w:val="0"/>
        </w:rPr>
        <w:t xml:space="preserve"> </w:t>
      </w:r>
      <w:r>
        <w:rPr>
          <w:b w:val="0"/>
        </w:rPr>
        <w:t xml:space="preserve">proposed diuron marine </w:t>
      </w:r>
      <w:r w:rsidR="00CD2946">
        <w:rPr>
          <w:b w:val="0"/>
        </w:rPr>
        <w:t xml:space="preserve">and freshwater </w:t>
      </w:r>
      <w:r>
        <w:rPr>
          <w:b w:val="0"/>
        </w:rPr>
        <w:t xml:space="preserve">guideline values and the ms-PAF model predicted equivalent diuron concentrations (as per </w:t>
      </w:r>
      <w:r w:rsidR="002A77E1">
        <w:fldChar w:fldCharType="begin"/>
      </w:r>
      <w:r w:rsidR="002A77E1">
        <w:instrText xml:space="preserve"> REF _Ref480830118 \h  \* MERGEFORMAT </w:instrText>
      </w:r>
      <w:r w:rsidR="002A77E1">
        <w:fldChar w:fldCharType="separate"/>
      </w:r>
      <w:r w:rsidR="00D12276" w:rsidRPr="00F32F87">
        <w:rPr>
          <w:b w:val="0"/>
        </w:rPr>
        <w:t xml:space="preserve">Table </w:t>
      </w:r>
      <w:r w:rsidR="00D12276">
        <w:rPr>
          <w:b w:val="0"/>
          <w:noProof/>
        </w:rPr>
        <w:t>14</w:t>
      </w:r>
      <w:r w:rsidR="002A77E1">
        <w:fldChar w:fldCharType="end"/>
      </w:r>
      <w:r>
        <w:rPr>
          <w:b w:val="0"/>
        </w:rPr>
        <w:t>) for 99, 95, 90 and 80% species protection</w:t>
      </w:r>
      <w:bookmarkEnd w:id="725"/>
    </w:p>
    <w:tbl>
      <w:tblPr>
        <w:tblW w:w="10359" w:type="dxa"/>
        <w:tblLayout w:type="fixed"/>
        <w:tblLook w:val="04A0" w:firstRow="1" w:lastRow="0" w:firstColumn="1" w:lastColumn="0" w:noHBand="0" w:noVBand="1"/>
      </w:tblPr>
      <w:tblGrid>
        <w:gridCol w:w="6127"/>
        <w:gridCol w:w="995"/>
        <w:gridCol w:w="1275"/>
        <w:gridCol w:w="1962"/>
      </w:tblGrid>
      <w:tr w:rsidR="00F46D77" w:rsidRPr="00463630" w14:paraId="15721146" w14:textId="77777777" w:rsidTr="00CD2946">
        <w:trPr>
          <w:trHeight w:val="433"/>
        </w:trPr>
        <w:tc>
          <w:tcPr>
            <w:tcW w:w="6127" w:type="dxa"/>
            <w:tcBorders>
              <w:top w:val="single" w:sz="4" w:space="0" w:color="auto"/>
              <w:left w:val="nil"/>
              <w:right w:val="nil"/>
            </w:tcBorders>
            <w:shd w:val="clear" w:color="auto" w:fill="F2F2F2" w:themeFill="background1" w:themeFillShade="F2"/>
            <w:noWrap/>
            <w:vAlign w:val="bottom"/>
            <w:hideMark/>
          </w:tcPr>
          <w:p w14:paraId="15721141" w14:textId="5ADB1613" w:rsidR="00F46D77" w:rsidRPr="00463630" w:rsidRDefault="00F46D77" w:rsidP="00463630">
            <w:pPr>
              <w:jc w:val="left"/>
              <w:rPr>
                <w:rFonts w:ascii="Calibri" w:eastAsia="Times New Roman" w:hAnsi="Calibri" w:cs="Calibri"/>
                <w:b/>
                <w:bCs/>
                <w:color w:val="000000"/>
                <w:lang w:val="en-AU" w:eastAsia="en-AU" w:bidi="ar-SA"/>
              </w:rPr>
            </w:pPr>
          </w:p>
        </w:tc>
        <w:tc>
          <w:tcPr>
            <w:tcW w:w="2270" w:type="dxa"/>
            <w:gridSpan w:val="2"/>
            <w:tcBorders>
              <w:top w:val="single" w:sz="4" w:space="0" w:color="auto"/>
              <w:left w:val="nil"/>
              <w:right w:val="nil"/>
            </w:tcBorders>
            <w:shd w:val="clear" w:color="auto" w:fill="F2F2F2" w:themeFill="background1" w:themeFillShade="F2"/>
            <w:vAlign w:val="bottom"/>
            <w:hideMark/>
          </w:tcPr>
          <w:p w14:paraId="24A91342" w14:textId="77777777" w:rsidR="00CD2946" w:rsidRDefault="00F46D77" w:rsidP="00F46D77">
            <w:pPr>
              <w:jc w:val="center"/>
              <w:rPr>
                <w:rFonts w:ascii="Calibri" w:eastAsia="Times New Roman" w:hAnsi="Calibri" w:cs="Calibri"/>
                <w:b/>
                <w:bCs/>
                <w:color w:val="000000"/>
                <w:lang w:val="en-AU" w:eastAsia="en-AU" w:bidi="ar-SA"/>
              </w:rPr>
            </w:pPr>
            <w:r w:rsidRPr="00463630">
              <w:rPr>
                <w:rFonts w:ascii="Calibri" w:eastAsia="Times New Roman" w:hAnsi="Calibri" w:cs="Calibri"/>
                <w:b/>
                <w:bCs/>
                <w:color w:val="000000"/>
                <w:lang w:val="en-AU" w:eastAsia="en-AU" w:bidi="ar-SA"/>
              </w:rPr>
              <w:t xml:space="preserve">Proposed </w:t>
            </w:r>
            <w:r>
              <w:rPr>
                <w:rFonts w:ascii="Calibri" w:eastAsia="Times New Roman" w:hAnsi="Calibri" w:cs="Calibri"/>
                <w:b/>
                <w:bCs/>
                <w:color w:val="000000"/>
                <w:lang w:val="en-AU" w:eastAsia="en-AU" w:bidi="ar-SA"/>
              </w:rPr>
              <w:t xml:space="preserve">diuron </w:t>
            </w:r>
          </w:p>
          <w:p w14:paraId="0EA48E5E" w14:textId="47947068" w:rsidR="00F46D77" w:rsidRDefault="00CD2946" w:rsidP="00F46D77">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 xml:space="preserve">PC99 </w:t>
            </w:r>
            <w:r w:rsidR="00F46D77" w:rsidRPr="00463630">
              <w:rPr>
                <w:rFonts w:ascii="Calibri" w:eastAsia="Times New Roman" w:hAnsi="Calibri" w:cs="Calibri"/>
                <w:b/>
                <w:bCs/>
                <w:color w:val="000000"/>
                <w:lang w:val="en-AU" w:eastAsia="en-AU" w:bidi="ar-SA"/>
              </w:rPr>
              <w:t>GV</w:t>
            </w:r>
            <w:r w:rsidR="00F46D77">
              <w:rPr>
                <w:rFonts w:ascii="Calibri" w:eastAsia="Times New Roman" w:hAnsi="Calibri" w:cs="Calibri"/>
                <w:b/>
                <w:bCs/>
                <w:color w:val="000000"/>
                <w:lang w:val="en-AU" w:eastAsia="en-AU" w:bidi="ar-SA"/>
              </w:rPr>
              <w:t xml:space="preserve"> </w:t>
            </w:r>
          </w:p>
          <w:p w14:paraId="691BDAFD" w14:textId="78C3E7E7" w:rsidR="00F46D77" w:rsidRPr="00463630" w:rsidRDefault="00F46D77" w:rsidP="00F46D77">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(King et al., 2017a, b)</w:t>
            </w:r>
            <w:r w:rsidRPr="00463630">
              <w:rPr>
                <w:rFonts w:ascii="Calibri" w:eastAsia="Times New Roman" w:hAnsi="Calibri" w:cs="Calibri"/>
                <w:b/>
                <w:bCs/>
                <w:color w:val="000000"/>
                <w:lang w:val="en-AU" w:eastAsia="en-AU" w:bidi="ar-SA"/>
              </w:rPr>
              <w:t xml:space="preserve"> </w:t>
            </w:r>
          </w:p>
        </w:tc>
        <w:tc>
          <w:tcPr>
            <w:tcW w:w="1962" w:type="dxa"/>
            <w:vMerge w:val="restart"/>
            <w:tcBorders>
              <w:top w:val="single" w:sz="4" w:space="0" w:color="auto"/>
              <w:left w:val="nil"/>
              <w:right w:val="nil"/>
            </w:tcBorders>
            <w:shd w:val="clear" w:color="auto" w:fill="F2F2F2" w:themeFill="background1" w:themeFillShade="F2"/>
            <w:vAlign w:val="bottom"/>
            <w:hideMark/>
          </w:tcPr>
          <w:p w14:paraId="15721145" w14:textId="30C70B1F" w:rsidR="00F46D77" w:rsidRPr="00463630" w:rsidRDefault="00F46D77" w:rsidP="00463630">
            <w:pPr>
              <w:jc w:val="center"/>
              <w:rPr>
                <w:rFonts w:ascii="Calibri" w:eastAsia="Times New Roman" w:hAnsi="Calibri" w:cs="Calibri"/>
                <w:b/>
                <w:bCs/>
                <w:color w:val="000000"/>
                <w:lang w:val="en-AU" w:eastAsia="en-AU" w:bidi="ar-SA"/>
              </w:rPr>
            </w:pPr>
            <w:r w:rsidRPr="00463630">
              <w:rPr>
                <w:rFonts w:ascii="Calibri" w:eastAsia="Times New Roman" w:hAnsi="Calibri" w:cs="Calibri"/>
                <w:b/>
                <w:bCs/>
                <w:color w:val="000000"/>
                <w:lang w:val="en-AU" w:eastAsia="en-AU" w:bidi="ar-SA"/>
              </w:rPr>
              <w:t>ms-PAF model</w:t>
            </w:r>
            <w:r>
              <w:rPr>
                <w:rFonts w:ascii="Calibri" w:eastAsia="Times New Roman" w:hAnsi="Calibri" w:cs="Calibri"/>
                <w:b/>
                <w:bCs/>
                <w:color w:val="000000"/>
                <w:lang w:val="en-AU" w:eastAsia="en-AU" w:bidi="ar-SA"/>
              </w:rPr>
              <w:t xml:space="preserve"> predicted diuron </w:t>
            </w:r>
            <w:r w:rsidR="00CD2946">
              <w:rPr>
                <w:rFonts w:ascii="Calibri" w:eastAsia="Times New Roman" w:hAnsi="Calibri" w:cs="Calibri"/>
                <w:b/>
                <w:bCs/>
                <w:color w:val="000000"/>
                <w:lang w:val="en-AU" w:eastAsia="en-AU" w:bidi="ar-SA"/>
              </w:rPr>
              <w:t xml:space="preserve">PC99 </w:t>
            </w:r>
            <w:r>
              <w:rPr>
                <w:rFonts w:ascii="Calibri" w:eastAsia="Times New Roman" w:hAnsi="Calibri" w:cs="Calibri"/>
                <w:b/>
                <w:bCs/>
                <w:color w:val="000000"/>
                <w:lang w:val="en-AU" w:eastAsia="en-AU" w:bidi="ar-SA"/>
              </w:rPr>
              <w:t>concentration</w:t>
            </w:r>
          </w:p>
        </w:tc>
      </w:tr>
      <w:tr w:rsidR="00F46D77" w:rsidRPr="00463630" w14:paraId="2DEB2B8E" w14:textId="77777777" w:rsidTr="00CD2946">
        <w:trPr>
          <w:trHeight w:val="245"/>
        </w:trPr>
        <w:tc>
          <w:tcPr>
            <w:tcW w:w="6127" w:type="dxa"/>
            <w:tcBorders>
              <w:left w:val="nil"/>
              <w:right w:val="nil"/>
            </w:tcBorders>
            <w:shd w:val="clear" w:color="auto" w:fill="F2F2F2" w:themeFill="background1" w:themeFillShade="F2"/>
            <w:noWrap/>
            <w:vAlign w:val="bottom"/>
          </w:tcPr>
          <w:p w14:paraId="4073FE62" w14:textId="21EAC9EB" w:rsidR="00F46D77" w:rsidRPr="00463630" w:rsidRDefault="00F46D77" w:rsidP="00463630">
            <w:pPr>
              <w:jc w:val="left"/>
              <w:rPr>
                <w:rFonts w:ascii="Calibri" w:eastAsia="Times New Roman" w:hAnsi="Calibri" w:cs="Calibri"/>
                <w:b/>
                <w:bCs/>
                <w:color w:val="000000"/>
                <w:lang w:val="en-AU" w:eastAsia="en-AU" w:bidi="ar-SA"/>
              </w:rPr>
            </w:pPr>
            <w:r w:rsidRPr="00463630">
              <w:rPr>
                <w:rFonts w:ascii="Calibri" w:eastAsia="Times New Roman" w:hAnsi="Calibri" w:cs="Calibri"/>
                <w:b/>
                <w:bCs/>
                <w:color w:val="000000"/>
                <w:lang w:val="en-AU" w:eastAsia="en-AU" w:bidi="ar-SA"/>
              </w:rPr>
              <w:t>Risk category</w:t>
            </w:r>
          </w:p>
        </w:tc>
        <w:tc>
          <w:tcPr>
            <w:tcW w:w="995" w:type="dxa"/>
            <w:tcBorders>
              <w:left w:val="nil"/>
              <w:right w:val="nil"/>
            </w:tcBorders>
            <w:shd w:val="clear" w:color="auto" w:fill="F2F2F2" w:themeFill="background1" w:themeFillShade="F2"/>
            <w:vAlign w:val="bottom"/>
          </w:tcPr>
          <w:p w14:paraId="3CF2D36A" w14:textId="2775910C" w:rsidR="00F46D77" w:rsidRPr="00463630" w:rsidRDefault="00F46D77" w:rsidP="00463630">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Marine</w:t>
            </w:r>
          </w:p>
        </w:tc>
        <w:tc>
          <w:tcPr>
            <w:tcW w:w="1275" w:type="dxa"/>
            <w:tcBorders>
              <w:left w:val="nil"/>
              <w:right w:val="nil"/>
            </w:tcBorders>
            <w:shd w:val="clear" w:color="auto" w:fill="F2F2F2" w:themeFill="background1" w:themeFillShade="F2"/>
          </w:tcPr>
          <w:p w14:paraId="4AA54CDE" w14:textId="34761980" w:rsidR="00F46D77" w:rsidRPr="00463630" w:rsidRDefault="00F46D77" w:rsidP="00463630">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Freshwater</w:t>
            </w:r>
          </w:p>
        </w:tc>
        <w:tc>
          <w:tcPr>
            <w:tcW w:w="1962" w:type="dxa"/>
            <w:vMerge/>
            <w:tcBorders>
              <w:left w:val="nil"/>
              <w:right w:val="nil"/>
            </w:tcBorders>
            <w:shd w:val="clear" w:color="auto" w:fill="F2F2F2" w:themeFill="background1" w:themeFillShade="F2"/>
            <w:vAlign w:val="bottom"/>
          </w:tcPr>
          <w:p w14:paraId="4282C5CD" w14:textId="77777777" w:rsidR="00F46D77" w:rsidRPr="00463630" w:rsidRDefault="00F46D77" w:rsidP="00463630">
            <w:pPr>
              <w:jc w:val="center"/>
              <w:rPr>
                <w:rFonts w:ascii="Calibri" w:eastAsia="Times New Roman" w:hAnsi="Calibri" w:cs="Calibri"/>
                <w:b/>
                <w:bCs/>
                <w:color w:val="000000"/>
                <w:lang w:val="en-AU" w:eastAsia="en-AU" w:bidi="ar-SA"/>
              </w:rPr>
            </w:pPr>
          </w:p>
        </w:tc>
      </w:tr>
      <w:tr w:rsidR="00F46D77" w:rsidRPr="00463630" w14:paraId="1572114A" w14:textId="77777777" w:rsidTr="00CD2946">
        <w:trPr>
          <w:trHeight w:val="300"/>
        </w:trPr>
        <w:tc>
          <w:tcPr>
            <w:tcW w:w="6127" w:type="dxa"/>
            <w:tcBorders>
              <w:top w:val="nil"/>
              <w:left w:val="nil"/>
              <w:bottom w:val="single" w:sz="4" w:space="0" w:color="auto"/>
              <w:right w:val="nil"/>
            </w:tcBorders>
            <w:shd w:val="clear" w:color="auto" w:fill="F2F2F2" w:themeFill="background1" w:themeFillShade="F2"/>
            <w:noWrap/>
            <w:vAlign w:val="bottom"/>
            <w:hideMark/>
          </w:tcPr>
          <w:p w14:paraId="15721147" w14:textId="77777777" w:rsidR="00F46D77" w:rsidRPr="00463630" w:rsidRDefault="00F46D77" w:rsidP="00463630">
            <w:pPr>
              <w:jc w:val="center"/>
              <w:rPr>
                <w:rFonts w:ascii="Calibri" w:eastAsia="Times New Roman" w:hAnsi="Calibri" w:cs="Calibri"/>
                <w:b/>
                <w:bCs/>
                <w:color w:val="000000"/>
                <w:lang w:val="en-AU" w:eastAsia="en-AU" w:bidi="ar-SA"/>
              </w:rPr>
            </w:pPr>
          </w:p>
        </w:tc>
        <w:tc>
          <w:tcPr>
            <w:tcW w:w="995" w:type="dxa"/>
            <w:tcBorders>
              <w:top w:val="nil"/>
              <w:left w:val="nil"/>
              <w:bottom w:val="single" w:sz="4" w:space="0" w:color="auto"/>
              <w:right w:val="nil"/>
            </w:tcBorders>
            <w:shd w:val="clear" w:color="auto" w:fill="F2F2F2" w:themeFill="background1" w:themeFillShade="F2"/>
            <w:vAlign w:val="bottom"/>
            <w:hideMark/>
          </w:tcPr>
          <w:p w14:paraId="15721148" w14:textId="77777777" w:rsidR="00F46D77" w:rsidRPr="00463630" w:rsidRDefault="00F46D77" w:rsidP="00463630">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n</w:t>
            </w:r>
            <w:r w:rsidRPr="00463630">
              <w:rPr>
                <w:rFonts w:ascii="Calibri" w:eastAsia="Times New Roman" w:hAnsi="Calibri" w:cs="Calibri"/>
                <w:b/>
                <w:bCs/>
                <w:color w:val="000000"/>
                <w:lang w:val="en-AU" w:eastAsia="en-AU" w:bidi="ar-SA"/>
              </w:rPr>
              <w:t>g L</w:t>
            </w:r>
            <w:r w:rsidRPr="00463630">
              <w:rPr>
                <w:rFonts w:ascii="Calibri" w:eastAsia="Times New Roman" w:hAnsi="Calibri" w:cs="Calibri"/>
                <w:b/>
                <w:bCs/>
                <w:color w:val="000000"/>
                <w:vertAlign w:val="superscript"/>
                <w:lang w:val="en-AU" w:eastAsia="en-AU" w:bidi="ar-SA"/>
              </w:rPr>
              <w:t>-1</w:t>
            </w:r>
          </w:p>
        </w:tc>
        <w:tc>
          <w:tcPr>
            <w:tcW w:w="1275" w:type="dxa"/>
            <w:tcBorders>
              <w:top w:val="nil"/>
              <w:left w:val="nil"/>
              <w:bottom w:val="single" w:sz="4" w:space="0" w:color="auto"/>
              <w:right w:val="nil"/>
            </w:tcBorders>
            <w:shd w:val="clear" w:color="auto" w:fill="F2F2F2" w:themeFill="background1" w:themeFillShade="F2"/>
          </w:tcPr>
          <w:p w14:paraId="47DD190D" w14:textId="683727E1" w:rsidR="00F46D77" w:rsidRDefault="00F46D77" w:rsidP="00463630">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n</w:t>
            </w:r>
            <w:r w:rsidRPr="00463630">
              <w:rPr>
                <w:rFonts w:ascii="Calibri" w:eastAsia="Times New Roman" w:hAnsi="Calibri" w:cs="Calibri"/>
                <w:b/>
                <w:bCs/>
                <w:color w:val="000000"/>
                <w:lang w:val="en-AU" w:eastAsia="en-AU" w:bidi="ar-SA"/>
              </w:rPr>
              <w:t>g L</w:t>
            </w:r>
            <w:r w:rsidRPr="00463630">
              <w:rPr>
                <w:rFonts w:ascii="Calibri" w:eastAsia="Times New Roman" w:hAnsi="Calibri" w:cs="Calibri"/>
                <w:b/>
                <w:bCs/>
                <w:color w:val="000000"/>
                <w:vertAlign w:val="superscript"/>
                <w:lang w:val="en-AU" w:eastAsia="en-AU" w:bidi="ar-SA"/>
              </w:rPr>
              <w:t>-1</w:t>
            </w:r>
          </w:p>
        </w:tc>
        <w:tc>
          <w:tcPr>
            <w:tcW w:w="1962" w:type="dxa"/>
            <w:tcBorders>
              <w:top w:val="nil"/>
              <w:left w:val="nil"/>
              <w:bottom w:val="single" w:sz="4" w:space="0" w:color="auto"/>
              <w:right w:val="nil"/>
            </w:tcBorders>
            <w:shd w:val="clear" w:color="auto" w:fill="F2F2F2" w:themeFill="background1" w:themeFillShade="F2"/>
            <w:vAlign w:val="bottom"/>
          </w:tcPr>
          <w:p w14:paraId="15721149" w14:textId="6CAD1A76" w:rsidR="00F46D77" w:rsidRPr="00463630" w:rsidRDefault="00F46D77" w:rsidP="00463630">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n</w:t>
            </w:r>
            <w:r w:rsidRPr="00463630">
              <w:rPr>
                <w:rFonts w:ascii="Calibri" w:eastAsia="Times New Roman" w:hAnsi="Calibri" w:cs="Calibri"/>
                <w:b/>
                <w:bCs/>
                <w:color w:val="000000"/>
                <w:lang w:val="en-AU" w:eastAsia="en-AU" w:bidi="ar-SA"/>
              </w:rPr>
              <w:t>g L</w:t>
            </w:r>
            <w:r w:rsidRPr="00463630">
              <w:rPr>
                <w:rFonts w:ascii="Calibri" w:eastAsia="Times New Roman" w:hAnsi="Calibri" w:cs="Calibri"/>
                <w:b/>
                <w:bCs/>
                <w:color w:val="000000"/>
                <w:vertAlign w:val="superscript"/>
                <w:lang w:val="en-AU" w:eastAsia="en-AU" w:bidi="ar-SA"/>
              </w:rPr>
              <w:t>-1</w:t>
            </w:r>
          </w:p>
        </w:tc>
      </w:tr>
      <w:tr w:rsidR="00F46D77" w:rsidRPr="00463630" w14:paraId="1572114E" w14:textId="77777777" w:rsidTr="00CD2946">
        <w:trPr>
          <w:trHeight w:val="300"/>
        </w:trPr>
        <w:tc>
          <w:tcPr>
            <w:tcW w:w="6127" w:type="dxa"/>
            <w:tcBorders>
              <w:top w:val="single" w:sz="4" w:space="0" w:color="auto"/>
              <w:left w:val="nil"/>
              <w:bottom w:val="nil"/>
              <w:right w:val="nil"/>
            </w:tcBorders>
            <w:shd w:val="clear" w:color="auto" w:fill="auto"/>
            <w:noWrap/>
            <w:vAlign w:val="bottom"/>
            <w:hideMark/>
          </w:tcPr>
          <w:p w14:paraId="1572114B" w14:textId="77777777" w:rsidR="00F46D77" w:rsidRPr="00463630" w:rsidRDefault="00F46D77" w:rsidP="00463630">
            <w:pPr>
              <w:jc w:val="left"/>
              <w:rPr>
                <w:rFonts w:ascii="Calibri" w:eastAsia="Times New Roman" w:hAnsi="Calibri" w:cs="Calibri"/>
                <w:color w:val="000000"/>
                <w:lang w:val="en-AU" w:eastAsia="en-AU" w:bidi="ar-SA"/>
              </w:rPr>
            </w:pPr>
            <w:r w:rsidRPr="00463630">
              <w:rPr>
                <w:rFonts w:ascii="Calibri" w:eastAsia="Times New Roman" w:hAnsi="Calibri" w:cs="Calibri"/>
                <w:color w:val="000000"/>
                <w:lang w:val="en-AU" w:eastAsia="en-AU" w:bidi="ar-SA"/>
              </w:rPr>
              <w:t>High conservation value systems (99% species protection)</w:t>
            </w:r>
          </w:p>
        </w:tc>
        <w:tc>
          <w:tcPr>
            <w:tcW w:w="995" w:type="dxa"/>
            <w:tcBorders>
              <w:top w:val="single" w:sz="4" w:space="0" w:color="auto"/>
              <w:left w:val="nil"/>
              <w:bottom w:val="nil"/>
              <w:right w:val="nil"/>
            </w:tcBorders>
            <w:shd w:val="clear" w:color="auto" w:fill="auto"/>
            <w:noWrap/>
            <w:vAlign w:val="center"/>
            <w:hideMark/>
          </w:tcPr>
          <w:p w14:paraId="1572114C" w14:textId="0957815D" w:rsidR="00F46D77" w:rsidRPr="00463630" w:rsidRDefault="00F46D77" w:rsidP="00F46D77">
            <w:pPr>
              <w:jc w:val="center"/>
              <w:rPr>
                <w:rFonts w:ascii="Calibri" w:eastAsia="Times New Roman" w:hAnsi="Calibri" w:cs="Calibri"/>
                <w:color w:val="000000"/>
                <w:lang w:val="en-AU" w:eastAsia="en-AU" w:bidi="ar-SA"/>
              </w:rPr>
            </w:pPr>
            <w:r w:rsidRPr="00463630">
              <w:rPr>
                <w:rFonts w:ascii="Calibri" w:eastAsia="Times New Roman" w:hAnsi="Calibri" w:cs="Calibri"/>
                <w:color w:val="000000"/>
                <w:lang w:val="en-AU" w:eastAsia="en-AU" w:bidi="ar-SA"/>
              </w:rPr>
              <w:t>43</w:t>
            </w:r>
            <w:r>
              <w:rPr>
                <w:rFonts w:ascii="Calibri" w:eastAsia="Times New Roman" w:hAnsi="Calibri" w:cs="Calibri"/>
                <w:color w:val="000000"/>
                <w:lang w:val="en-AU" w:eastAsia="en-AU" w:bidi="ar-SA"/>
              </w:rPr>
              <w:t>0</w:t>
            </w:r>
            <w:r w:rsidR="00CD2946">
              <w:rPr>
                <w:rFonts w:ascii="Calibri" w:eastAsia="Times New Roman" w:hAnsi="Calibri" w:cs="Calibri"/>
                <w:color w:val="000000"/>
                <w:lang w:val="en-AU" w:eastAsia="en-AU" w:bidi="ar-SA"/>
              </w:rPr>
              <w:t>†</w:t>
            </w:r>
          </w:p>
        </w:tc>
        <w:tc>
          <w:tcPr>
            <w:tcW w:w="1275" w:type="dxa"/>
            <w:tcBorders>
              <w:top w:val="single" w:sz="4" w:space="0" w:color="auto"/>
              <w:left w:val="nil"/>
              <w:bottom w:val="nil"/>
              <w:right w:val="nil"/>
            </w:tcBorders>
            <w:vAlign w:val="center"/>
          </w:tcPr>
          <w:p w14:paraId="72DD8BB4" w14:textId="323BC4F8" w:rsidR="00F46D77" w:rsidRPr="00463630" w:rsidRDefault="00F46D77" w:rsidP="00F46D77">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80</w:t>
            </w:r>
          </w:p>
        </w:tc>
        <w:tc>
          <w:tcPr>
            <w:tcW w:w="1962" w:type="dxa"/>
            <w:tcBorders>
              <w:top w:val="single" w:sz="4" w:space="0" w:color="auto"/>
              <w:left w:val="nil"/>
              <w:bottom w:val="nil"/>
              <w:right w:val="nil"/>
            </w:tcBorders>
            <w:shd w:val="clear" w:color="auto" w:fill="auto"/>
            <w:noWrap/>
            <w:vAlign w:val="center"/>
            <w:hideMark/>
          </w:tcPr>
          <w:p w14:paraId="1572114D" w14:textId="0816EF0D" w:rsidR="00F46D77" w:rsidRPr="00463630" w:rsidRDefault="00F46D77" w:rsidP="00F46D77">
            <w:pPr>
              <w:jc w:val="center"/>
              <w:rPr>
                <w:rFonts w:ascii="Calibri" w:eastAsia="Times New Roman" w:hAnsi="Calibri" w:cs="Calibri"/>
                <w:color w:val="000000"/>
                <w:lang w:val="en-AU" w:eastAsia="en-AU" w:bidi="ar-SA"/>
              </w:rPr>
            </w:pPr>
            <w:r w:rsidRPr="00463630">
              <w:rPr>
                <w:rFonts w:ascii="Calibri" w:eastAsia="Times New Roman" w:hAnsi="Calibri" w:cs="Calibri"/>
                <w:color w:val="000000"/>
                <w:lang w:val="en-AU" w:eastAsia="en-AU" w:bidi="ar-SA"/>
              </w:rPr>
              <w:t>46</w:t>
            </w:r>
          </w:p>
        </w:tc>
      </w:tr>
      <w:tr w:rsidR="00F46D77" w:rsidRPr="00463630" w14:paraId="15721152" w14:textId="77777777" w:rsidTr="00CD2946">
        <w:trPr>
          <w:trHeight w:val="300"/>
        </w:trPr>
        <w:tc>
          <w:tcPr>
            <w:tcW w:w="6127" w:type="dxa"/>
            <w:tcBorders>
              <w:top w:val="nil"/>
              <w:left w:val="nil"/>
              <w:bottom w:val="nil"/>
              <w:right w:val="nil"/>
            </w:tcBorders>
            <w:shd w:val="clear" w:color="auto" w:fill="auto"/>
            <w:noWrap/>
            <w:vAlign w:val="bottom"/>
            <w:hideMark/>
          </w:tcPr>
          <w:p w14:paraId="1572114F" w14:textId="77777777" w:rsidR="00F46D77" w:rsidRPr="00463630" w:rsidRDefault="00F46D77" w:rsidP="00463630">
            <w:pPr>
              <w:jc w:val="left"/>
              <w:rPr>
                <w:rFonts w:ascii="Calibri" w:eastAsia="Times New Roman" w:hAnsi="Calibri" w:cs="Calibri"/>
                <w:color w:val="000000"/>
                <w:lang w:val="en-AU" w:eastAsia="en-AU" w:bidi="ar-SA"/>
              </w:rPr>
            </w:pPr>
            <w:r w:rsidRPr="00463630">
              <w:rPr>
                <w:rFonts w:ascii="Calibri" w:eastAsia="Times New Roman" w:hAnsi="Calibri" w:cs="Calibri"/>
                <w:color w:val="000000"/>
                <w:lang w:val="en-AU" w:eastAsia="en-AU" w:bidi="ar-SA"/>
              </w:rPr>
              <w:t>Slightly to moderately disturbed systems (95% species protection)</w:t>
            </w:r>
          </w:p>
        </w:tc>
        <w:tc>
          <w:tcPr>
            <w:tcW w:w="995" w:type="dxa"/>
            <w:tcBorders>
              <w:top w:val="nil"/>
              <w:left w:val="nil"/>
              <w:bottom w:val="nil"/>
              <w:right w:val="nil"/>
            </w:tcBorders>
            <w:shd w:val="clear" w:color="auto" w:fill="auto"/>
            <w:noWrap/>
            <w:vAlign w:val="center"/>
            <w:hideMark/>
          </w:tcPr>
          <w:p w14:paraId="15721150" w14:textId="77777777" w:rsidR="00F46D77" w:rsidRPr="00463630" w:rsidRDefault="00F46D77" w:rsidP="00F46D77">
            <w:pPr>
              <w:jc w:val="center"/>
              <w:rPr>
                <w:rFonts w:ascii="Calibri" w:eastAsia="Times New Roman" w:hAnsi="Calibri" w:cs="Calibri"/>
                <w:color w:val="000000"/>
                <w:lang w:val="en-AU" w:eastAsia="en-AU" w:bidi="ar-SA"/>
              </w:rPr>
            </w:pPr>
            <w:r w:rsidRPr="00463630">
              <w:rPr>
                <w:rFonts w:ascii="Calibri" w:eastAsia="Times New Roman" w:hAnsi="Calibri" w:cs="Calibri"/>
                <w:color w:val="000000"/>
                <w:lang w:val="en-AU" w:eastAsia="en-AU" w:bidi="ar-SA"/>
              </w:rPr>
              <w:t>67</w:t>
            </w:r>
            <w:r>
              <w:rPr>
                <w:rFonts w:ascii="Calibri" w:eastAsia="Times New Roman" w:hAnsi="Calibri" w:cs="Calibri"/>
                <w:color w:val="000000"/>
                <w:lang w:val="en-AU" w:eastAsia="en-AU" w:bidi="ar-SA"/>
              </w:rPr>
              <w:t>0</w:t>
            </w:r>
          </w:p>
        </w:tc>
        <w:tc>
          <w:tcPr>
            <w:tcW w:w="1275" w:type="dxa"/>
            <w:tcBorders>
              <w:top w:val="nil"/>
              <w:left w:val="nil"/>
              <w:bottom w:val="nil"/>
              <w:right w:val="nil"/>
            </w:tcBorders>
            <w:vAlign w:val="center"/>
          </w:tcPr>
          <w:p w14:paraId="5A3087FC" w14:textId="2EC566C3" w:rsidR="00F46D77" w:rsidRDefault="00F46D77" w:rsidP="00F46D77">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230</w:t>
            </w:r>
          </w:p>
        </w:tc>
        <w:tc>
          <w:tcPr>
            <w:tcW w:w="1962" w:type="dxa"/>
            <w:tcBorders>
              <w:top w:val="nil"/>
              <w:left w:val="nil"/>
              <w:bottom w:val="nil"/>
              <w:right w:val="nil"/>
            </w:tcBorders>
            <w:shd w:val="clear" w:color="auto" w:fill="auto"/>
            <w:noWrap/>
            <w:vAlign w:val="center"/>
            <w:hideMark/>
          </w:tcPr>
          <w:p w14:paraId="15721151" w14:textId="38456B42" w:rsidR="00F46D77" w:rsidRPr="00463630" w:rsidRDefault="00F46D77" w:rsidP="00F46D77">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240</w:t>
            </w:r>
          </w:p>
        </w:tc>
      </w:tr>
      <w:tr w:rsidR="00F46D77" w:rsidRPr="00463630" w14:paraId="15721156" w14:textId="77777777" w:rsidTr="00CD2946">
        <w:trPr>
          <w:trHeight w:val="300"/>
        </w:trPr>
        <w:tc>
          <w:tcPr>
            <w:tcW w:w="6127" w:type="dxa"/>
            <w:tcBorders>
              <w:top w:val="nil"/>
              <w:left w:val="nil"/>
              <w:right w:val="nil"/>
            </w:tcBorders>
            <w:shd w:val="clear" w:color="auto" w:fill="auto"/>
            <w:noWrap/>
            <w:vAlign w:val="bottom"/>
            <w:hideMark/>
          </w:tcPr>
          <w:p w14:paraId="15721153" w14:textId="77777777" w:rsidR="00F46D77" w:rsidRPr="00463630" w:rsidRDefault="00F46D77" w:rsidP="00463630">
            <w:pPr>
              <w:jc w:val="left"/>
              <w:rPr>
                <w:rFonts w:ascii="Calibri" w:eastAsia="Times New Roman" w:hAnsi="Calibri" w:cs="Calibri"/>
                <w:color w:val="000000"/>
                <w:lang w:val="en-AU" w:eastAsia="en-AU" w:bidi="ar-SA"/>
              </w:rPr>
            </w:pPr>
            <w:r w:rsidRPr="00463630">
              <w:rPr>
                <w:rFonts w:ascii="Calibri" w:eastAsia="Times New Roman" w:hAnsi="Calibri" w:cs="Calibri"/>
                <w:color w:val="000000"/>
                <w:lang w:val="en-AU" w:eastAsia="en-AU" w:bidi="ar-SA"/>
              </w:rPr>
              <w:t>Highly disturbed systems (90% species protection)</w:t>
            </w:r>
          </w:p>
        </w:tc>
        <w:tc>
          <w:tcPr>
            <w:tcW w:w="995" w:type="dxa"/>
            <w:tcBorders>
              <w:top w:val="nil"/>
              <w:left w:val="nil"/>
              <w:right w:val="nil"/>
            </w:tcBorders>
            <w:shd w:val="clear" w:color="auto" w:fill="auto"/>
            <w:noWrap/>
            <w:vAlign w:val="center"/>
            <w:hideMark/>
          </w:tcPr>
          <w:p w14:paraId="15721154" w14:textId="77777777" w:rsidR="00F46D77" w:rsidRPr="00463630" w:rsidRDefault="00F46D77" w:rsidP="00F46D77">
            <w:pPr>
              <w:jc w:val="center"/>
              <w:rPr>
                <w:rFonts w:ascii="Calibri" w:eastAsia="Times New Roman" w:hAnsi="Calibri" w:cs="Calibri"/>
                <w:color w:val="000000"/>
                <w:lang w:val="en-AU" w:eastAsia="en-AU" w:bidi="ar-SA"/>
              </w:rPr>
            </w:pPr>
            <w:r w:rsidRPr="00463630">
              <w:rPr>
                <w:rFonts w:ascii="Calibri" w:eastAsia="Times New Roman" w:hAnsi="Calibri" w:cs="Calibri"/>
                <w:color w:val="000000"/>
                <w:lang w:val="en-AU" w:eastAsia="en-AU" w:bidi="ar-SA"/>
              </w:rPr>
              <w:t>86</w:t>
            </w:r>
            <w:r>
              <w:rPr>
                <w:rFonts w:ascii="Calibri" w:eastAsia="Times New Roman" w:hAnsi="Calibri" w:cs="Calibri"/>
                <w:color w:val="000000"/>
                <w:lang w:val="en-AU" w:eastAsia="en-AU" w:bidi="ar-SA"/>
              </w:rPr>
              <w:t>0</w:t>
            </w:r>
          </w:p>
        </w:tc>
        <w:tc>
          <w:tcPr>
            <w:tcW w:w="1275" w:type="dxa"/>
            <w:tcBorders>
              <w:top w:val="nil"/>
              <w:left w:val="nil"/>
              <w:right w:val="nil"/>
            </w:tcBorders>
            <w:vAlign w:val="center"/>
          </w:tcPr>
          <w:p w14:paraId="5E3DFC5E" w14:textId="58CCD2DB" w:rsidR="00F46D77" w:rsidRPr="00463630" w:rsidRDefault="00F46D77" w:rsidP="00F46D77">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420</w:t>
            </w:r>
          </w:p>
        </w:tc>
        <w:tc>
          <w:tcPr>
            <w:tcW w:w="1962" w:type="dxa"/>
            <w:tcBorders>
              <w:top w:val="nil"/>
              <w:left w:val="nil"/>
              <w:right w:val="nil"/>
            </w:tcBorders>
            <w:shd w:val="clear" w:color="auto" w:fill="auto"/>
            <w:noWrap/>
            <w:vAlign w:val="center"/>
            <w:hideMark/>
          </w:tcPr>
          <w:p w14:paraId="15721155" w14:textId="12DDB38E" w:rsidR="00F46D77" w:rsidRPr="00463630" w:rsidRDefault="00F46D77" w:rsidP="00F46D77">
            <w:pPr>
              <w:jc w:val="center"/>
              <w:rPr>
                <w:rFonts w:ascii="Calibri" w:eastAsia="Times New Roman" w:hAnsi="Calibri" w:cs="Calibri"/>
                <w:color w:val="000000"/>
                <w:lang w:val="en-AU" w:eastAsia="en-AU" w:bidi="ar-SA"/>
              </w:rPr>
            </w:pPr>
            <w:r w:rsidRPr="00463630">
              <w:rPr>
                <w:rFonts w:ascii="Calibri" w:eastAsia="Times New Roman" w:hAnsi="Calibri" w:cs="Calibri"/>
                <w:color w:val="000000"/>
                <w:lang w:val="en-AU" w:eastAsia="en-AU" w:bidi="ar-SA"/>
              </w:rPr>
              <w:t>52</w:t>
            </w:r>
            <w:r>
              <w:rPr>
                <w:rFonts w:ascii="Calibri" w:eastAsia="Times New Roman" w:hAnsi="Calibri" w:cs="Calibri"/>
                <w:color w:val="000000"/>
                <w:lang w:val="en-AU" w:eastAsia="en-AU" w:bidi="ar-SA"/>
              </w:rPr>
              <w:t>0</w:t>
            </w:r>
          </w:p>
        </w:tc>
      </w:tr>
      <w:tr w:rsidR="00F46D77" w:rsidRPr="00463630" w14:paraId="1572115A" w14:textId="77777777" w:rsidTr="00CD2946">
        <w:trPr>
          <w:trHeight w:val="300"/>
        </w:trPr>
        <w:tc>
          <w:tcPr>
            <w:tcW w:w="6127" w:type="dxa"/>
            <w:tcBorders>
              <w:top w:val="nil"/>
              <w:left w:val="nil"/>
              <w:bottom w:val="single" w:sz="4" w:space="0" w:color="auto"/>
              <w:right w:val="nil"/>
            </w:tcBorders>
            <w:shd w:val="clear" w:color="auto" w:fill="auto"/>
            <w:noWrap/>
            <w:vAlign w:val="bottom"/>
            <w:hideMark/>
          </w:tcPr>
          <w:p w14:paraId="15721157" w14:textId="77777777" w:rsidR="00F46D77" w:rsidRPr="00463630" w:rsidRDefault="00F46D77" w:rsidP="00463630">
            <w:pPr>
              <w:jc w:val="left"/>
              <w:rPr>
                <w:rFonts w:ascii="Calibri" w:eastAsia="Times New Roman" w:hAnsi="Calibri" w:cs="Calibri"/>
                <w:color w:val="000000"/>
                <w:lang w:val="en-AU" w:eastAsia="en-AU" w:bidi="ar-SA"/>
              </w:rPr>
            </w:pPr>
            <w:r w:rsidRPr="00463630">
              <w:rPr>
                <w:rFonts w:ascii="Calibri" w:eastAsia="Times New Roman" w:hAnsi="Calibri" w:cs="Calibri"/>
                <w:color w:val="000000"/>
                <w:lang w:val="en-AU" w:eastAsia="en-AU" w:bidi="ar-SA"/>
              </w:rPr>
              <w:t>Highly disturbed systems (80% species protection)</w:t>
            </w:r>
          </w:p>
        </w:tc>
        <w:tc>
          <w:tcPr>
            <w:tcW w:w="995" w:type="dxa"/>
            <w:tcBorders>
              <w:top w:val="nil"/>
              <w:left w:val="nil"/>
              <w:bottom w:val="single" w:sz="4" w:space="0" w:color="auto"/>
              <w:right w:val="nil"/>
            </w:tcBorders>
            <w:shd w:val="clear" w:color="auto" w:fill="auto"/>
            <w:noWrap/>
            <w:vAlign w:val="center"/>
            <w:hideMark/>
          </w:tcPr>
          <w:p w14:paraId="15721158" w14:textId="77777777" w:rsidR="00F46D77" w:rsidRPr="00463630" w:rsidRDefault="00F46D77" w:rsidP="00F46D77">
            <w:pPr>
              <w:jc w:val="center"/>
              <w:rPr>
                <w:rFonts w:ascii="Calibri" w:eastAsia="Times New Roman" w:hAnsi="Calibri" w:cs="Calibri"/>
                <w:color w:val="000000"/>
                <w:lang w:val="en-AU" w:eastAsia="en-AU" w:bidi="ar-SA"/>
              </w:rPr>
            </w:pPr>
            <w:r w:rsidRPr="00463630">
              <w:rPr>
                <w:rFonts w:ascii="Calibri" w:eastAsia="Times New Roman" w:hAnsi="Calibri" w:cs="Calibri"/>
                <w:color w:val="000000"/>
                <w:lang w:val="en-AU" w:eastAsia="en-AU" w:bidi="ar-SA"/>
              </w:rPr>
              <w:t>1</w:t>
            </w:r>
            <w:r>
              <w:rPr>
                <w:rFonts w:ascii="Calibri" w:eastAsia="Times New Roman" w:hAnsi="Calibri" w:cs="Calibri"/>
                <w:color w:val="000000"/>
                <w:lang w:val="en-AU" w:eastAsia="en-AU" w:bidi="ar-SA"/>
              </w:rPr>
              <w:t>,</w:t>
            </w:r>
            <w:r w:rsidRPr="00463630">
              <w:rPr>
                <w:rFonts w:ascii="Calibri" w:eastAsia="Times New Roman" w:hAnsi="Calibri" w:cs="Calibri"/>
                <w:color w:val="000000"/>
                <w:lang w:val="en-AU" w:eastAsia="en-AU" w:bidi="ar-SA"/>
              </w:rPr>
              <w:t>2</w:t>
            </w:r>
            <w:r>
              <w:rPr>
                <w:rFonts w:ascii="Calibri" w:eastAsia="Times New Roman" w:hAnsi="Calibri" w:cs="Calibri"/>
                <w:color w:val="000000"/>
                <w:lang w:val="en-AU" w:eastAsia="en-AU" w:bidi="ar-SA"/>
              </w:rPr>
              <w:t>00</w:t>
            </w:r>
          </w:p>
        </w:tc>
        <w:tc>
          <w:tcPr>
            <w:tcW w:w="1275" w:type="dxa"/>
            <w:tcBorders>
              <w:top w:val="nil"/>
              <w:left w:val="nil"/>
              <w:bottom w:val="single" w:sz="4" w:space="0" w:color="auto"/>
              <w:right w:val="nil"/>
            </w:tcBorders>
            <w:vAlign w:val="center"/>
          </w:tcPr>
          <w:p w14:paraId="39128BBF" w14:textId="146872CE" w:rsidR="00F46D77" w:rsidRDefault="00F46D77" w:rsidP="00F46D77">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900</w:t>
            </w:r>
          </w:p>
        </w:tc>
        <w:tc>
          <w:tcPr>
            <w:tcW w:w="1962" w:type="dxa"/>
            <w:tcBorders>
              <w:top w:val="nil"/>
              <w:left w:val="nil"/>
              <w:bottom w:val="single" w:sz="4" w:space="0" w:color="auto"/>
              <w:right w:val="nil"/>
            </w:tcBorders>
            <w:shd w:val="clear" w:color="auto" w:fill="auto"/>
            <w:noWrap/>
            <w:vAlign w:val="center"/>
            <w:hideMark/>
          </w:tcPr>
          <w:p w14:paraId="15721159" w14:textId="0B077B51" w:rsidR="00F46D77" w:rsidRPr="00463630" w:rsidRDefault="00F46D77" w:rsidP="00F46D77">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1,</w:t>
            </w:r>
            <w:r w:rsidRPr="00463630">
              <w:rPr>
                <w:rFonts w:ascii="Calibri" w:eastAsia="Times New Roman" w:hAnsi="Calibri" w:cs="Calibri"/>
                <w:color w:val="000000"/>
                <w:lang w:val="en-AU" w:eastAsia="en-AU" w:bidi="ar-SA"/>
              </w:rPr>
              <w:t>2</w:t>
            </w:r>
            <w:r>
              <w:rPr>
                <w:rFonts w:ascii="Calibri" w:eastAsia="Times New Roman" w:hAnsi="Calibri" w:cs="Calibri"/>
                <w:color w:val="000000"/>
                <w:lang w:val="en-AU" w:eastAsia="en-AU" w:bidi="ar-SA"/>
              </w:rPr>
              <w:t>00</w:t>
            </w:r>
          </w:p>
        </w:tc>
      </w:tr>
    </w:tbl>
    <w:p w14:paraId="1572115B" w14:textId="52F55439" w:rsidR="00AF2A13" w:rsidRPr="00CD2946" w:rsidRDefault="00CD2946" w:rsidP="00AF2A13">
      <w:pPr>
        <w:spacing w:line="276" w:lineRule="auto"/>
        <w:rPr>
          <w:rFonts w:ascii="Calibri" w:eastAsia="Times New Roman" w:hAnsi="Calibri" w:cs="Calibri"/>
          <w:color w:val="000000"/>
          <w:sz w:val="20"/>
          <w:lang w:val="en-AU" w:eastAsia="en-AU" w:bidi="ar-SA"/>
        </w:rPr>
      </w:pPr>
      <w:r w:rsidRPr="00CD2946">
        <w:rPr>
          <w:rFonts w:ascii="Calibri" w:eastAsia="Times New Roman" w:hAnsi="Calibri" w:cs="Calibri"/>
          <w:color w:val="000000"/>
          <w:sz w:val="20"/>
          <w:lang w:val="en-AU" w:eastAsia="en-AU" w:bidi="ar-SA"/>
        </w:rPr>
        <w:t>† Relevant to the Reef protection</w:t>
      </w:r>
    </w:p>
    <w:p w14:paraId="73B4ABA2" w14:textId="77777777" w:rsidR="00CD2946" w:rsidRDefault="00CD2946" w:rsidP="00AF2A13">
      <w:pPr>
        <w:spacing w:line="276" w:lineRule="auto"/>
        <w:rPr>
          <w:lang w:val="en-AU"/>
        </w:rPr>
      </w:pPr>
    </w:p>
    <w:p w14:paraId="0AC67FF8" w14:textId="30172C8D" w:rsidR="00947066" w:rsidRDefault="00981ABC" w:rsidP="00AF2A13">
      <w:pPr>
        <w:spacing w:line="276" w:lineRule="auto"/>
        <w:rPr>
          <w:lang w:val="en-AU" w:eastAsia="en-AU"/>
        </w:rPr>
      </w:pPr>
      <w:r>
        <w:rPr>
          <w:lang w:val="en-AU"/>
        </w:rPr>
        <w:t>The</w:t>
      </w:r>
      <w:r w:rsidR="00653E66">
        <w:rPr>
          <w:lang w:val="en-AU"/>
        </w:rPr>
        <w:t xml:space="preserve"> above comparisons focus on individual </w:t>
      </w:r>
      <w:r w:rsidR="0084175A">
        <w:rPr>
          <w:lang w:val="en-AU"/>
        </w:rPr>
        <w:t>PSII herbicides</w:t>
      </w:r>
      <w:r w:rsidR="00653E66">
        <w:rPr>
          <w:lang w:val="en-AU"/>
        </w:rPr>
        <w:t xml:space="preserve">, </w:t>
      </w:r>
      <w:r>
        <w:rPr>
          <w:lang w:val="en-AU"/>
        </w:rPr>
        <w:t xml:space="preserve">and it is important also to assess </w:t>
      </w:r>
      <w:r w:rsidR="00653E66">
        <w:rPr>
          <w:lang w:val="en-AU"/>
        </w:rPr>
        <w:t xml:space="preserve">mixtures. </w:t>
      </w:r>
      <w:r w:rsidR="00653E66">
        <w:rPr>
          <w:lang w:val="en-AU" w:eastAsia="en-AU"/>
        </w:rPr>
        <w:t xml:space="preserve">Different mixture profiles </w:t>
      </w:r>
      <w:r w:rsidR="0084175A">
        <w:rPr>
          <w:lang w:val="en-AU" w:eastAsia="en-AU"/>
        </w:rPr>
        <w:t xml:space="preserve">of PSII herbicides with the same diuron-equivalent concentration (using the PSII index) </w:t>
      </w:r>
      <w:r w:rsidR="00653E66">
        <w:rPr>
          <w:lang w:val="en-AU" w:eastAsia="en-AU"/>
        </w:rPr>
        <w:t xml:space="preserve">return </w:t>
      </w:r>
      <w:r w:rsidR="00C60B74">
        <w:rPr>
          <w:lang w:val="en-AU" w:eastAsia="en-AU"/>
        </w:rPr>
        <w:t>consistent</w:t>
      </w:r>
      <w:r w:rsidR="00653E66">
        <w:rPr>
          <w:lang w:val="en-AU" w:eastAsia="en-AU"/>
        </w:rPr>
        <w:t xml:space="preserve"> PAF values</w:t>
      </w:r>
      <w:r w:rsidR="007D68DC">
        <w:rPr>
          <w:lang w:val="en-AU" w:eastAsia="en-AU"/>
        </w:rPr>
        <w:t xml:space="preserve"> </w:t>
      </w:r>
      <w:r w:rsidR="0084175A">
        <w:rPr>
          <w:lang w:val="en-AU" w:eastAsia="en-AU"/>
        </w:rPr>
        <w:t xml:space="preserve">using </w:t>
      </w:r>
      <w:r w:rsidR="00947066">
        <w:rPr>
          <w:lang w:val="en-AU" w:eastAsia="en-AU"/>
        </w:rPr>
        <w:t xml:space="preserve">the </w:t>
      </w:r>
      <w:r w:rsidR="007D68DC">
        <w:rPr>
          <w:lang w:val="en-AU" w:eastAsia="en-AU"/>
        </w:rPr>
        <w:t>ms-PAF model</w:t>
      </w:r>
      <w:r w:rsidR="007A507E">
        <w:rPr>
          <w:lang w:val="en-AU" w:eastAsia="en-AU"/>
        </w:rPr>
        <w:t xml:space="preserve"> </w:t>
      </w:r>
      <w:r>
        <w:rPr>
          <w:lang w:val="en-AU" w:eastAsia="en-AU"/>
        </w:rPr>
        <w:t>(</w:t>
      </w:r>
      <w:r>
        <w:fldChar w:fldCharType="begin"/>
      </w:r>
      <w:r>
        <w:instrText xml:space="preserve"> REF _Ref480905503 \h  \* MERGEFORMAT </w:instrText>
      </w:r>
      <w:r>
        <w:fldChar w:fldCharType="separate"/>
      </w:r>
      <w:r w:rsidR="00D12276" w:rsidRPr="00D12276">
        <w:t xml:space="preserve">Table </w:t>
      </w:r>
      <w:r w:rsidR="00D12276" w:rsidRPr="00D12276">
        <w:rPr>
          <w:noProof/>
        </w:rPr>
        <w:t>16</w:t>
      </w:r>
      <w:r>
        <w:fldChar w:fldCharType="end"/>
      </w:r>
      <w:r>
        <w:rPr>
          <w:lang w:val="en-AU" w:eastAsia="en-AU"/>
        </w:rPr>
        <w:t>)</w:t>
      </w:r>
      <w:r w:rsidR="007D68DC">
        <w:rPr>
          <w:lang w:val="en-AU" w:eastAsia="en-AU"/>
        </w:rPr>
        <w:t xml:space="preserve">; </w:t>
      </w:r>
      <w:r w:rsidR="00356020">
        <w:rPr>
          <w:lang w:val="en-AU" w:eastAsia="en-AU"/>
        </w:rPr>
        <w:t>for example,</w:t>
      </w:r>
      <w:r w:rsidR="00653E66">
        <w:rPr>
          <w:lang w:val="en-AU" w:eastAsia="en-AU"/>
        </w:rPr>
        <w:t xml:space="preserve"> for a range of theoretical mixtures </w:t>
      </w:r>
      <w:r w:rsidR="007D68DC">
        <w:rPr>
          <w:lang w:val="en-AU" w:eastAsia="en-AU"/>
        </w:rPr>
        <w:t>dominated by diuron (consistent with the monitoring results in this report) each</w:t>
      </w:r>
      <w:r w:rsidR="00653E66">
        <w:rPr>
          <w:lang w:val="en-AU" w:eastAsia="en-AU"/>
        </w:rPr>
        <w:t xml:space="preserve"> with a PSII-HEq of </w:t>
      </w:r>
      <w:r w:rsidR="007A507E">
        <w:rPr>
          <w:lang w:val="en-AU" w:eastAsia="en-AU"/>
        </w:rPr>
        <w:t>46</w:t>
      </w:r>
      <w:r w:rsidR="00653E66">
        <w:rPr>
          <w:lang w:val="en-AU" w:eastAsia="en-AU"/>
        </w:rPr>
        <w:t xml:space="preserve"> ng L</w:t>
      </w:r>
      <w:r w:rsidR="00653E66" w:rsidRPr="00653E66">
        <w:rPr>
          <w:vertAlign w:val="superscript"/>
          <w:lang w:val="en-AU" w:eastAsia="en-AU"/>
        </w:rPr>
        <w:t>-1</w:t>
      </w:r>
      <w:r w:rsidR="007A507E" w:rsidRPr="007A507E">
        <w:rPr>
          <w:lang w:val="en-AU" w:eastAsia="en-AU"/>
        </w:rPr>
        <w:t xml:space="preserve"> (equ</w:t>
      </w:r>
      <w:r w:rsidR="007A507E">
        <w:rPr>
          <w:lang w:val="en-AU" w:eastAsia="en-AU"/>
        </w:rPr>
        <w:t>i</w:t>
      </w:r>
      <w:r w:rsidR="007A507E" w:rsidRPr="007A507E">
        <w:rPr>
          <w:lang w:val="en-AU" w:eastAsia="en-AU"/>
        </w:rPr>
        <w:t>v</w:t>
      </w:r>
      <w:r w:rsidR="007A507E">
        <w:rPr>
          <w:lang w:val="en-AU" w:eastAsia="en-AU"/>
        </w:rPr>
        <w:t>ale</w:t>
      </w:r>
      <w:r w:rsidR="007A507E" w:rsidRPr="007A507E">
        <w:rPr>
          <w:lang w:val="en-AU" w:eastAsia="en-AU"/>
        </w:rPr>
        <w:t>nt to 1% PAF)</w:t>
      </w:r>
      <w:r w:rsidR="00653E66">
        <w:rPr>
          <w:lang w:val="en-AU" w:eastAsia="en-AU"/>
        </w:rPr>
        <w:t xml:space="preserve">, PAF values </w:t>
      </w:r>
      <w:r w:rsidR="007D68DC">
        <w:rPr>
          <w:lang w:val="en-AU" w:eastAsia="en-AU"/>
        </w:rPr>
        <w:t xml:space="preserve">ranged </w:t>
      </w:r>
      <w:r w:rsidR="00653E66">
        <w:rPr>
          <w:lang w:val="en-AU" w:eastAsia="en-AU"/>
        </w:rPr>
        <w:t xml:space="preserve">from </w:t>
      </w:r>
      <w:r w:rsidR="007D68DC">
        <w:rPr>
          <w:lang w:val="en-AU" w:eastAsia="en-AU"/>
        </w:rPr>
        <w:t>1.</w:t>
      </w:r>
      <w:r w:rsidR="007A507E">
        <w:rPr>
          <w:lang w:val="en-AU" w:eastAsia="en-AU"/>
        </w:rPr>
        <w:t xml:space="preserve">04 </w:t>
      </w:r>
      <w:r w:rsidR="007D68DC">
        <w:rPr>
          <w:lang w:val="en-AU" w:eastAsia="en-AU"/>
        </w:rPr>
        <w:t>– 1.</w:t>
      </w:r>
      <w:r w:rsidR="007A507E">
        <w:rPr>
          <w:lang w:val="en-AU" w:eastAsia="en-AU"/>
        </w:rPr>
        <w:t>09</w:t>
      </w:r>
      <w:r w:rsidR="007D68DC">
        <w:rPr>
          <w:lang w:val="en-AU" w:eastAsia="en-AU"/>
        </w:rPr>
        <w:t xml:space="preserve">% </w:t>
      </w:r>
      <w:r>
        <w:rPr>
          <w:lang w:val="en-AU" w:eastAsia="en-AU"/>
        </w:rPr>
        <w:t xml:space="preserve">PAF </w:t>
      </w:r>
      <w:r w:rsidR="007D68DC">
        <w:rPr>
          <w:lang w:val="en-AU" w:eastAsia="en-AU"/>
        </w:rPr>
        <w:t>(</w:t>
      </w:r>
      <w:r w:rsidR="00653E66">
        <w:rPr>
          <w:lang w:val="en-AU" w:eastAsia="en-AU"/>
        </w:rPr>
        <w:t>%CV</w:t>
      </w:r>
      <w:r w:rsidR="007D68DC">
        <w:rPr>
          <w:lang w:val="en-AU" w:eastAsia="en-AU"/>
        </w:rPr>
        <w:t xml:space="preserve"> of</w:t>
      </w:r>
      <w:r w:rsidR="00653E66">
        <w:rPr>
          <w:lang w:val="en-AU" w:eastAsia="en-AU"/>
        </w:rPr>
        <w:t xml:space="preserve"> </w:t>
      </w:r>
      <w:r w:rsidR="007A507E">
        <w:rPr>
          <w:lang w:val="en-AU" w:eastAsia="en-AU"/>
        </w:rPr>
        <w:t>2.4</w:t>
      </w:r>
      <w:r w:rsidR="00653E66">
        <w:rPr>
          <w:lang w:val="en-AU" w:eastAsia="en-AU"/>
        </w:rPr>
        <w:t>%</w:t>
      </w:r>
      <w:r w:rsidR="007D68DC">
        <w:rPr>
          <w:lang w:val="en-AU" w:eastAsia="en-AU"/>
        </w:rPr>
        <w:t>)</w:t>
      </w:r>
      <w:r w:rsidR="00271985">
        <w:rPr>
          <w:lang w:val="en-AU" w:eastAsia="en-AU"/>
        </w:rPr>
        <w:t>.</w:t>
      </w:r>
    </w:p>
    <w:p w14:paraId="6D04963E" w14:textId="1D232AF7" w:rsidR="00271985" w:rsidRDefault="00271985" w:rsidP="00AF2A13">
      <w:pPr>
        <w:spacing w:line="276" w:lineRule="auto"/>
        <w:rPr>
          <w:lang w:val="en-AU"/>
        </w:rPr>
      </w:pPr>
    </w:p>
    <w:p w14:paraId="6933FB3A" w14:textId="77777777" w:rsidR="00271985" w:rsidRDefault="00271985" w:rsidP="00AF2A13">
      <w:pPr>
        <w:spacing w:line="276" w:lineRule="auto"/>
        <w:rPr>
          <w:lang w:val="en-AU"/>
        </w:rPr>
      </w:pPr>
    </w:p>
    <w:p w14:paraId="1572115E" w14:textId="244FE76F" w:rsidR="00653E66" w:rsidRPr="00271985" w:rsidRDefault="00653E66" w:rsidP="00356020">
      <w:pPr>
        <w:spacing w:line="276" w:lineRule="auto"/>
        <w:rPr>
          <w:bCs/>
          <w:sz w:val="18"/>
          <w:szCs w:val="18"/>
        </w:rPr>
      </w:pPr>
      <w:bookmarkStart w:id="726" w:name="_Ref480905503"/>
      <w:bookmarkStart w:id="727" w:name="_Toc502499874"/>
      <w:r w:rsidRPr="00271985">
        <w:rPr>
          <w:bCs/>
          <w:sz w:val="18"/>
          <w:szCs w:val="18"/>
        </w:rPr>
        <w:t xml:space="preserve">Table </w:t>
      </w:r>
      <w:r w:rsidR="00C91BF5" w:rsidRPr="00271985">
        <w:rPr>
          <w:bCs/>
          <w:sz w:val="18"/>
          <w:szCs w:val="18"/>
        </w:rPr>
        <w:fldChar w:fldCharType="begin"/>
      </w:r>
      <w:r w:rsidRPr="00271985">
        <w:rPr>
          <w:bCs/>
          <w:sz w:val="18"/>
          <w:szCs w:val="18"/>
        </w:rPr>
        <w:instrText xml:space="preserve"> SEQ Table \* ARABIC </w:instrText>
      </w:r>
      <w:r w:rsidR="00C91BF5" w:rsidRPr="00271985">
        <w:rPr>
          <w:bCs/>
          <w:sz w:val="18"/>
          <w:szCs w:val="18"/>
        </w:rPr>
        <w:fldChar w:fldCharType="separate"/>
      </w:r>
      <w:r w:rsidR="00D12276">
        <w:rPr>
          <w:bCs/>
          <w:noProof/>
          <w:sz w:val="18"/>
          <w:szCs w:val="18"/>
        </w:rPr>
        <w:t>16</w:t>
      </w:r>
      <w:r w:rsidR="00C91BF5" w:rsidRPr="00271985">
        <w:rPr>
          <w:bCs/>
          <w:sz w:val="18"/>
          <w:szCs w:val="18"/>
        </w:rPr>
        <w:fldChar w:fldCharType="end"/>
      </w:r>
      <w:bookmarkEnd w:id="726"/>
      <w:r w:rsidRPr="00271985">
        <w:rPr>
          <w:bCs/>
          <w:sz w:val="18"/>
          <w:szCs w:val="18"/>
        </w:rPr>
        <w:t>: Comparison of the ms-PAF values for seven hypothetical PSII herbicide mixtures</w:t>
      </w:r>
      <w:bookmarkEnd w:id="727"/>
    </w:p>
    <w:tbl>
      <w:tblPr>
        <w:tblW w:w="9765" w:type="dxa"/>
        <w:tblInd w:w="108" w:type="dxa"/>
        <w:tblLook w:val="04A0" w:firstRow="1" w:lastRow="0" w:firstColumn="1" w:lastColumn="0" w:noHBand="0" w:noVBand="1"/>
      </w:tblPr>
      <w:tblGrid>
        <w:gridCol w:w="976"/>
        <w:gridCol w:w="1205"/>
        <w:gridCol w:w="1154"/>
        <w:gridCol w:w="942"/>
        <w:gridCol w:w="1604"/>
        <w:gridCol w:w="1711"/>
        <w:gridCol w:w="1197"/>
        <w:gridCol w:w="976"/>
      </w:tblGrid>
      <w:tr w:rsidR="00653E66" w:rsidRPr="00B866CB" w14:paraId="15721163" w14:textId="77777777" w:rsidTr="00C12284">
        <w:trPr>
          <w:trHeight w:val="210"/>
        </w:trPr>
        <w:tc>
          <w:tcPr>
            <w:tcW w:w="976" w:type="dxa"/>
            <w:tcBorders>
              <w:top w:val="single" w:sz="4" w:space="0" w:color="auto"/>
              <w:left w:val="nil"/>
              <w:bottom w:val="nil"/>
              <w:right w:val="nil"/>
            </w:tcBorders>
            <w:shd w:val="clear" w:color="auto" w:fill="F2F2F2" w:themeFill="background1" w:themeFillShade="F2"/>
            <w:noWrap/>
            <w:vAlign w:val="bottom"/>
            <w:hideMark/>
          </w:tcPr>
          <w:p w14:paraId="1572115F" w14:textId="77777777" w:rsidR="00653E66" w:rsidRPr="00B866CB" w:rsidRDefault="00653E66" w:rsidP="00C12284">
            <w:pPr>
              <w:jc w:val="left"/>
              <w:rPr>
                <w:rFonts w:ascii="Times New Roman" w:eastAsia="Times New Roman" w:hAnsi="Times New Roman" w:cs="Times New Roman"/>
                <w:sz w:val="24"/>
                <w:szCs w:val="24"/>
                <w:lang w:val="en-AU" w:eastAsia="en-AU" w:bidi="ar-SA"/>
              </w:rPr>
            </w:pPr>
          </w:p>
        </w:tc>
        <w:tc>
          <w:tcPr>
            <w:tcW w:w="6616" w:type="dxa"/>
            <w:gridSpan w:val="5"/>
            <w:tcBorders>
              <w:top w:val="single" w:sz="4" w:space="0" w:color="auto"/>
              <w:left w:val="nil"/>
              <w:bottom w:val="single" w:sz="4" w:space="0" w:color="auto"/>
              <w:right w:val="nil"/>
            </w:tcBorders>
            <w:shd w:val="clear" w:color="auto" w:fill="F2F2F2" w:themeFill="background1" w:themeFillShade="F2"/>
            <w:noWrap/>
            <w:vAlign w:val="bottom"/>
            <w:hideMark/>
          </w:tcPr>
          <w:p w14:paraId="15721160" w14:textId="77777777" w:rsidR="00653E66" w:rsidRPr="00B866CB" w:rsidRDefault="00653E66" w:rsidP="00C12284">
            <w:pPr>
              <w:jc w:val="center"/>
              <w:rPr>
                <w:rFonts w:ascii="Calibri" w:eastAsia="Times New Roman" w:hAnsi="Calibri" w:cs="Calibri"/>
                <w:b/>
                <w:bCs/>
                <w:color w:val="000000"/>
                <w:lang w:val="en-AU" w:eastAsia="en-AU" w:bidi="ar-SA"/>
              </w:rPr>
            </w:pPr>
            <w:r w:rsidRPr="00B866CB">
              <w:rPr>
                <w:rFonts w:ascii="Calibri" w:eastAsia="Times New Roman" w:hAnsi="Calibri" w:cs="Calibri"/>
                <w:b/>
                <w:bCs/>
                <w:color w:val="000000"/>
                <w:lang w:val="en-AU" w:eastAsia="en-AU" w:bidi="ar-SA"/>
              </w:rPr>
              <w:t>Concentration (ng L</w:t>
            </w:r>
            <w:r w:rsidRPr="00B866CB">
              <w:rPr>
                <w:rFonts w:ascii="Calibri" w:eastAsia="Times New Roman" w:hAnsi="Calibri" w:cs="Calibri"/>
                <w:b/>
                <w:bCs/>
                <w:color w:val="000000"/>
                <w:vertAlign w:val="superscript"/>
                <w:lang w:val="en-AU" w:eastAsia="en-AU" w:bidi="ar-SA"/>
              </w:rPr>
              <w:t>-1</w:t>
            </w:r>
            <w:r w:rsidRPr="00B866CB">
              <w:rPr>
                <w:rFonts w:ascii="Calibri" w:eastAsia="Times New Roman" w:hAnsi="Calibri" w:cs="Calibri"/>
                <w:b/>
                <w:bCs/>
                <w:color w:val="000000"/>
                <w:lang w:val="en-AU" w:eastAsia="en-AU" w:bidi="ar-SA"/>
              </w:rPr>
              <w:t>)</w:t>
            </w:r>
          </w:p>
        </w:tc>
        <w:tc>
          <w:tcPr>
            <w:tcW w:w="1197" w:type="dxa"/>
            <w:tcBorders>
              <w:top w:val="single" w:sz="4" w:space="0" w:color="auto"/>
              <w:left w:val="nil"/>
              <w:bottom w:val="nil"/>
              <w:right w:val="nil"/>
            </w:tcBorders>
            <w:shd w:val="clear" w:color="auto" w:fill="F2F2F2" w:themeFill="background1" w:themeFillShade="F2"/>
            <w:noWrap/>
            <w:vAlign w:val="bottom"/>
            <w:hideMark/>
          </w:tcPr>
          <w:p w14:paraId="15721161" w14:textId="77777777" w:rsidR="00653E66" w:rsidRPr="00B866CB" w:rsidRDefault="00653E66" w:rsidP="00C12284">
            <w:pPr>
              <w:jc w:val="center"/>
              <w:rPr>
                <w:rFonts w:ascii="Calibri" w:eastAsia="Times New Roman" w:hAnsi="Calibri" w:cs="Calibri"/>
                <w:b/>
                <w:bCs/>
                <w:color w:val="000000"/>
                <w:lang w:val="en-AU" w:eastAsia="en-AU" w:bidi="ar-SA"/>
              </w:rPr>
            </w:pPr>
            <w:r w:rsidRPr="00B866CB">
              <w:rPr>
                <w:rFonts w:ascii="Calibri" w:eastAsia="Times New Roman" w:hAnsi="Calibri" w:cs="Calibri"/>
                <w:b/>
                <w:bCs/>
                <w:color w:val="000000"/>
                <w:lang w:val="en-AU" w:eastAsia="en-AU" w:bidi="ar-SA"/>
              </w:rPr>
              <w:t>PSII-Heq</w:t>
            </w:r>
          </w:p>
        </w:tc>
        <w:tc>
          <w:tcPr>
            <w:tcW w:w="976" w:type="dxa"/>
            <w:tcBorders>
              <w:top w:val="single" w:sz="4" w:space="0" w:color="auto"/>
              <w:left w:val="nil"/>
              <w:bottom w:val="nil"/>
              <w:right w:val="nil"/>
            </w:tcBorders>
            <w:shd w:val="clear" w:color="auto" w:fill="F2F2F2" w:themeFill="background1" w:themeFillShade="F2"/>
            <w:noWrap/>
            <w:vAlign w:val="bottom"/>
            <w:hideMark/>
          </w:tcPr>
          <w:p w14:paraId="15721162" w14:textId="1E9C186B" w:rsidR="00653E66" w:rsidRPr="00B866CB" w:rsidRDefault="00653E66" w:rsidP="00C12284">
            <w:pPr>
              <w:jc w:val="center"/>
              <w:rPr>
                <w:rFonts w:ascii="Calibri" w:eastAsia="Times New Roman" w:hAnsi="Calibri" w:cs="Calibri"/>
                <w:b/>
                <w:bCs/>
                <w:color w:val="000000"/>
                <w:lang w:val="en-AU" w:eastAsia="en-AU" w:bidi="ar-SA"/>
              </w:rPr>
            </w:pPr>
            <w:r w:rsidRPr="00B866CB">
              <w:rPr>
                <w:rFonts w:ascii="Calibri" w:eastAsia="Times New Roman" w:hAnsi="Calibri" w:cs="Calibri"/>
                <w:b/>
                <w:bCs/>
                <w:color w:val="000000"/>
                <w:lang w:val="en-AU" w:eastAsia="en-AU" w:bidi="ar-SA"/>
              </w:rPr>
              <w:t>PAF</w:t>
            </w:r>
          </w:p>
        </w:tc>
      </w:tr>
      <w:tr w:rsidR="00653E66" w:rsidRPr="00B866CB" w14:paraId="1572116C" w14:textId="77777777" w:rsidTr="00C12284">
        <w:trPr>
          <w:trHeight w:val="345"/>
        </w:trPr>
        <w:tc>
          <w:tcPr>
            <w:tcW w:w="976" w:type="dxa"/>
            <w:tcBorders>
              <w:top w:val="nil"/>
              <w:left w:val="nil"/>
              <w:bottom w:val="single" w:sz="4" w:space="0" w:color="auto"/>
              <w:right w:val="nil"/>
            </w:tcBorders>
            <w:shd w:val="clear" w:color="auto" w:fill="F2F2F2" w:themeFill="background1" w:themeFillShade="F2"/>
            <w:noWrap/>
            <w:vAlign w:val="bottom"/>
            <w:hideMark/>
          </w:tcPr>
          <w:p w14:paraId="15721164" w14:textId="77777777" w:rsidR="00653E66" w:rsidRPr="00B866CB" w:rsidRDefault="00653E66" w:rsidP="00C12284">
            <w:pPr>
              <w:jc w:val="center"/>
              <w:rPr>
                <w:rFonts w:ascii="Calibri" w:eastAsia="Times New Roman" w:hAnsi="Calibri" w:cs="Calibri"/>
                <w:b/>
                <w:bCs/>
                <w:color w:val="000000"/>
                <w:lang w:val="en-AU" w:eastAsia="en-AU" w:bidi="ar-SA"/>
              </w:rPr>
            </w:pPr>
          </w:p>
        </w:tc>
        <w:tc>
          <w:tcPr>
            <w:tcW w:w="1205" w:type="dxa"/>
            <w:tcBorders>
              <w:top w:val="single" w:sz="4" w:space="0" w:color="auto"/>
              <w:left w:val="nil"/>
              <w:bottom w:val="single" w:sz="4" w:space="0" w:color="auto"/>
              <w:right w:val="nil"/>
            </w:tcBorders>
            <w:shd w:val="clear" w:color="auto" w:fill="F2F2F2" w:themeFill="background1" w:themeFillShade="F2"/>
            <w:noWrap/>
            <w:vAlign w:val="bottom"/>
            <w:hideMark/>
          </w:tcPr>
          <w:p w14:paraId="15721165" w14:textId="77777777" w:rsidR="00653E66" w:rsidRPr="00B866CB" w:rsidRDefault="00653E66" w:rsidP="00C12284">
            <w:pPr>
              <w:jc w:val="center"/>
              <w:rPr>
                <w:rFonts w:ascii="Calibri" w:eastAsia="Times New Roman" w:hAnsi="Calibri" w:cs="Calibri"/>
                <w:b/>
                <w:bCs/>
                <w:color w:val="000000"/>
                <w:lang w:val="en-AU" w:eastAsia="en-AU" w:bidi="ar-SA"/>
              </w:rPr>
            </w:pPr>
            <w:r w:rsidRPr="00B866CB">
              <w:rPr>
                <w:rFonts w:ascii="Calibri" w:eastAsia="Times New Roman" w:hAnsi="Calibri" w:cs="Calibri"/>
                <w:b/>
                <w:bCs/>
                <w:color w:val="000000"/>
                <w:lang w:val="en-AU" w:eastAsia="en-AU" w:bidi="ar-SA"/>
              </w:rPr>
              <w:t>Ametryn</w:t>
            </w:r>
          </w:p>
        </w:tc>
        <w:tc>
          <w:tcPr>
            <w:tcW w:w="1154" w:type="dxa"/>
            <w:tcBorders>
              <w:top w:val="single" w:sz="4" w:space="0" w:color="auto"/>
              <w:left w:val="nil"/>
              <w:bottom w:val="single" w:sz="4" w:space="0" w:color="auto"/>
              <w:right w:val="nil"/>
            </w:tcBorders>
            <w:shd w:val="clear" w:color="auto" w:fill="F2F2F2" w:themeFill="background1" w:themeFillShade="F2"/>
            <w:noWrap/>
            <w:vAlign w:val="bottom"/>
            <w:hideMark/>
          </w:tcPr>
          <w:p w14:paraId="15721166" w14:textId="77777777" w:rsidR="00653E66" w:rsidRPr="00B866CB" w:rsidRDefault="00653E66" w:rsidP="00C12284">
            <w:pPr>
              <w:jc w:val="center"/>
              <w:rPr>
                <w:rFonts w:ascii="Calibri" w:eastAsia="Times New Roman" w:hAnsi="Calibri" w:cs="Calibri"/>
                <w:b/>
                <w:bCs/>
                <w:color w:val="000000"/>
                <w:lang w:val="en-AU" w:eastAsia="en-AU" w:bidi="ar-SA"/>
              </w:rPr>
            </w:pPr>
            <w:r w:rsidRPr="00B866CB">
              <w:rPr>
                <w:rFonts w:ascii="Calibri" w:eastAsia="Times New Roman" w:hAnsi="Calibri" w:cs="Calibri"/>
                <w:b/>
                <w:bCs/>
                <w:color w:val="000000"/>
                <w:lang w:val="en-AU" w:eastAsia="en-AU" w:bidi="ar-SA"/>
              </w:rPr>
              <w:t>Atrazine</w:t>
            </w:r>
          </w:p>
        </w:tc>
        <w:tc>
          <w:tcPr>
            <w:tcW w:w="942" w:type="dxa"/>
            <w:tcBorders>
              <w:top w:val="single" w:sz="4" w:space="0" w:color="auto"/>
              <w:left w:val="nil"/>
              <w:bottom w:val="single" w:sz="4" w:space="0" w:color="auto"/>
              <w:right w:val="nil"/>
            </w:tcBorders>
            <w:shd w:val="clear" w:color="auto" w:fill="F2F2F2" w:themeFill="background1" w:themeFillShade="F2"/>
            <w:noWrap/>
            <w:vAlign w:val="bottom"/>
            <w:hideMark/>
          </w:tcPr>
          <w:p w14:paraId="15721167" w14:textId="77777777" w:rsidR="00653E66" w:rsidRPr="00B866CB" w:rsidRDefault="00653E66" w:rsidP="00C12284">
            <w:pPr>
              <w:jc w:val="center"/>
              <w:rPr>
                <w:rFonts w:ascii="Calibri" w:eastAsia="Times New Roman" w:hAnsi="Calibri" w:cs="Calibri"/>
                <w:b/>
                <w:bCs/>
                <w:color w:val="000000"/>
                <w:lang w:val="en-AU" w:eastAsia="en-AU" w:bidi="ar-SA"/>
              </w:rPr>
            </w:pPr>
            <w:r w:rsidRPr="00B866CB">
              <w:rPr>
                <w:rFonts w:ascii="Calibri" w:eastAsia="Times New Roman" w:hAnsi="Calibri" w:cs="Calibri"/>
                <w:b/>
                <w:bCs/>
                <w:color w:val="000000"/>
                <w:lang w:val="en-AU" w:eastAsia="en-AU" w:bidi="ar-SA"/>
              </w:rPr>
              <w:t>Diuron</w:t>
            </w:r>
          </w:p>
        </w:tc>
        <w:tc>
          <w:tcPr>
            <w:tcW w:w="1604" w:type="dxa"/>
            <w:tcBorders>
              <w:top w:val="single" w:sz="4" w:space="0" w:color="auto"/>
              <w:left w:val="nil"/>
              <w:bottom w:val="single" w:sz="4" w:space="0" w:color="auto"/>
              <w:right w:val="nil"/>
            </w:tcBorders>
            <w:shd w:val="clear" w:color="auto" w:fill="F2F2F2" w:themeFill="background1" w:themeFillShade="F2"/>
            <w:noWrap/>
            <w:vAlign w:val="bottom"/>
            <w:hideMark/>
          </w:tcPr>
          <w:p w14:paraId="15721168" w14:textId="77777777" w:rsidR="00653E66" w:rsidRPr="00B866CB" w:rsidRDefault="00653E66" w:rsidP="00C12284">
            <w:pPr>
              <w:jc w:val="center"/>
              <w:rPr>
                <w:rFonts w:ascii="Calibri" w:eastAsia="Times New Roman" w:hAnsi="Calibri" w:cs="Calibri"/>
                <w:b/>
                <w:bCs/>
                <w:color w:val="000000"/>
                <w:lang w:val="en-AU" w:eastAsia="en-AU" w:bidi="ar-SA"/>
              </w:rPr>
            </w:pPr>
            <w:r w:rsidRPr="00B866CB">
              <w:rPr>
                <w:rFonts w:ascii="Calibri" w:eastAsia="Times New Roman" w:hAnsi="Calibri" w:cs="Calibri"/>
                <w:b/>
                <w:bCs/>
                <w:color w:val="000000"/>
                <w:lang w:val="en-AU" w:eastAsia="en-AU" w:bidi="ar-SA"/>
              </w:rPr>
              <w:t>Hexazinone</w:t>
            </w:r>
          </w:p>
        </w:tc>
        <w:tc>
          <w:tcPr>
            <w:tcW w:w="1711" w:type="dxa"/>
            <w:tcBorders>
              <w:top w:val="single" w:sz="4" w:space="0" w:color="auto"/>
              <w:left w:val="nil"/>
              <w:bottom w:val="single" w:sz="4" w:space="0" w:color="auto"/>
              <w:right w:val="nil"/>
            </w:tcBorders>
            <w:shd w:val="clear" w:color="auto" w:fill="F2F2F2" w:themeFill="background1" w:themeFillShade="F2"/>
            <w:noWrap/>
            <w:vAlign w:val="bottom"/>
            <w:hideMark/>
          </w:tcPr>
          <w:p w14:paraId="15721169" w14:textId="77777777" w:rsidR="00653E66" w:rsidRPr="00B866CB" w:rsidRDefault="00653E66" w:rsidP="00C12284">
            <w:pPr>
              <w:jc w:val="center"/>
              <w:rPr>
                <w:rFonts w:ascii="Calibri" w:eastAsia="Times New Roman" w:hAnsi="Calibri" w:cs="Calibri"/>
                <w:b/>
                <w:bCs/>
                <w:color w:val="000000"/>
                <w:lang w:val="en-AU" w:eastAsia="en-AU" w:bidi="ar-SA"/>
              </w:rPr>
            </w:pPr>
            <w:r w:rsidRPr="00B866CB">
              <w:rPr>
                <w:rFonts w:ascii="Calibri" w:eastAsia="Times New Roman" w:hAnsi="Calibri" w:cs="Calibri"/>
                <w:b/>
                <w:bCs/>
                <w:color w:val="000000"/>
                <w:lang w:val="en-AU" w:eastAsia="en-AU" w:bidi="ar-SA"/>
              </w:rPr>
              <w:t>Tebuthiuron</w:t>
            </w:r>
          </w:p>
        </w:tc>
        <w:tc>
          <w:tcPr>
            <w:tcW w:w="1197" w:type="dxa"/>
            <w:tcBorders>
              <w:top w:val="nil"/>
              <w:left w:val="nil"/>
              <w:bottom w:val="single" w:sz="4" w:space="0" w:color="auto"/>
              <w:right w:val="nil"/>
            </w:tcBorders>
            <w:shd w:val="clear" w:color="auto" w:fill="F2F2F2" w:themeFill="background1" w:themeFillShade="F2"/>
            <w:noWrap/>
            <w:vAlign w:val="bottom"/>
            <w:hideMark/>
          </w:tcPr>
          <w:p w14:paraId="1572116A" w14:textId="77777777" w:rsidR="00653E66" w:rsidRPr="00B866CB" w:rsidRDefault="00653E66" w:rsidP="00C12284">
            <w:pPr>
              <w:jc w:val="center"/>
              <w:rPr>
                <w:rFonts w:ascii="Calibri" w:eastAsia="Times New Roman" w:hAnsi="Calibri" w:cs="Calibri"/>
                <w:b/>
                <w:bCs/>
                <w:color w:val="000000"/>
                <w:lang w:val="en-AU" w:eastAsia="en-AU" w:bidi="ar-SA"/>
              </w:rPr>
            </w:pPr>
            <w:r w:rsidRPr="00B866CB">
              <w:rPr>
                <w:rFonts w:ascii="Calibri" w:eastAsia="Times New Roman" w:hAnsi="Calibri" w:cs="Calibri"/>
                <w:b/>
                <w:bCs/>
                <w:color w:val="000000"/>
                <w:lang w:val="en-AU" w:eastAsia="en-AU" w:bidi="ar-SA"/>
              </w:rPr>
              <w:t>(ng L</w:t>
            </w:r>
            <w:r w:rsidRPr="00B866CB">
              <w:rPr>
                <w:rFonts w:ascii="Calibri" w:eastAsia="Times New Roman" w:hAnsi="Calibri" w:cs="Calibri"/>
                <w:b/>
                <w:bCs/>
                <w:color w:val="000000"/>
                <w:vertAlign w:val="superscript"/>
                <w:lang w:val="en-AU" w:eastAsia="en-AU" w:bidi="ar-SA"/>
              </w:rPr>
              <w:t>-1</w:t>
            </w:r>
            <w:r w:rsidRPr="00B866CB">
              <w:rPr>
                <w:rFonts w:ascii="Calibri" w:eastAsia="Times New Roman" w:hAnsi="Calibri" w:cs="Calibri"/>
                <w:b/>
                <w:bCs/>
                <w:color w:val="000000"/>
                <w:lang w:val="en-AU" w:eastAsia="en-AU" w:bidi="ar-SA"/>
              </w:rPr>
              <w:t>)</w:t>
            </w:r>
          </w:p>
        </w:tc>
        <w:tc>
          <w:tcPr>
            <w:tcW w:w="976" w:type="dxa"/>
            <w:tcBorders>
              <w:top w:val="nil"/>
              <w:left w:val="nil"/>
              <w:bottom w:val="single" w:sz="4" w:space="0" w:color="auto"/>
              <w:right w:val="nil"/>
            </w:tcBorders>
            <w:shd w:val="clear" w:color="auto" w:fill="F2F2F2" w:themeFill="background1" w:themeFillShade="F2"/>
            <w:noWrap/>
            <w:vAlign w:val="bottom"/>
            <w:hideMark/>
          </w:tcPr>
          <w:p w14:paraId="1572116B" w14:textId="3DEA6193" w:rsidR="00653E66" w:rsidRPr="00B866CB" w:rsidRDefault="009233E1" w:rsidP="00C12284">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w:t>
            </w:r>
            <w:r w:rsidR="00653E66" w:rsidRPr="00B866CB">
              <w:rPr>
                <w:rFonts w:ascii="Calibri" w:eastAsia="Times New Roman" w:hAnsi="Calibri" w:cs="Calibri"/>
                <w:b/>
                <w:bCs/>
                <w:color w:val="000000"/>
                <w:lang w:val="en-AU" w:eastAsia="en-AU" w:bidi="ar-SA"/>
              </w:rPr>
              <w:t>%</w:t>
            </w:r>
            <w:r>
              <w:rPr>
                <w:rFonts w:ascii="Calibri" w:eastAsia="Times New Roman" w:hAnsi="Calibri" w:cs="Calibri"/>
                <w:b/>
                <w:bCs/>
                <w:color w:val="000000"/>
                <w:lang w:val="en-AU" w:eastAsia="en-AU" w:bidi="ar-SA"/>
              </w:rPr>
              <w:t>)</w:t>
            </w:r>
          </w:p>
        </w:tc>
      </w:tr>
      <w:tr w:rsidR="009233E1" w:rsidRPr="00B866CB" w14:paraId="15721175" w14:textId="77777777" w:rsidTr="00C12284">
        <w:trPr>
          <w:trHeight w:val="300"/>
        </w:trPr>
        <w:tc>
          <w:tcPr>
            <w:tcW w:w="976" w:type="dxa"/>
            <w:tcBorders>
              <w:top w:val="single" w:sz="4" w:space="0" w:color="auto"/>
              <w:left w:val="nil"/>
              <w:bottom w:val="nil"/>
              <w:right w:val="nil"/>
            </w:tcBorders>
            <w:shd w:val="clear" w:color="auto" w:fill="auto"/>
            <w:noWrap/>
            <w:vAlign w:val="bottom"/>
            <w:hideMark/>
          </w:tcPr>
          <w:p w14:paraId="1572116D" w14:textId="43D7ECF8" w:rsidR="009233E1" w:rsidRPr="00B866CB" w:rsidRDefault="009233E1" w:rsidP="009233E1">
            <w:pPr>
              <w:jc w:val="left"/>
              <w:rPr>
                <w:rFonts w:ascii="Calibri" w:eastAsia="Times New Roman" w:hAnsi="Calibri" w:cs="Calibri"/>
                <w:color w:val="000000"/>
                <w:lang w:val="en-AU" w:eastAsia="en-AU" w:bidi="ar-SA"/>
              </w:rPr>
            </w:pPr>
            <w:r w:rsidRPr="00B866CB">
              <w:rPr>
                <w:rFonts w:ascii="Calibri" w:eastAsia="Times New Roman" w:hAnsi="Calibri" w:cs="Calibri"/>
                <w:color w:val="000000"/>
                <w:lang w:val="en-AU" w:eastAsia="en-AU" w:bidi="ar-SA"/>
              </w:rPr>
              <w:t>Mix 1</w:t>
            </w:r>
          </w:p>
        </w:tc>
        <w:tc>
          <w:tcPr>
            <w:tcW w:w="1205" w:type="dxa"/>
            <w:tcBorders>
              <w:top w:val="single" w:sz="4" w:space="0" w:color="auto"/>
              <w:left w:val="nil"/>
              <w:bottom w:val="nil"/>
              <w:right w:val="nil"/>
            </w:tcBorders>
            <w:shd w:val="clear" w:color="auto" w:fill="auto"/>
            <w:noWrap/>
            <w:hideMark/>
          </w:tcPr>
          <w:p w14:paraId="1572116E" w14:textId="77777777" w:rsidR="009233E1" w:rsidRPr="00B866CB" w:rsidRDefault="009233E1" w:rsidP="009233E1">
            <w:pPr>
              <w:jc w:val="left"/>
              <w:rPr>
                <w:rFonts w:asciiTheme="minorHAnsi" w:eastAsia="Times New Roman" w:hAnsiTheme="minorHAnsi" w:cstheme="minorHAnsi"/>
                <w:color w:val="000000"/>
                <w:lang w:val="en-AU" w:eastAsia="en-AU" w:bidi="ar-SA"/>
              </w:rPr>
            </w:pPr>
          </w:p>
        </w:tc>
        <w:tc>
          <w:tcPr>
            <w:tcW w:w="1154" w:type="dxa"/>
            <w:tcBorders>
              <w:top w:val="single" w:sz="4" w:space="0" w:color="auto"/>
              <w:left w:val="nil"/>
              <w:bottom w:val="nil"/>
              <w:right w:val="nil"/>
            </w:tcBorders>
            <w:shd w:val="clear" w:color="auto" w:fill="auto"/>
            <w:noWrap/>
            <w:hideMark/>
          </w:tcPr>
          <w:p w14:paraId="1572116F" w14:textId="77777777" w:rsidR="009233E1" w:rsidRPr="007A507E" w:rsidRDefault="009233E1" w:rsidP="009233E1">
            <w:pPr>
              <w:jc w:val="center"/>
              <w:rPr>
                <w:rFonts w:asciiTheme="minorHAnsi" w:hAnsiTheme="minorHAnsi" w:cstheme="minorHAnsi"/>
              </w:rPr>
            </w:pPr>
          </w:p>
        </w:tc>
        <w:tc>
          <w:tcPr>
            <w:tcW w:w="942" w:type="dxa"/>
            <w:tcBorders>
              <w:top w:val="single" w:sz="4" w:space="0" w:color="auto"/>
              <w:left w:val="nil"/>
              <w:bottom w:val="nil"/>
              <w:right w:val="nil"/>
            </w:tcBorders>
            <w:shd w:val="clear" w:color="auto" w:fill="auto"/>
            <w:noWrap/>
            <w:hideMark/>
          </w:tcPr>
          <w:p w14:paraId="15721170" w14:textId="5CF25A2A" w:rsidR="009233E1" w:rsidRPr="007A507E" w:rsidRDefault="009233E1" w:rsidP="009233E1">
            <w:pPr>
              <w:jc w:val="center"/>
              <w:rPr>
                <w:rFonts w:asciiTheme="minorHAnsi" w:hAnsiTheme="minorHAnsi" w:cstheme="minorHAnsi"/>
              </w:rPr>
            </w:pPr>
            <w:r w:rsidRPr="007A507E">
              <w:rPr>
                <w:rFonts w:asciiTheme="minorHAnsi" w:hAnsiTheme="minorHAnsi" w:cstheme="minorHAnsi"/>
              </w:rPr>
              <w:t>46</w:t>
            </w:r>
          </w:p>
        </w:tc>
        <w:tc>
          <w:tcPr>
            <w:tcW w:w="1604" w:type="dxa"/>
            <w:tcBorders>
              <w:top w:val="single" w:sz="4" w:space="0" w:color="auto"/>
              <w:left w:val="nil"/>
              <w:bottom w:val="nil"/>
              <w:right w:val="nil"/>
            </w:tcBorders>
            <w:shd w:val="clear" w:color="auto" w:fill="auto"/>
            <w:noWrap/>
            <w:hideMark/>
          </w:tcPr>
          <w:p w14:paraId="15721171" w14:textId="77777777" w:rsidR="009233E1" w:rsidRPr="007A507E" w:rsidRDefault="009233E1" w:rsidP="009233E1">
            <w:pPr>
              <w:jc w:val="center"/>
              <w:rPr>
                <w:rFonts w:asciiTheme="minorHAnsi" w:hAnsiTheme="minorHAnsi" w:cstheme="minorHAnsi"/>
              </w:rPr>
            </w:pPr>
          </w:p>
        </w:tc>
        <w:tc>
          <w:tcPr>
            <w:tcW w:w="1711" w:type="dxa"/>
            <w:tcBorders>
              <w:top w:val="single" w:sz="4" w:space="0" w:color="auto"/>
              <w:left w:val="nil"/>
              <w:bottom w:val="nil"/>
              <w:right w:val="nil"/>
            </w:tcBorders>
            <w:shd w:val="clear" w:color="auto" w:fill="auto"/>
            <w:noWrap/>
            <w:hideMark/>
          </w:tcPr>
          <w:p w14:paraId="15721172" w14:textId="77777777" w:rsidR="009233E1" w:rsidRPr="007A507E" w:rsidRDefault="009233E1" w:rsidP="009233E1">
            <w:pPr>
              <w:jc w:val="center"/>
              <w:rPr>
                <w:rFonts w:asciiTheme="minorHAnsi" w:hAnsiTheme="minorHAnsi" w:cstheme="minorHAnsi"/>
              </w:rPr>
            </w:pPr>
          </w:p>
        </w:tc>
        <w:tc>
          <w:tcPr>
            <w:tcW w:w="1197" w:type="dxa"/>
            <w:tcBorders>
              <w:top w:val="single" w:sz="4" w:space="0" w:color="auto"/>
              <w:left w:val="nil"/>
              <w:bottom w:val="nil"/>
              <w:right w:val="nil"/>
            </w:tcBorders>
            <w:shd w:val="clear" w:color="auto" w:fill="auto"/>
            <w:noWrap/>
            <w:hideMark/>
          </w:tcPr>
          <w:p w14:paraId="15721173" w14:textId="13A17AF2" w:rsidR="009233E1" w:rsidRPr="007A507E" w:rsidRDefault="009233E1" w:rsidP="009233E1">
            <w:pPr>
              <w:jc w:val="center"/>
              <w:rPr>
                <w:rFonts w:asciiTheme="minorHAnsi" w:hAnsiTheme="minorHAnsi" w:cstheme="minorHAnsi"/>
              </w:rPr>
            </w:pPr>
            <w:r>
              <w:rPr>
                <w:rFonts w:asciiTheme="minorHAnsi" w:hAnsiTheme="minorHAnsi" w:cstheme="minorHAnsi"/>
              </w:rPr>
              <w:t>46</w:t>
            </w:r>
          </w:p>
        </w:tc>
        <w:tc>
          <w:tcPr>
            <w:tcW w:w="976" w:type="dxa"/>
            <w:tcBorders>
              <w:top w:val="single" w:sz="4" w:space="0" w:color="auto"/>
              <w:left w:val="nil"/>
              <w:bottom w:val="nil"/>
              <w:right w:val="nil"/>
            </w:tcBorders>
            <w:shd w:val="clear" w:color="auto" w:fill="auto"/>
            <w:noWrap/>
            <w:hideMark/>
          </w:tcPr>
          <w:p w14:paraId="15721174" w14:textId="60311B1B" w:rsidR="009233E1" w:rsidRPr="009233E1" w:rsidRDefault="009233E1" w:rsidP="009233E1">
            <w:pPr>
              <w:jc w:val="center"/>
              <w:rPr>
                <w:rFonts w:asciiTheme="minorHAnsi" w:hAnsiTheme="minorHAnsi" w:cstheme="minorHAnsi"/>
              </w:rPr>
            </w:pPr>
            <w:r w:rsidRPr="009233E1">
              <w:rPr>
                <w:rFonts w:asciiTheme="minorHAnsi" w:hAnsiTheme="minorHAnsi" w:cstheme="minorHAnsi"/>
              </w:rPr>
              <w:t>1.0</w:t>
            </w:r>
            <w:r w:rsidR="007A507E">
              <w:rPr>
                <w:rFonts w:asciiTheme="minorHAnsi" w:hAnsiTheme="minorHAnsi" w:cstheme="minorHAnsi"/>
              </w:rPr>
              <w:t>0</w:t>
            </w:r>
          </w:p>
        </w:tc>
      </w:tr>
      <w:tr w:rsidR="009233E1" w:rsidRPr="00B866CB" w14:paraId="1572117E" w14:textId="77777777" w:rsidTr="00C12284">
        <w:trPr>
          <w:trHeight w:val="300"/>
        </w:trPr>
        <w:tc>
          <w:tcPr>
            <w:tcW w:w="976" w:type="dxa"/>
            <w:tcBorders>
              <w:top w:val="nil"/>
              <w:left w:val="nil"/>
              <w:bottom w:val="nil"/>
              <w:right w:val="nil"/>
            </w:tcBorders>
            <w:shd w:val="clear" w:color="auto" w:fill="auto"/>
            <w:noWrap/>
            <w:vAlign w:val="bottom"/>
            <w:hideMark/>
          </w:tcPr>
          <w:p w14:paraId="15721176" w14:textId="77777777" w:rsidR="009233E1" w:rsidRPr="00B866CB" w:rsidRDefault="009233E1" w:rsidP="009233E1">
            <w:pPr>
              <w:jc w:val="left"/>
              <w:rPr>
                <w:rFonts w:ascii="Calibri" w:eastAsia="Times New Roman" w:hAnsi="Calibri" w:cs="Calibri"/>
                <w:color w:val="000000"/>
                <w:lang w:val="en-AU" w:eastAsia="en-AU" w:bidi="ar-SA"/>
              </w:rPr>
            </w:pPr>
            <w:r w:rsidRPr="00B866CB">
              <w:rPr>
                <w:rFonts w:ascii="Calibri" w:eastAsia="Times New Roman" w:hAnsi="Calibri" w:cs="Calibri"/>
                <w:color w:val="000000"/>
                <w:lang w:val="en-AU" w:eastAsia="en-AU" w:bidi="ar-SA"/>
              </w:rPr>
              <w:t>Mix 2</w:t>
            </w:r>
          </w:p>
        </w:tc>
        <w:tc>
          <w:tcPr>
            <w:tcW w:w="1205" w:type="dxa"/>
            <w:tcBorders>
              <w:top w:val="nil"/>
              <w:left w:val="nil"/>
              <w:bottom w:val="nil"/>
              <w:right w:val="nil"/>
            </w:tcBorders>
            <w:shd w:val="clear" w:color="auto" w:fill="auto"/>
            <w:noWrap/>
            <w:hideMark/>
          </w:tcPr>
          <w:p w14:paraId="15721177" w14:textId="77777777" w:rsidR="009233E1" w:rsidRPr="00B866CB" w:rsidRDefault="009233E1" w:rsidP="009233E1">
            <w:pPr>
              <w:jc w:val="left"/>
              <w:rPr>
                <w:rFonts w:asciiTheme="minorHAnsi" w:eastAsia="Times New Roman" w:hAnsiTheme="minorHAnsi" w:cstheme="minorHAnsi"/>
                <w:color w:val="000000"/>
                <w:lang w:val="en-AU" w:eastAsia="en-AU" w:bidi="ar-SA"/>
              </w:rPr>
            </w:pPr>
          </w:p>
        </w:tc>
        <w:tc>
          <w:tcPr>
            <w:tcW w:w="1154" w:type="dxa"/>
            <w:tcBorders>
              <w:top w:val="nil"/>
              <w:left w:val="nil"/>
              <w:bottom w:val="nil"/>
              <w:right w:val="nil"/>
            </w:tcBorders>
            <w:shd w:val="clear" w:color="auto" w:fill="auto"/>
            <w:noWrap/>
            <w:hideMark/>
          </w:tcPr>
          <w:p w14:paraId="15721178" w14:textId="012F1CE5" w:rsidR="009233E1" w:rsidRPr="007A507E" w:rsidRDefault="009233E1" w:rsidP="009233E1">
            <w:pPr>
              <w:jc w:val="center"/>
              <w:rPr>
                <w:rFonts w:asciiTheme="minorHAnsi" w:hAnsiTheme="minorHAnsi" w:cstheme="minorHAnsi"/>
              </w:rPr>
            </w:pPr>
            <w:r w:rsidRPr="007A507E">
              <w:rPr>
                <w:rFonts w:asciiTheme="minorHAnsi" w:hAnsiTheme="minorHAnsi" w:cstheme="minorHAnsi"/>
              </w:rPr>
              <w:t>17</w:t>
            </w:r>
          </w:p>
        </w:tc>
        <w:tc>
          <w:tcPr>
            <w:tcW w:w="942" w:type="dxa"/>
            <w:tcBorders>
              <w:top w:val="nil"/>
              <w:left w:val="nil"/>
              <w:bottom w:val="nil"/>
              <w:right w:val="nil"/>
            </w:tcBorders>
            <w:shd w:val="clear" w:color="auto" w:fill="auto"/>
            <w:noWrap/>
            <w:hideMark/>
          </w:tcPr>
          <w:p w14:paraId="15721179" w14:textId="590EFFC8" w:rsidR="009233E1" w:rsidRPr="007A507E" w:rsidRDefault="009233E1" w:rsidP="009233E1">
            <w:pPr>
              <w:jc w:val="center"/>
              <w:rPr>
                <w:rFonts w:asciiTheme="minorHAnsi" w:hAnsiTheme="minorHAnsi" w:cstheme="minorHAnsi"/>
              </w:rPr>
            </w:pPr>
            <w:r w:rsidRPr="007A507E">
              <w:rPr>
                <w:rFonts w:asciiTheme="minorHAnsi" w:hAnsiTheme="minorHAnsi" w:cstheme="minorHAnsi"/>
              </w:rPr>
              <w:t>38</w:t>
            </w:r>
          </w:p>
        </w:tc>
        <w:tc>
          <w:tcPr>
            <w:tcW w:w="1604" w:type="dxa"/>
            <w:tcBorders>
              <w:top w:val="nil"/>
              <w:left w:val="nil"/>
              <w:bottom w:val="nil"/>
              <w:right w:val="nil"/>
            </w:tcBorders>
            <w:shd w:val="clear" w:color="auto" w:fill="auto"/>
            <w:noWrap/>
            <w:hideMark/>
          </w:tcPr>
          <w:p w14:paraId="1572117A" w14:textId="47ADD04B" w:rsidR="009233E1" w:rsidRPr="007A507E" w:rsidRDefault="009233E1" w:rsidP="009233E1">
            <w:pPr>
              <w:jc w:val="center"/>
              <w:rPr>
                <w:rFonts w:asciiTheme="minorHAnsi" w:hAnsiTheme="minorHAnsi" w:cstheme="minorHAnsi"/>
              </w:rPr>
            </w:pPr>
            <w:r w:rsidRPr="007A507E">
              <w:rPr>
                <w:rFonts w:asciiTheme="minorHAnsi" w:hAnsiTheme="minorHAnsi" w:cstheme="minorHAnsi"/>
              </w:rPr>
              <w:t>13</w:t>
            </w:r>
          </w:p>
        </w:tc>
        <w:tc>
          <w:tcPr>
            <w:tcW w:w="1711" w:type="dxa"/>
            <w:tcBorders>
              <w:top w:val="nil"/>
              <w:left w:val="nil"/>
              <w:bottom w:val="nil"/>
              <w:right w:val="nil"/>
            </w:tcBorders>
            <w:shd w:val="clear" w:color="auto" w:fill="auto"/>
            <w:noWrap/>
            <w:hideMark/>
          </w:tcPr>
          <w:p w14:paraId="1572117B" w14:textId="662F8CCA" w:rsidR="009233E1" w:rsidRPr="007A507E" w:rsidRDefault="009233E1" w:rsidP="009233E1">
            <w:pPr>
              <w:jc w:val="center"/>
              <w:rPr>
                <w:rFonts w:asciiTheme="minorHAnsi" w:hAnsiTheme="minorHAnsi" w:cstheme="minorHAnsi"/>
              </w:rPr>
            </w:pPr>
            <w:r w:rsidRPr="007A507E">
              <w:rPr>
                <w:rFonts w:asciiTheme="minorHAnsi" w:hAnsiTheme="minorHAnsi" w:cstheme="minorHAnsi"/>
              </w:rPr>
              <w:t>4</w:t>
            </w:r>
          </w:p>
        </w:tc>
        <w:tc>
          <w:tcPr>
            <w:tcW w:w="1197" w:type="dxa"/>
            <w:tcBorders>
              <w:top w:val="nil"/>
              <w:left w:val="nil"/>
              <w:bottom w:val="nil"/>
              <w:right w:val="nil"/>
            </w:tcBorders>
            <w:shd w:val="clear" w:color="auto" w:fill="auto"/>
            <w:noWrap/>
            <w:hideMark/>
          </w:tcPr>
          <w:p w14:paraId="1572117C" w14:textId="5A5E66E4" w:rsidR="009233E1" w:rsidRPr="007A507E" w:rsidRDefault="009233E1" w:rsidP="009233E1">
            <w:pPr>
              <w:jc w:val="center"/>
              <w:rPr>
                <w:rFonts w:asciiTheme="minorHAnsi" w:hAnsiTheme="minorHAnsi" w:cstheme="minorHAnsi"/>
              </w:rPr>
            </w:pPr>
            <w:r>
              <w:rPr>
                <w:rFonts w:asciiTheme="minorHAnsi" w:hAnsiTheme="minorHAnsi" w:cstheme="minorHAnsi"/>
              </w:rPr>
              <w:t>46</w:t>
            </w:r>
          </w:p>
        </w:tc>
        <w:tc>
          <w:tcPr>
            <w:tcW w:w="976" w:type="dxa"/>
            <w:tcBorders>
              <w:top w:val="nil"/>
              <w:left w:val="nil"/>
              <w:bottom w:val="nil"/>
              <w:right w:val="nil"/>
            </w:tcBorders>
            <w:shd w:val="clear" w:color="auto" w:fill="auto"/>
            <w:noWrap/>
            <w:hideMark/>
          </w:tcPr>
          <w:p w14:paraId="1572117D" w14:textId="48C7A8D7" w:rsidR="009233E1" w:rsidRPr="009233E1" w:rsidRDefault="009233E1" w:rsidP="009233E1">
            <w:pPr>
              <w:jc w:val="center"/>
              <w:rPr>
                <w:rFonts w:asciiTheme="minorHAnsi" w:hAnsiTheme="minorHAnsi" w:cstheme="minorHAnsi"/>
              </w:rPr>
            </w:pPr>
            <w:r w:rsidRPr="009233E1">
              <w:rPr>
                <w:rFonts w:asciiTheme="minorHAnsi" w:hAnsiTheme="minorHAnsi" w:cstheme="minorHAnsi"/>
              </w:rPr>
              <w:t>1.05</w:t>
            </w:r>
          </w:p>
        </w:tc>
      </w:tr>
      <w:tr w:rsidR="009233E1" w:rsidRPr="00B866CB" w14:paraId="15721187" w14:textId="77777777" w:rsidTr="00C12284">
        <w:trPr>
          <w:trHeight w:val="300"/>
        </w:trPr>
        <w:tc>
          <w:tcPr>
            <w:tcW w:w="976" w:type="dxa"/>
            <w:tcBorders>
              <w:top w:val="nil"/>
              <w:left w:val="nil"/>
              <w:bottom w:val="nil"/>
              <w:right w:val="nil"/>
            </w:tcBorders>
            <w:shd w:val="clear" w:color="auto" w:fill="auto"/>
            <w:noWrap/>
            <w:vAlign w:val="bottom"/>
            <w:hideMark/>
          </w:tcPr>
          <w:p w14:paraId="1572117F" w14:textId="77777777" w:rsidR="009233E1" w:rsidRPr="00B866CB" w:rsidRDefault="009233E1" w:rsidP="009233E1">
            <w:pPr>
              <w:jc w:val="left"/>
              <w:rPr>
                <w:rFonts w:ascii="Calibri" w:eastAsia="Times New Roman" w:hAnsi="Calibri" w:cs="Calibri"/>
                <w:color w:val="000000"/>
                <w:lang w:val="en-AU" w:eastAsia="en-AU" w:bidi="ar-SA"/>
              </w:rPr>
            </w:pPr>
            <w:r w:rsidRPr="00B866CB">
              <w:rPr>
                <w:rFonts w:ascii="Calibri" w:eastAsia="Times New Roman" w:hAnsi="Calibri" w:cs="Calibri"/>
                <w:color w:val="000000"/>
                <w:lang w:val="en-AU" w:eastAsia="en-AU" w:bidi="ar-SA"/>
              </w:rPr>
              <w:t>Mix 3</w:t>
            </w:r>
          </w:p>
        </w:tc>
        <w:tc>
          <w:tcPr>
            <w:tcW w:w="1205" w:type="dxa"/>
            <w:tcBorders>
              <w:top w:val="nil"/>
              <w:left w:val="nil"/>
              <w:bottom w:val="nil"/>
              <w:right w:val="nil"/>
            </w:tcBorders>
            <w:shd w:val="clear" w:color="auto" w:fill="auto"/>
            <w:noWrap/>
            <w:hideMark/>
          </w:tcPr>
          <w:p w14:paraId="15721180" w14:textId="77777777" w:rsidR="009233E1" w:rsidRPr="00B866CB" w:rsidRDefault="009233E1" w:rsidP="009233E1">
            <w:pPr>
              <w:jc w:val="left"/>
              <w:rPr>
                <w:rFonts w:asciiTheme="minorHAnsi" w:eastAsia="Times New Roman" w:hAnsiTheme="minorHAnsi" w:cstheme="minorHAnsi"/>
                <w:color w:val="000000"/>
                <w:lang w:val="en-AU" w:eastAsia="en-AU" w:bidi="ar-SA"/>
              </w:rPr>
            </w:pPr>
          </w:p>
        </w:tc>
        <w:tc>
          <w:tcPr>
            <w:tcW w:w="1154" w:type="dxa"/>
            <w:tcBorders>
              <w:top w:val="nil"/>
              <w:left w:val="nil"/>
              <w:bottom w:val="nil"/>
              <w:right w:val="nil"/>
            </w:tcBorders>
            <w:shd w:val="clear" w:color="auto" w:fill="auto"/>
            <w:noWrap/>
            <w:hideMark/>
          </w:tcPr>
          <w:p w14:paraId="15721181" w14:textId="0C65655D" w:rsidR="009233E1" w:rsidRPr="007A507E" w:rsidRDefault="009233E1" w:rsidP="009233E1">
            <w:pPr>
              <w:jc w:val="center"/>
              <w:rPr>
                <w:rFonts w:asciiTheme="minorHAnsi" w:hAnsiTheme="minorHAnsi" w:cstheme="minorHAnsi"/>
              </w:rPr>
            </w:pPr>
            <w:r w:rsidRPr="007A507E">
              <w:rPr>
                <w:rFonts w:asciiTheme="minorHAnsi" w:hAnsiTheme="minorHAnsi" w:cstheme="minorHAnsi"/>
              </w:rPr>
              <w:t>30</w:t>
            </w:r>
          </w:p>
        </w:tc>
        <w:tc>
          <w:tcPr>
            <w:tcW w:w="942" w:type="dxa"/>
            <w:tcBorders>
              <w:top w:val="nil"/>
              <w:left w:val="nil"/>
              <w:bottom w:val="nil"/>
              <w:right w:val="nil"/>
            </w:tcBorders>
            <w:shd w:val="clear" w:color="auto" w:fill="auto"/>
            <w:noWrap/>
            <w:hideMark/>
          </w:tcPr>
          <w:p w14:paraId="15721182" w14:textId="178F7C08" w:rsidR="009233E1" w:rsidRPr="007A507E" w:rsidRDefault="009233E1" w:rsidP="009233E1">
            <w:pPr>
              <w:jc w:val="center"/>
              <w:rPr>
                <w:rFonts w:asciiTheme="minorHAnsi" w:hAnsiTheme="minorHAnsi" w:cstheme="minorHAnsi"/>
              </w:rPr>
            </w:pPr>
            <w:r w:rsidRPr="007A507E">
              <w:rPr>
                <w:rFonts w:asciiTheme="minorHAnsi" w:hAnsiTheme="minorHAnsi" w:cstheme="minorHAnsi"/>
              </w:rPr>
              <w:t>35</w:t>
            </w:r>
          </w:p>
        </w:tc>
        <w:tc>
          <w:tcPr>
            <w:tcW w:w="1604" w:type="dxa"/>
            <w:tcBorders>
              <w:top w:val="nil"/>
              <w:left w:val="nil"/>
              <w:bottom w:val="nil"/>
              <w:right w:val="nil"/>
            </w:tcBorders>
            <w:shd w:val="clear" w:color="auto" w:fill="auto"/>
            <w:noWrap/>
            <w:hideMark/>
          </w:tcPr>
          <w:p w14:paraId="15721183" w14:textId="5153DC61" w:rsidR="009233E1" w:rsidRPr="007A507E" w:rsidRDefault="009233E1" w:rsidP="009233E1">
            <w:pPr>
              <w:jc w:val="center"/>
              <w:rPr>
                <w:rFonts w:asciiTheme="minorHAnsi" w:hAnsiTheme="minorHAnsi" w:cstheme="minorHAnsi"/>
              </w:rPr>
            </w:pPr>
            <w:r w:rsidRPr="007A507E">
              <w:rPr>
                <w:rFonts w:asciiTheme="minorHAnsi" w:hAnsiTheme="minorHAnsi" w:cstheme="minorHAnsi"/>
              </w:rPr>
              <w:t>16</w:t>
            </w:r>
          </w:p>
        </w:tc>
        <w:tc>
          <w:tcPr>
            <w:tcW w:w="1711" w:type="dxa"/>
            <w:tcBorders>
              <w:top w:val="nil"/>
              <w:left w:val="nil"/>
              <w:bottom w:val="nil"/>
              <w:right w:val="nil"/>
            </w:tcBorders>
            <w:shd w:val="clear" w:color="auto" w:fill="auto"/>
            <w:noWrap/>
            <w:hideMark/>
          </w:tcPr>
          <w:p w14:paraId="15721184" w14:textId="2F1AF10E" w:rsidR="009233E1" w:rsidRPr="007A507E" w:rsidRDefault="009233E1" w:rsidP="009233E1">
            <w:pPr>
              <w:jc w:val="center"/>
              <w:rPr>
                <w:rFonts w:asciiTheme="minorHAnsi" w:hAnsiTheme="minorHAnsi" w:cstheme="minorHAnsi"/>
              </w:rPr>
            </w:pPr>
            <w:r w:rsidRPr="007A507E">
              <w:rPr>
                <w:rFonts w:asciiTheme="minorHAnsi" w:hAnsiTheme="minorHAnsi" w:cstheme="minorHAnsi"/>
              </w:rPr>
              <w:t>2</w:t>
            </w:r>
          </w:p>
        </w:tc>
        <w:tc>
          <w:tcPr>
            <w:tcW w:w="1197" w:type="dxa"/>
            <w:tcBorders>
              <w:top w:val="nil"/>
              <w:left w:val="nil"/>
              <w:bottom w:val="nil"/>
              <w:right w:val="nil"/>
            </w:tcBorders>
            <w:shd w:val="clear" w:color="auto" w:fill="auto"/>
            <w:noWrap/>
            <w:hideMark/>
          </w:tcPr>
          <w:p w14:paraId="15721185" w14:textId="76F958B0" w:rsidR="009233E1" w:rsidRPr="007A507E" w:rsidRDefault="009233E1" w:rsidP="009233E1">
            <w:pPr>
              <w:jc w:val="center"/>
              <w:rPr>
                <w:rFonts w:asciiTheme="minorHAnsi" w:hAnsiTheme="minorHAnsi" w:cstheme="minorHAnsi"/>
              </w:rPr>
            </w:pPr>
            <w:r>
              <w:rPr>
                <w:rFonts w:asciiTheme="minorHAnsi" w:hAnsiTheme="minorHAnsi" w:cstheme="minorHAnsi"/>
              </w:rPr>
              <w:t>46</w:t>
            </w:r>
          </w:p>
        </w:tc>
        <w:tc>
          <w:tcPr>
            <w:tcW w:w="976" w:type="dxa"/>
            <w:tcBorders>
              <w:top w:val="nil"/>
              <w:left w:val="nil"/>
              <w:bottom w:val="nil"/>
              <w:right w:val="nil"/>
            </w:tcBorders>
            <w:shd w:val="clear" w:color="auto" w:fill="auto"/>
            <w:noWrap/>
            <w:hideMark/>
          </w:tcPr>
          <w:p w14:paraId="15721186" w14:textId="10FAB268" w:rsidR="009233E1" w:rsidRPr="009233E1" w:rsidRDefault="009233E1" w:rsidP="009233E1">
            <w:pPr>
              <w:jc w:val="center"/>
              <w:rPr>
                <w:rFonts w:asciiTheme="minorHAnsi" w:hAnsiTheme="minorHAnsi" w:cstheme="minorHAnsi"/>
              </w:rPr>
            </w:pPr>
            <w:r w:rsidRPr="009233E1">
              <w:rPr>
                <w:rFonts w:asciiTheme="minorHAnsi" w:hAnsiTheme="minorHAnsi" w:cstheme="minorHAnsi"/>
              </w:rPr>
              <w:t>1.06</w:t>
            </w:r>
          </w:p>
        </w:tc>
      </w:tr>
      <w:tr w:rsidR="009233E1" w:rsidRPr="00B866CB" w14:paraId="15721190" w14:textId="77777777" w:rsidTr="00C12284">
        <w:trPr>
          <w:trHeight w:val="300"/>
        </w:trPr>
        <w:tc>
          <w:tcPr>
            <w:tcW w:w="976" w:type="dxa"/>
            <w:tcBorders>
              <w:top w:val="nil"/>
              <w:left w:val="nil"/>
              <w:bottom w:val="nil"/>
              <w:right w:val="nil"/>
            </w:tcBorders>
            <w:shd w:val="clear" w:color="auto" w:fill="auto"/>
            <w:noWrap/>
            <w:vAlign w:val="bottom"/>
            <w:hideMark/>
          </w:tcPr>
          <w:p w14:paraId="15721188" w14:textId="77777777" w:rsidR="009233E1" w:rsidRPr="00B866CB" w:rsidRDefault="009233E1" w:rsidP="009233E1">
            <w:pPr>
              <w:jc w:val="left"/>
              <w:rPr>
                <w:rFonts w:ascii="Calibri" w:eastAsia="Times New Roman" w:hAnsi="Calibri" w:cs="Calibri"/>
                <w:color w:val="000000"/>
                <w:lang w:val="en-AU" w:eastAsia="en-AU" w:bidi="ar-SA"/>
              </w:rPr>
            </w:pPr>
            <w:r w:rsidRPr="00B866CB">
              <w:rPr>
                <w:rFonts w:ascii="Calibri" w:eastAsia="Times New Roman" w:hAnsi="Calibri" w:cs="Calibri"/>
                <w:color w:val="000000"/>
                <w:lang w:val="en-AU" w:eastAsia="en-AU" w:bidi="ar-SA"/>
              </w:rPr>
              <w:t>Mix 4</w:t>
            </w:r>
          </w:p>
        </w:tc>
        <w:tc>
          <w:tcPr>
            <w:tcW w:w="1205" w:type="dxa"/>
            <w:tcBorders>
              <w:top w:val="nil"/>
              <w:left w:val="nil"/>
              <w:bottom w:val="nil"/>
              <w:right w:val="nil"/>
            </w:tcBorders>
            <w:shd w:val="clear" w:color="auto" w:fill="auto"/>
            <w:noWrap/>
            <w:hideMark/>
          </w:tcPr>
          <w:p w14:paraId="15721189" w14:textId="77777777" w:rsidR="009233E1" w:rsidRPr="00B866CB" w:rsidRDefault="009233E1" w:rsidP="009233E1">
            <w:pPr>
              <w:jc w:val="left"/>
              <w:rPr>
                <w:rFonts w:asciiTheme="minorHAnsi" w:eastAsia="Times New Roman" w:hAnsiTheme="minorHAnsi" w:cstheme="minorHAnsi"/>
                <w:color w:val="000000"/>
                <w:lang w:val="en-AU" w:eastAsia="en-AU" w:bidi="ar-SA"/>
              </w:rPr>
            </w:pPr>
          </w:p>
        </w:tc>
        <w:tc>
          <w:tcPr>
            <w:tcW w:w="1154" w:type="dxa"/>
            <w:tcBorders>
              <w:top w:val="nil"/>
              <w:left w:val="nil"/>
              <w:bottom w:val="nil"/>
              <w:right w:val="nil"/>
            </w:tcBorders>
            <w:shd w:val="clear" w:color="auto" w:fill="auto"/>
            <w:noWrap/>
            <w:hideMark/>
          </w:tcPr>
          <w:p w14:paraId="1572118A" w14:textId="5927DB54" w:rsidR="009233E1" w:rsidRPr="007A507E" w:rsidRDefault="009233E1" w:rsidP="009233E1">
            <w:pPr>
              <w:jc w:val="center"/>
              <w:rPr>
                <w:rFonts w:asciiTheme="minorHAnsi" w:hAnsiTheme="minorHAnsi" w:cstheme="minorHAnsi"/>
              </w:rPr>
            </w:pPr>
            <w:r w:rsidRPr="007A507E">
              <w:rPr>
                <w:rFonts w:asciiTheme="minorHAnsi" w:hAnsiTheme="minorHAnsi" w:cstheme="minorHAnsi"/>
              </w:rPr>
              <w:t>5</w:t>
            </w:r>
          </w:p>
        </w:tc>
        <w:tc>
          <w:tcPr>
            <w:tcW w:w="942" w:type="dxa"/>
            <w:tcBorders>
              <w:top w:val="nil"/>
              <w:left w:val="nil"/>
              <w:bottom w:val="nil"/>
              <w:right w:val="nil"/>
            </w:tcBorders>
            <w:shd w:val="clear" w:color="auto" w:fill="auto"/>
            <w:noWrap/>
            <w:hideMark/>
          </w:tcPr>
          <w:p w14:paraId="1572118B" w14:textId="73ED4F56" w:rsidR="009233E1" w:rsidRPr="007A507E" w:rsidRDefault="009233E1" w:rsidP="009233E1">
            <w:pPr>
              <w:jc w:val="center"/>
              <w:rPr>
                <w:rFonts w:asciiTheme="minorHAnsi" w:hAnsiTheme="minorHAnsi" w:cstheme="minorHAnsi"/>
              </w:rPr>
            </w:pPr>
            <w:r w:rsidRPr="007A507E">
              <w:rPr>
                <w:rFonts w:asciiTheme="minorHAnsi" w:hAnsiTheme="minorHAnsi" w:cstheme="minorHAnsi"/>
              </w:rPr>
              <w:t>35</w:t>
            </w:r>
          </w:p>
        </w:tc>
        <w:tc>
          <w:tcPr>
            <w:tcW w:w="1604" w:type="dxa"/>
            <w:tcBorders>
              <w:top w:val="nil"/>
              <w:left w:val="nil"/>
              <w:bottom w:val="nil"/>
              <w:right w:val="nil"/>
            </w:tcBorders>
            <w:shd w:val="clear" w:color="auto" w:fill="auto"/>
            <w:noWrap/>
            <w:hideMark/>
          </w:tcPr>
          <w:p w14:paraId="1572118C" w14:textId="6BBC5229" w:rsidR="009233E1" w:rsidRPr="007A507E" w:rsidRDefault="009233E1" w:rsidP="009233E1">
            <w:pPr>
              <w:jc w:val="center"/>
              <w:rPr>
                <w:rFonts w:asciiTheme="minorHAnsi" w:hAnsiTheme="minorHAnsi" w:cstheme="minorHAnsi"/>
              </w:rPr>
            </w:pPr>
            <w:r w:rsidRPr="007A507E">
              <w:rPr>
                <w:rFonts w:asciiTheme="minorHAnsi" w:hAnsiTheme="minorHAnsi" w:cstheme="minorHAnsi"/>
              </w:rPr>
              <w:t>23</w:t>
            </w:r>
          </w:p>
        </w:tc>
        <w:tc>
          <w:tcPr>
            <w:tcW w:w="1711" w:type="dxa"/>
            <w:tcBorders>
              <w:top w:val="nil"/>
              <w:left w:val="nil"/>
              <w:bottom w:val="nil"/>
              <w:right w:val="nil"/>
            </w:tcBorders>
            <w:shd w:val="clear" w:color="auto" w:fill="auto"/>
            <w:noWrap/>
            <w:hideMark/>
          </w:tcPr>
          <w:p w14:paraId="1572118D" w14:textId="53FAF729" w:rsidR="009233E1" w:rsidRPr="007A507E" w:rsidRDefault="009233E1" w:rsidP="009233E1">
            <w:pPr>
              <w:jc w:val="center"/>
              <w:rPr>
                <w:rFonts w:asciiTheme="minorHAnsi" w:hAnsiTheme="minorHAnsi" w:cstheme="minorHAnsi"/>
              </w:rPr>
            </w:pPr>
            <w:r w:rsidRPr="007A507E">
              <w:rPr>
                <w:rFonts w:asciiTheme="minorHAnsi" w:hAnsiTheme="minorHAnsi" w:cstheme="minorHAnsi"/>
              </w:rPr>
              <w:t>18</w:t>
            </w:r>
          </w:p>
        </w:tc>
        <w:tc>
          <w:tcPr>
            <w:tcW w:w="1197" w:type="dxa"/>
            <w:tcBorders>
              <w:top w:val="nil"/>
              <w:left w:val="nil"/>
              <w:bottom w:val="nil"/>
              <w:right w:val="nil"/>
            </w:tcBorders>
            <w:shd w:val="clear" w:color="auto" w:fill="auto"/>
            <w:noWrap/>
            <w:hideMark/>
          </w:tcPr>
          <w:p w14:paraId="1572118E" w14:textId="1F22517F" w:rsidR="009233E1" w:rsidRPr="007A507E" w:rsidRDefault="009233E1" w:rsidP="009233E1">
            <w:pPr>
              <w:jc w:val="center"/>
              <w:rPr>
                <w:rFonts w:asciiTheme="minorHAnsi" w:hAnsiTheme="minorHAnsi" w:cstheme="minorHAnsi"/>
              </w:rPr>
            </w:pPr>
            <w:r>
              <w:rPr>
                <w:rFonts w:asciiTheme="minorHAnsi" w:hAnsiTheme="minorHAnsi" w:cstheme="minorHAnsi"/>
              </w:rPr>
              <w:t>46</w:t>
            </w:r>
          </w:p>
        </w:tc>
        <w:tc>
          <w:tcPr>
            <w:tcW w:w="976" w:type="dxa"/>
            <w:tcBorders>
              <w:top w:val="nil"/>
              <w:left w:val="nil"/>
              <w:bottom w:val="nil"/>
              <w:right w:val="nil"/>
            </w:tcBorders>
            <w:shd w:val="clear" w:color="auto" w:fill="auto"/>
            <w:noWrap/>
            <w:hideMark/>
          </w:tcPr>
          <w:p w14:paraId="1572118F" w14:textId="5EE0633E" w:rsidR="009233E1" w:rsidRPr="009233E1" w:rsidRDefault="009233E1" w:rsidP="009233E1">
            <w:pPr>
              <w:jc w:val="center"/>
              <w:rPr>
                <w:rFonts w:asciiTheme="minorHAnsi" w:hAnsiTheme="minorHAnsi" w:cstheme="minorHAnsi"/>
              </w:rPr>
            </w:pPr>
            <w:r w:rsidRPr="009233E1">
              <w:rPr>
                <w:rFonts w:asciiTheme="minorHAnsi" w:hAnsiTheme="minorHAnsi" w:cstheme="minorHAnsi"/>
              </w:rPr>
              <w:t>1.09</w:t>
            </w:r>
          </w:p>
        </w:tc>
      </w:tr>
      <w:tr w:rsidR="009233E1" w:rsidRPr="00B866CB" w14:paraId="15721199" w14:textId="77777777" w:rsidTr="00C12284">
        <w:trPr>
          <w:trHeight w:val="300"/>
        </w:trPr>
        <w:tc>
          <w:tcPr>
            <w:tcW w:w="976" w:type="dxa"/>
            <w:tcBorders>
              <w:top w:val="nil"/>
              <w:left w:val="nil"/>
              <w:bottom w:val="nil"/>
              <w:right w:val="nil"/>
            </w:tcBorders>
            <w:shd w:val="clear" w:color="auto" w:fill="auto"/>
            <w:noWrap/>
            <w:vAlign w:val="bottom"/>
            <w:hideMark/>
          </w:tcPr>
          <w:p w14:paraId="15721191" w14:textId="77777777" w:rsidR="009233E1" w:rsidRPr="00B866CB" w:rsidRDefault="009233E1" w:rsidP="009233E1">
            <w:pPr>
              <w:jc w:val="left"/>
              <w:rPr>
                <w:rFonts w:ascii="Calibri" w:eastAsia="Times New Roman" w:hAnsi="Calibri" w:cs="Calibri"/>
                <w:color w:val="000000"/>
                <w:lang w:val="en-AU" w:eastAsia="en-AU" w:bidi="ar-SA"/>
              </w:rPr>
            </w:pPr>
            <w:r w:rsidRPr="00B866CB">
              <w:rPr>
                <w:rFonts w:ascii="Calibri" w:eastAsia="Times New Roman" w:hAnsi="Calibri" w:cs="Calibri"/>
                <w:color w:val="000000"/>
                <w:lang w:val="en-AU" w:eastAsia="en-AU" w:bidi="ar-SA"/>
              </w:rPr>
              <w:t>Mix 5</w:t>
            </w:r>
          </w:p>
        </w:tc>
        <w:tc>
          <w:tcPr>
            <w:tcW w:w="1205" w:type="dxa"/>
            <w:tcBorders>
              <w:top w:val="nil"/>
              <w:left w:val="nil"/>
              <w:bottom w:val="nil"/>
              <w:right w:val="nil"/>
            </w:tcBorders>
            <w:shd w:val="clear" w:color="auto" w:fill="auto"/>
            <w:noWrap/>
            <w:hideMark/>
          </w:tcPr>
          <w:p w14:paraId="15721192" w14:textId="77777777" w:rsidR="009233E1" w:rsidRPr="00B866CB" w:rsidRDefault="009233E1" w:rsidP="009233E1">
            <w:pPr>
              <w:jc w:val="center"/>
              <w:rPr>
                <w:rFonts w:asciiTheme="minorHAnsi" w:eastAsia="Times New Roman" w:hAnsiTheme="minorHAnsi" w:cstheme="minorHAnsi"/>
                <w:color w:val="000000"/>
                <w:lang w:val="en-AU" w:eastAsia="en-AU" w:bidi="ar-SA"/>
              </w:rPr>
            </w:pPr>
            <w:r w:rsidRPr="00585BBF">
              <w:rPr>
                <w:rFonts w:asciiTheme="minorHAnsi" w:hAnsiTheme="minorHAnsi" w:cstheme="minorHAnsi"/>
              </w:rPr>
              <w:t>7</w:t>
            </w:r>
          </w:p>
        </w:tc>
        <w:tc>
          <w:tcPr>
            <w:tcW w:w="1154" w:type="dxa"/>
            <w:tcBorders>
              <w:top w:val="nil"/>
              <w:left w:val="nil"/>
              <w:bottom w:val="nil"/>
              <w:right w:val="nil"/>
            </w:tcBorders>
            <w:shd w:val="clear" w:color="auto" w:fill="auto"/>
            <w:noWrap/>
            <w:hideMark/>
          </w:tcPr>
          <w:p w14:paraId="15721193" w14:textId="0B4CCF22" w:rsidR="009233E1" w:rsidRPr="007A507E" w:rsidRDefault="009233E1" w:rsidP="009233E1">
            <w:pPr>
              <w:jc w:val="center"/>
              <w:rPr>
                <w:rFonts w:asciiTheme="minorHAnsi" w:hAnsiTheme="minorHAnsi" w:cstheme="minorHAnsi"/>
              </w:rPr>
            </w:pPr>
            <w:r w:rsidRPr="007A507E">
              <w:rPr>
                <w:rFonts w:asciiTheme="minorHAnsi" w:hAnsiTheme="minorHAnsi" w:cstheme="minorHAnsi"/>
              </w:rPr>
              <w:t>15</w:t>
            </w:r>
          </w:p>
        </w:tc>
        <w:tc>
          <w:tcPr>
            <w:tcW w:w="942" w:type="dxa"/>
            <w:tcBorders>
              <w:top w:val="nil"/>
              <w:left w:val="nil"/>
              <w:bottom w:val="nil"/>
              <w:right w:val="nil"/>
            </w:tcBorders>
            <w:shd w:val="clear" w:color="auto" w:fill="auto"/>
            <w:noWrap/>
            <w:hideMark/>
          </w:tcPr>
          <w:p w14:paraId="15721194" w14:textId="73A6F320" w:rsidR="009233E1" w:rsidRPr="007A507E" w:rsidRDefault="009233E1" w:rsidP="009233E1">
            <w:pPr>
              <w:jc w:val="center"/>
              <w:rPr>
                <w:rFonts w:asciiTheme="minorHAnsi" w:hAnsiTheme="minorHAnsi" w:cstheme="minorHAnsi"/>
              </w:rPr>
            </w:pPr>
            <w:r w:rsidRPr="007A507E">
              <w:rPr>
                <w:rFonts w:asciiTheme="minorHAnsi" w:hAnsiTheme="minorHAnsi" w:cstheme="minorHAnsi"/>
              </w:rPr>
              <w:t>28</w:t>
            </w:r>
          </w:p>
        </w:tc>
        <w:tc>
          <w:tcPr>
            <w:tcW w:w="1604" w:type="dxa"/>
            <w:tcBorders>
              <w:top w:val="nil"/>
              <w:left w:val="nil"/>
              <w:bottom w:val="nil"/>
              <w:right w:val="nil"/>
            </w:tcBorders>
            <w:shd w:val="clear" w:color="auto" w:fill="auto"/>
            <w:noWrap/>
            <w:hideMark/>
          </w:tcPr>
          <w:p w14:paraId="15721195" w14:textId="14C9F0C4" w:rsidR="009233E1" w:rsidRPr="007A507E" w:rsidRDefault="009233E1" w:rsidP="009233E1">
            <w:pPr>
              <w:jc w:val="center"/>
              <w:rPr>
                <w:rFonts w:asciiTheme="minorHAnsi" w:hAnsiTheme="minorHAnsi" w:cstheme="minorHAnsi"/>
              </w:rPr>
            </w:pPr>
            <w:r w:rsidRPr="007A507E">
              <w:rPr>
                <w:rFonts w:asciiTheme="minorHAnsi" w:hAnsiTheme="minorHAnsi" w:cstheme="minorHAnsi"/>
              </w:rPr>
              <w:t>16</w:t>
            </w:r>
          </w:p>
        </w:tc>
        <w:tc>
          <w:tcPr>
            <w:tcW w:w="1711" w:type="dxa"/>
            <w:tcBorders>
              <w:top w:val="nil"/>
              <w:left w:val="nil"/>
              <w:bottom w:val="nil"/>
              <w:right w:val="nil"/>
            </w:tcBorders>
            <w:shd w:val="clear" w:color="auto" w:fill="auto"/>
            <w:noWrap/>
            <w:hideMark/>
          </w:tcPr>
          <w:p w14:paraId="15721196" w14:textId="45804394" w:rsidR="009233E1" w:rsidRPr="007A507E" w:rsidRDefault="009233E1" w:rsidP="009233E1">
            <w:pPr>
              <w:jc w:val="center"/>
              <w:rPr>
                <w:rFonts w:asciiTheme="minorHAnsi" w:hAnsiTheme="minorHAnsi" w:cstheme="minorHAnsi"/>
              </w:rPr>
            </w:pPr>
            <w:r w:rsidRPr="007A507E">
              <w:rPr>
                <w:rFonts w:asciiTheme="minorHAnsi" w:hAnsiTheme="minorHAnsi" w:cstheme="minorHAnsi"/>
              </w:rPr>
              <w:t>4</w:t>
            </w:r>
          </w:p>
        </w:tc>
        <w:tc>
          <w:tcPr>
            <w:tcW w:w="1197" w:type="dxa"/>
            <w:tcBorders>
              <w:top w:val="nil"/>
              <w:left w:val="nil"/>
              <w:bottom w:val="nil"/>
              <w:right w:val="nil"/>
            </w:tcBorders>
            <w:shd w:val="clear" w:color="auto" w:fill="auto"/>
            <w:noWrap/>
            <w:hideMark/>
          </w:tcPr>
          <w:p w14:paraId="15721197" w14:textId="7C7E742C" w:rsidR="009233E1" w:rsidRPr="007A507E" w:rsidRDefault="009233E1" w:rsidP="009233E1">
            <w:pPr>
              <w:jc w:val="center"/>
              <w:rPr>
                <w:rFonts w:asciiTheme="minorHAnsi" w:hAnsiTheme="minorHAnsi" w:cstheme="minorHAnsi"/>
              </w:rPr>
            </w:pPr>
            <w:r>
              <w:rPr>
                <w:rFonts w:asciiTheme="minorHAnsi" w:hAnsiTheme="minorHAnsi" w:cstheme="minorHAnsi"/>
              </w:rPr>
              <w:t>46</w:t>
            </w:r>
          </w:p>
        </w:tc>
        <w:tc>
          <w:tcPr>
            <w:tcW w:w="976" w:type="dxa"/>
            <w:tcBorders>
              <w:top w:val="nil"/>
              <w:left w:val="nil"/>
              <w:bottom w:val="nil"/>
              <w:right w:val="nil"/>
            </w:tcBorders>
            <w:shd w:val="clear" w:color="auto" w:fill="auto"/>
            <w:noWrap/>
            <w:hideMark/>
          </w:tcPr>
          <w:p w14:paraId="15721198" w14:textId="4274716B" w:rsidR="009233E1" w:rsidRPr="009233E1" w:rsidRDefault="009233E1" w:rsidP="009233E1">
            <w:pPr>
              <w:jc w:val="center"/>
              <w:rPr>
                <w:rFonts w:asciiTheme="minorHAnsi" w:hAnsiTheme="minorHAnsi" w:cstheme="minorHAnsi"/>
              </w:rPr>
            </w:pPr>
            <w:r w:rsidRPr="009233E1">
              <w:rPr>
                <w:rFonts w:asciiTheme="minorHAnsi" w:hAnsiTheme="minorHAnsi" w:cstheme="minorHAnsi"/>
              </w:rPr>
              <w:t>1.04</w:t>
            </w:r>
          </w:p>
        </w:tc>
      </w:tr>
      <w:tr w:rsidR="009233E1" w:rsidRPr="00B866CB" w14:paraId="157211A2" w14:textId="77777777" w:rsidTr="00C12284">
        <w:trPr>
          <w:trHeight w:val="300"/>
        </w:trPr>
        <w:tc>
          <w:tcPr>
            <w:tcW w:w="976" w:type="dxa"/>
            <w:tcBorders>
              <w:top w:val="nil"/>
              <w:left w:val="nil"/>
              <w:right w:val="nil"/>
            </w:tcBorders>
            <w:shd w:val="clear" w:color="auto" w:fill="auto"/>
            <w:noWrap/>
            <w:vAlign w:val="bottom"/>
            <w:hideMark/>
          </w:tcPr>
          <w:p w14:paraId="1572119A" w14:textId="77777777" w:rsidR="009233E1" w:rsidRPr="00B866CB" w:rsidRDefault="009233E1" w:rsidP="009233E1">
            <w:pPr>
              <w:jc w:val="left"/>
              <w:rPr>
                <w:rFonts w:ascii="Calibri" w:eastAsia="Times New Roman" w:hAnsi="Calibri" w:cs="Calibri"/>
                <w:color w:val="000000"/>
                <w:lang w:val="en-AU" w:eastAsia="en-AU" w:bidi="ar-SA"/>
              </w:rPr>
            </w:pPr>
            <w:r w:rsidRPr="00B866CB">
              <w:rPr>
                <w:rFonts w:ascii="Calibri" w:eastAsia="Times New Roman" w:hAnsi="Calibri" w:cs="Calibri"/>
                <w:color w:val="000000"/>
                <w:lang w:val="en-AU" w:eastAsia="en-AU" w:bidi="ar-SA"/>
              </w:rPr>
              <w:t>Mix 6</w:t>
            </w:r>
          </w:p>
        </w:tc>
        <w:tc>
          <w:tcPr>
            <w:tcW w:w="1205" w:type="dxa"/>
            <w:tcBorders>
              <w:top w:val="nil"/>
              <w:left w:val="nil"/>
              <w:right w:val="nil"/>
            </w:tcBorders>
            <w:shd w:val="clear" w:color="auto" w:fill="auto"/>
            <w:noWrap/>
            <w:hideMark/>
          </w:tcPr>
          <w:p w14:paraId="1572119B" w14:textId="77777777" w:rsidR="009233E1" w:rsidRPr="00B866CB" w:rsidRDefault="009233E1" w:rsidP="009233E1">
            <w:pPr>
              <w:jc w:val="left"/>
              <w:rPr>
                <w:rFonts w:asciiTheme="minorHAnsi" w:eastAsia="Times New Roman" w:hAnsiTheme="minorHAnsi" w:cstheme="minorHAnsi"/>
                <w:color w:val="000000"/>
                <w:lang w:val="en-AU" w:eastAsia="en-AU" w:bidi="ar-SA"/>
              </w:rPr>
            </w:pPr>
          </w:p>
        </w:tc>
        <w:tc>
          <w:tcPr>
            <w:tcW w:w="1154" w:type="dxa"/>
            <w:tcBorders>
              <w:top w:val="nil"/>
              <w:left w:val="nil"/>
              <w:right w:val="nil"/>
            </w:tcBorders>
            <w:shd w:val="clear" w:color="auto" w:fill="auto"/>
            <w:noWrap/>
            <w:hideMark/>
          </w:tcPr>
          <w:p w14:paraId="1572119C" w14:textId="1A5417C7" w:rsidR="009233E1" w:rsidRPr="007A507E" w:rsidRDefault="009233E1" w:rsidP="009233E1">
            <w:pPr>
              <w:jc w:val="center"/>
              <w:rPr>
                <w:rFonts w:asciiTheme="minorHAnsi" w:hAnsiTheme="minorHAnsi" w:cstheme="minorHAnsi"/>
              </w:rPr>
            </w:pPr>
            <w:r w:rsidRPr="007A507E">
              <w:rPr>
                <w:rFonts w:asciiTheme="minorHAnsi" w:hAnsiTheme="minorHAnsi" w:cstheme="minorHAnsi"/>
              </w:rPr>
              <w:t>19</w:t>
            </w:r>
          </w:p>
        </w:tc>
        <w:tc>
          <w:tcPr>
            <w:tcW w:w="942" w:type="dxa"/>
            <w:tcBorders>
              <w:top w:val="nil"/>
              <w:left w:val="nil"/>
              <w:right w:val="nil"/>
            </w:tcBorders>
            <w:shd w:val="clear" w:color="auto" w:fill="auto"/>
            <w:noWrap/>
            <w:hideMark/>
          </w:tcPr>
          <w:p w14:paraId="1572119D" w14:textId="6FF3AFC3" w:rsidR="009233E1" w:rsidRPr="007A507E" w:rsidRDefault="009233E1" w:rsidP="009233E1">
            <w:pPr>
              <w:jc w:val="center"/>
              <w:rPr>
                <w:rFonts w:asciiTheme="minorHAnsi" w:hAnsiTheme="minorHAnsi" w:cstheme="minorHAnsi"/>
              </w:rPr>
            </w:pPr>
            <w:r w:rsidRPr="007A507E">
              <w:rPr>
                <w:rFonts w:asciiTheme="minorHAnsi" w:hAnsiTheme="minorHAnsi" w:cstheme="minorHAnsi"/>
              </w:rPr>
              <w:t>36</w:t>
            </w:r>
          </w:p>
        </w:tc>
        <w:tc>
          <w:tcPr>
            <w:tcW w:w="1604" w:type="dxa"/>
            <w:tcBorders>
              <w:top w:val="nil"/>
              <w:left w:val="nil"/>
              <w:right w:val="nil"/>
            </w:tcBorders>
            <w:shd w:val="clear" w:color="auto" w:fill="auto"/>
            <w:noWrap/>
            <w:hideMark/>
          </w:tcPr>
          <w:p w14:paraId="1572119E" w14:textId="305784B4" w:rsidR="009233E1" w:rsidRPr="007A507E" w:rsidRDefault="009233E1" w:rsidP="009233E1">
            <w:pPr>
              <w:jc w:val="center"/>
              <w:rPr>
                <w:rFonts w:asciiTheme="minorHAnsi" w:hAnsiTheme="minorHAnsi" w:cstheme="minorHAnsi"/>
              </w:rPr>
            </w:pPr>
            <w:r w:rsidRPr="007A507E">
              <w:rPr>
                <w:rFonts w:asciiTheme="minorHAnsi" w:hAnsiTheme="minorHAnsi" w:cstheme="minorHAnsi"/>
              </w:rPr>
              <w:t>19</w:t>
            </w:r>
          </w:p>
        </w:tc>
        <w:tc>
          <w:tcPr>
            <w:tcW w:w="1711" w:type="dxa"/>
            <w:tcBorders>
              <w:top w:val="nil"/>
              <w:left w:val="nil"/>
              <w:right w:val="nil"/>
            </w:tcBorders>
            <w:shd w:val="clear" w:color="auto" w:fill="auto"/>
            <w:noWrap/>
            <w:hideMark/>
          </w:tcPr>
          <w:p w14:paraId="1572119F" w14:textId="77777777" w:rsidR="009233E1" w:rsidRPr="007A507E" w:rsidRDefault="009233E1" w:rsidP="009233E1">
            <w:pPr>
              <w:jc w:val="center"/>
              <w:rPr>
                <w:rFonts w:asciiTheme="minorHAnsi" w:hAnsiTheme="minorHAnsi" w:cstheme="minorHAnsi"/>
              </w:rPr>
            </w:pPr>
          </w:p>
        </w:tc>
        <w:tc>
          <w:tcPr>
            <w:tcW w:w="1197" w:type="dxa"/>
            <w:tcBorders>
              <w:top w:val="nil"/>
              <w:left w:val="nil"/>
              <w:right w:val="nil"/>
            </w:tcBorders>
            <w:shd w:val="clear" w:color="auto" w:fill="auto"/>
            <w:noWrap/>
            <w:hideMark/>
          </w:tcPr>
          <w:p w14:paraId="157211A0" w14:textId="0F79C86E" w:rsidR="009233E1" w:rsidRPr="007A507E" w:rsidRDefault="009233E1" w:rsidP="009233E1">
            <w:pPr>
              <w:jc w:val="center"/>
              <w:rPr>
                <w:rFonts w:asciiTheme="minorHAnsi" w:hAnsiTheme="minorHAnsi" w:cstheme="minorHAnsi"/>
              </w:rPr>
            </w:pPr>
            <w:r>
              <w:rPr>
                <w:rFonts w:asciiTheme="minorHAnsi" w:hAnsiTheme="minorHAnsi" w:cstheme="minorHAnsi"/>
              </w:rPr>
              <w:t>46</w:t>
            </w:r>
          </w:p>
        </w:tc>
        <w:tc>
          <w:tcPr>
            <w:tcW w:w="976" w:type="dxa"/>
            <w:tcBorders>
              <w:top w:val="nil"/>
              <w:left w:val="nil"/>
              <w:right w:val="nil"/>
            </w:tcBorders>
            <w:shd w:val="clear" w:color="auto" w:fill="auto"/>
            <w:noWrap/>
            <w:hideMark/>
          </w:tcPr>
          <w:p w14:paraId="157211A1" w14:textId="333C9D15" w:rsidR="009233E1" w:rsidRPr="009233E1" w:rsidRDefault="009233E1" w:rsidP="009233E1">
            <w:pPr>
              <w:jc w:val="center"/>
              <w:rPr>
                <w:rFonts w:asciiTheme="minorHAnsi" w:hAnsiTheme="minorHAnsi" w:cstheme="minorHAnsi"/>
              </w:rPr>
            </w:pPr>
            <w:r w:rsidRPr="009233E1">
              <w:rPr>
                <w:rFonts w:asciiTheme="minorHAnsi" w:hAnsiTheme="minorHAnsi" w:cstheme="minorHAnsi"/>
              </w:rPr>
              <w:t>1.07</w:t>
            </w:r>
          </w:p>
        </w:tc>
      </w:tr>
      <w:tr w:rsidR="009233E1" w:rsidRPr="00B866CB" w14:paraId="157211AB" w14:textId="77777777" w:rsidTr="00C12284">
        <w:trPr>
          <w:trHeight w:val="300"/>
        </w:trPr>
        <w:tc>
          <w:tcPr>
            <w:tcW w:w="976" w:type="dxa"/>
            <w:tcBorders>
              <w:top w:val="nil"/>
              <w:left w:val="nil"/>
              <w:bottom w:val="single" w:sz="4" w:space="0" w:color="auto"/>
              <w:right w:val="nil"/>
            </w:tcBorders>
            <w:shd w:val="clear" w:color="auto" w:fill="auto"/>
            <w:noWrap/>
            <w:vAlign w:val="bottom"/>
            <w:hideMark/>
          </w:tcPr>
          <w:p w14:paraId="157211A3" w14:textId="77777777" w:rsidR="009233E1" w:rsidRPr="00B866CB" w:rsidRDefault="009233E1" w:rsidP="009233E1">
            <w:pPr>
              <w:jc w:val="left"/>
              <w:rPr>
                <w:rFonts w:ascii="Calibri" w:eastAsia="Times New Roman" w:hAnsi="Calibri" w:cs="Calibri"/>
                <w:color w:val="000000"/>
                <w:lang w:val="en-AU" w:eastAsia="en-AU" w:bidi="ar-SA"/>
              </w:rPr>
            </w:pPr>
            <w:r w:rsidRPr="00B866CB">
              <w:rPr>
                <w:rFonts w:ascii="Calibri" w:eastAsia="Times New Roman" w:hAnsi="Calibri" w:cs="Calibri"/>
                <w:color w:val="000000"/>
                <w:lang w:val="en-AU" w:eastAsia="en-AU" w:bidi="ar-SA"/>
              </w:rPr>
              <w:t>Mix 7</w:t>
            </w:r>
          </w:p>
        </w:tc>
        <w:tc>
          <w:tcPr>
            <w:tcW w:w="1205" w:type="dxa"/>
            <w:tcBorders>
              <w:top w:val="nil"/>
              <w:left w:val="nil"/>
              <w:bottom w:val="single" w:sz="4" w:space="0" w:color="auto"/>
              <w:right w:val="nil"/>
            </w:tcBorders>
            <w:shd w:val="clear" w:color="auto" w:fill="auto"/>
            <w:noWrap/>
            <w:hideMark/>
          </w:tcPr>
          <w:p w14:paraId="157211A4" w14:textId="77777777" w:rsidR="009233E1" w:rsidRPr="00B866CB" w:rsidRDefault="009233E1" w:rsidP="009233E1">
            <w:pPr>
              <w:jc w:val="center"/>
              <w:rPr>
                <w:rFonts w:asciiTheme="minorHAnsi" w:eastAsia="Times New Roman" w:hAnsiTheme="minorHAnsi" w:cstheme="minorHAnsi"/>
                <w:color w:val="000000"/>
                <w:lang w:val="en-AU" w:eastAsia="en-AU" w:bidi="ar-SA"/>
              </w:rPr>
            </w:pPr>
            <w:r w:rsidRPr="00585BBF">
              <w:rPr>
                <w:rFonts w:asciiTheme="minorHAnsi" w:hAnsiTheme="minorHAnsi" w:cstheme="minorHAnsi"/>
              </w:rPr>
              <w:t>0.6</w:t>
            </w:r>
          </w:p>
        </w:tc>
        <w:tc>
          <w:tcPr>
            <w:tcW w:w="1154" w:type="dxa"/>
            <w:tcBorders>
              <w:top w:val="nil"/>
              <w:left w:val="nil"/>
              <w:bottom w:val="single" w:sz="4" w:space="0" w:color="auto"/>
              <w:right w:val="nil"/>
            </w:tcBorders>
            <w:shd w:val="clear" w:color="auto" w:fill="auto"/>
            <w:noWrap/>
            <w:hideMark/>
          </w:tcPr>
          <w:p w14:paraId="157211A5" w14:textId="32D1BD72" w:rsidR="009233E1" w:rsidRPr="007A507E" w:rsidRDefault="009233E1" w:rsidP="009233E1">
            <w:pPr>
              <w:jc w:val="center"/>
              <w:rPr>
                <w:rFonts w:asciiTheme="minorHAnsi" w:hAnsiTheme="minorHAnsi" w:cstheme="minorHAnsi"/>
              </w:rPr>
            </w:pPr>
            <w:r w:rsidRPr="007A507E">
              <w:rPr>
                <w:rFonts w:asciiTheme="minorHAnsi" w:hAnsiTheme="minorHAnsi" w:cstheme="minorHAnsi"/>
              </w:rPr>
              <w:t>14</w:t>
            </w:r>
          </w:p>
        </w:tc>
        <w:tc>
          <w:tcPr>
            <w:tcW w:w="942" w:type="dxa"/>
            <w:tcBorders>
              <w:top w:val="nil"/>
              <w:left w:val="nil"/>
              <w:bottom w:val="single" w:sz="4" w:space="0" w:color="auto"/>
              <w:right w:val="nil"/>
            </w:tcBorders>
            <w:shd w:val="clear" w:color="auto" w:fill="auto"/>
            <w:noWrap/>
            <w:hideMark/>
          </w:tcPr>
          <w:p w14:paraId="157211A6" w14:textId="6608CAE0" w:rsidR="009233E1" w:rsidRPr="007A507E" w:rsidRDefault="009233E1" w:rsidP="009233E1">
            <w:pPr>
              <w:jc w:val="center"/>
              <w:rPr>
                <w:rFonts w:asciiTheme="minorHAnsi" w:hAnsiTheme="minorHAnsi" w:cstheme="minorHAnsi"/>
              </w:rPr>
            </w:pPr>
            <w:r w:rsidRPr="007A507E">
              <w:rPr>
                <w:rFonts w:asciiTheme="minorHAnsi" w:hAnsiTheme="minorHAnsi" w:cstheme="minorHAnsi"/>
              </w:rPr>
              <w:t>38</w:t>
            </w:r>
          </w:p>
        </w:tc>
        <w:tc>
          <w:tcPr>
            <w:tcW w:w="1604" w:type="dxa"/>
            <w:tcBorders>
              <w:top w:val="nil"/>
              <w:left w:val="nil"/>
              <w:bottom w:val="single" w:sz="4" w:space="0" w:color="auto"/>
              <w:right w:val="nil"/>
            </w:tcBorders>
            <w:shd w:val="clear" w:color="auto" w:fill="auto"/>
            <w:noWrap/>
            <w:hideMark/>
          </w:tcPr>
          <w:p w14:paraId="157211A7" w14:textId="6E045FDF" w:rsidR="009233E1" w:rsidRPr="007A507E" w:rsidRDefault="009233E1" w:rsidP="009233E1">
            <w:pPr>
              <w:jc w:val="center"/>
              <w:rPr>
                <w:rFonts w:asciiTheme="minorHAnsi" w:hAnsiTheme="minorHAnsi" w:cstheme="minorHAnsi"/>
              </w:rPr>
            </w:pPr>
            <w:r w:rsidRPr="007A507E">
              <w:rPr>
                <w:rFonts w:asciiTheme="minorHAnsi" w:hAnsiTheme="minorHAnsi" w:cstheme="minorHAnsi"/>
              </w:rPr>
              <w:t>13</w:t>
            </w:r>
          </w:p>
        </w:tc>
        <w:tc>
          <w:tcPr>
            <w:tcW w:w="1711" w:type="dxa"/>
            <w:tcBorders>
              <w:top w:val="nil"/>
              <w:left w:val="nil"/>
              <w:bottom w:val="single" w:sz="4" w:space="0" w:color="auto"/>
              <w:right w:val="nil"/>
            </w:tcBorders>
            <w:shd w:val="clear" w:color="auto" w:fill="auto"/>
            <w:noWrap/>
            <w:hideMark/>
          </w:tcPr>
          <w:p w14:paraId="157211A8" w14:textId="77777777" w:rsidR="009233E1" w:rsidRPr="007A507E" w:rsidRDefault="009233E1" w:rsidP="009233E1">
            <w:pPr>
              <w:jc w:val="center"/>
              <w:rPr>
                <w:rFonts w:asciiTheme="minorHAnsi" w:hAnsiTheme="minorHAnsi" w:cstheme="minorHAnsi"/>
              </w:rPr>
            </w:pPr>
          </w:p>
        </w:tc>
        <w:tc>
          <w:tcPr>
            <w:tcW w:w="1197" w:type="dxa"/>
            <w:tcBorders>
              <w:top w:val="nil"/>
              <w:left w:val="nil"/>
              <w:bottom w:val="single" w:sz="4" w:space="0" w:color="auto"/>
              <w:right w:val="nil"/>
            </w:tcBorders>
            <w:shd w:val="clear" w:color="auto" w:fill="auto"/>
            <w:noWrap/>
            <w:hideMark/>
          </w:tcPr>
          <w:p w14:paraId="157211A9" w14:textId="7A24D6E5" w:rsidR="009233E1" w:rsidRPr="007A507E" w:rsidRDefault="009233E1" w:rsidP="009233E1">
            <w:pPr>
              <w:jc w:val="center"/>
              <w:rPr>
                <w:rFonts w:asciiTheme="minorHAnsi" w:hAnsiTheme="minorHAnsi" w:cstheme="minorHAnsi"/>
              </w:rPr>
            </w:pPr>
            <w:r>
              <w:rPr>
                <w:rFonts w:asciiTheme="minorHAnsi" w:hAnsiTheme="minorHAnsi" w:cstheme="minorHAnsi"/>
              </w:rPr>
              <w:t>46</w:t>
            </w:r>
          </w:p>
        </w:tc>
        <w:tc>
          <w:tcPr>
            <w:tcW w:w="976" w:type="dxa"/>
            <w:tcBorders>
              <w:top w:val="nil"/>
              <w:left w:val="nil"/>
              <w:bottom w:val="single" w:sz="4" w:space="0" w:color="auto"/>
              <w:right w:val="nil"/>
            </w:tcBorders>
            <w:shd w:val="clear" w:color="auto" w:fill="auto"/>
            <w:noWrap/>
            <w:hideMark/>
          </w:tcPr>
          <w:p w14:paraId="157211AA" w14:textId="6AFE4FA5" w:rsidR="009233E1" w:rsidRPr="009233E1" w:rsidRDefault="009233E1" w:rsidP="009233E1">
            <w:pPr>
              <w:jc w:val="center"/>
              <w:rPr>
                <w:rFonts w:asciiTheme="minorHAnsi" w:hAnsiTheme="minorHAnsi" w:cstheme="minorHAnsi"/>
              </w:rPr>
            </w:pPr>
            <w:r w:rsidRPr="009233E1">
              <w:rPr>
                <w:rFonts w:asciiTheme="minorHAnsi" w:hAnsiTheme="minorHAnsi" w:cstheme="minorHAnsi"/>
              </w:rPr>
              <w:t>1.05</w:t>
            </w:r>
          </w:p>
        </w:tc>
      </w:tr>
    </w:tbl>
    <w:p w14:paraId="157211AC" w14:textId="77777777" w:rsidR="00653E66" w:rsidRDefault="00653E66" w:rsidP="00F97374">
      <w:pPr>
        <w:spacing w:line="276" w:lineRule="auto"/>
        <w:jc w:val="left"/>
        <w:rPr>
          <w:lang w:val="en-AU"/>
        </w:rPr>
      </w:pPr>
    </w:p>
    <w:p w14:paraId="157211AD" w14:textId="1EABE1CF" w:rsidR="00AF2A13" w:rsidRPr="00E20CE8" w:rsidRDefault="00AF2A13" w:rsidP="00AF2A13">
      <w:pPr>
        <w:spacing w:before="120" w:after="60" w:line="276" w:lineRule="auto"/>
        <w:ind w:left="567" w:hanging="567"/>
        <w:jc w:val="left"/>
        <w:rPr>
          <w:b/>
          <w:lang w:val="en-AU"/>
        </w:rPr>
      </w:pPr>
      <w:r w:rsidRPr="00E20CE8">
        <w:rPr>
          <w:b/>
          <w:lang w:val="en-AU"/>
        </w:rPr>
        <w:t>Results</w:t>
      </w:r>
      <w:r>
        <w:rPr>
          <w:b/>
          <w:lang w:val="en-AU"/>
        </w:rPr>
        <w:t xml:space="preserve">: </w:t>
      </w:r>
      <w:r w:rsidRPr="00E67935">
        <w:rPr>
          <w:b/>
          <w:lang w:val="en-AU"/>
        </w:rPr>
        <w:t xml:space="preserve">Comparison of ms-PAF </w:t>
      </w:r>
      <w:r w:rsidR="008F25EE">
        <w:rPr>
          <w:b/>
          <w:lang w:val="en-AU"/>
        </w:rPr>
        <w:t xml:space="preserve">(%) </w:t>
      </w:r>
      <w:r>
        <w:rPr>
          <w:b/>
          <w:lang w:val="en-AU"/>
        </w:rPr>
        <w:t>and PSII-HEq concentrations for 2015-16</w:t>
      </w:r>
      <w:r w:rsidR="008F25EE">
        <w:rPr>
          <w:b/>
          <w:lang w:val="en-AU"/>
        </w:rPr>
        <w:t xml:space="preserve"> samples</w:t>
      </w:r>
    </w:p>
    <w:p w14:paraId="157211AE" w14:textId="05901CDA" w:rsidR="00960F33" w:rsidRDefault="00F97374" w:rsidP="007E0DC5">
      <w:pPr>
        <w:rPr>
          <w:lang w:val="en-AU"/>
        </w:rPr>
      </w:pPr>
      <w:r>
        <w:rPr>
          <w:lang w:val="en-AU"/>
        </w:rPr>
        <w:t xml:space="preserve">The </w:t>
      </w:r>
      <w:r w:rsidR="000969B2">
        <w:rPr>
          <w:lang w:val="en-AU"/>
        </w:rPr>
        <w:t xml:space="preserve">predicted ms-PAF </w:t>
      </w:r>
      <w:r>
        <w:rPr>
          <w:lang w:val="en-AU"/>
        </w:rPr>
        <w:t>values</w:t>
      </w:r>
      <w:r w:rsidR="003C0A69">
        <w:rPr>
          <w:lang w:val="en-AU"/>
        </w:rPr>
        <w:t xml:space="preserve"> </w:t>
      </w:r>
      <w:r w:rsidR="000969B2">
        <w:rPr>
          <w:lang w:val="en-AU"/>
        </w:rPr>
        <w:t xml:space="preserve">from the current monitoring year data </w:t>
      </w:r>
      <w:r w:rsidR="003C0A69">
        <w:rPr>
          <w:lang w:val="en-AU"/>
        </w:rPr>
        <w:t xml:space="preserve">were plotted against the PSII-HEq concentrations for each sample </w:t>
      </w:r>
      <w:r w:rsidR="00A7757C">
        <w:rPr>
          <w:lang w:val="en-AU" w:eastAsia="en-AU"/>
        </w:rPr>
        <w:fldChar w:fldCharType="begin"/>
      </w:r>
      <w:r w:rsidR="00A7757C">
        <w:rPr>
          <w:lang w:val="en-AU" w:eastAsia="en-AU"/>
        </w:rPr>
        <w:instrText xml:space="preserve"> REF _Ref335637596 \n \h  \* MERGEFORMAT </w:instrText>
      </w:r>
      <w:r w:rsidR="00A7757C">
        <w:rPr>
          <w:lang w:val="en-AU" w:eastAsia="en-AU"/>
        </w:rPr>
      </w:r>
      <w:r w:rsidR="00A7757C">
        <w:rPr>
          <w:lang w:val="en-AU" w:eastAsia="en-AU"/>
        </w:rPr>
        <w:fldChar w:fldCharType="separate"/>
      </w:r>
      <w:r w:rsidR="00D12276">
        <w:rPr>
          <w:lang w:val="en-AU" w:eastAsia="en-AU"/>
        </w:rPr>
        <w:t xml:space="preserve">Appendix F </w:t>
      </w:r>
      <w:r w:rsidR="00A7757C">
        <w:rPr>
          <w:lang w:val="en-AU" w:eastAsia="en-AU"/>
        </w:rPr>
        <w:fldChar w:fldCharType="end"/>
      </w:r>
      <w:r w:rsidR="00A7757C">
        <w:t xml:space="preserve">Table </w:t>
      </w:r>
      <w:r w:rsidR="00A7757C">
        <w:rPr>
          <w:noProof/>
        </w:rPr>
        <w:t>F</w:t>
      </w:r>
      <w:r w:rsidR="00A7757C">
        <w:noBreakHyphen/>
      </w:r>
      <w:r w:rsidR="00A7757C">
        <w:rPr>
          <w:noProof/>
        </w:rPr>
        <w:t xml:space="preserve">2 </w:t>
      </w:r>
      <w:r w:rsidR="007E0DC5">
        <w:rPr>
          <w:lang w:val="en-AU"/>
        </w:rPr>
        <w:t xml:space="preserve"> </w:t>
      </w:r>
      <w:r w:rsidR="003C0A69">
        <w:rPr>
          <w:lang w:val="en-AU"/>
        </w:rPr>
        <w:t xml:space="preserve">to </w:t>
      </w:r>
      <w:r w:rsidR="00C91BF5">
        <w:rPr>
          <w:lang w:val="en-AU"/>
        </w:rPr>
        <w:fldChar w:fldCharType="begin"/>
      </w:r>
      <w:r w:rsidR="003C0A69">
        <w:rPr>
          <w:lang w:val="en-AU"/>
        </w:rPr>
        <w:instrText xml:space="preserve"> REF _Ref480725602 \h </w:instrText>
      </w:r>
      <w:r w:rsidR="00C91BF5">
        <w:rPr>
          <w:lang w:val="en-AU"/>
        </w:rPr>
      </w:r>
      <w:r w:rsidR="00C91BF5">
        <w:rPr>
          <w:lang w:val="en-AU"/>
        </w:rPr>
        <w:fldChar w:fldCharType="separate"/>
      </w:r>
      <w:r w:rsidR="00D12276">
        <w:t xml:space="preserve">Table </w:t>
      </w:r>
      <w:r w:rsidR="00D12276">
        <w:rPr>
          <w:noProof/>
        </w:rPr>
        <w:t>F</w:t>
      </w:r>
      <w:r w:rsidR="00D12276">
        <w:noBreakHyphen/>
      </w:r>
      <w:r w:rsidR="00D12276">
        <w:rPr>
          <w:noProof/>
        </w:rPr>
        <w:t>12</w:t>
      </w:r>
      <w:r w:rsidR="00C91BF5">
        <w:rPr>
          <w:lang w:val="en-AU"/>
        </w:rPr>
        <w:fldChar w:fldCharType="end"/>
      </w:r>
      <w:r w:rsidR="003C0A69">
        <w:rPr>
          <w:lang w:val="en-AU"/>
        </w:rPr>
        <w:t>) (</w:t>
      </w:r>
      <w:r w:rsidR="002A77E1">
        <w:fldChar w:fldCharType="begin"/>
      </w:r>
      <w:r w:rsidR="002A77E1">
        <w:instrText xml:space="preserve"> REF _Ref480898443 \h  \* MERGEFORMAT </w:instrText>
      </w:r>
      <w:r w:rsidR="002A77E1">
        <w:fldChar w:fldCharType="separate"/>
      </w:r>
      <w:r w:rsidR="00D12276" w:rsidRPr="00C15D0D">
        <w:t xml:space="preserve">Figure </w:t>
      </w:r>
      <w:r w:rsidR="00D12276" w:rsidRPr="00D12276">
        <w:rPr>
          <w:noProof/>
        </w:rPr>
        <w:t>16</w:t>
      </w:r>
      <w:r w:rsidR="002A77E1">
        <w:fldChar w:fldCharType="end"/>
      </w:r>
      <w:r w:rsidR="003C0A69">
        <w:rPr>
          <w:lang w:val="en-AU"/>
        </w:rPr>
        <w:t xml:space="preserve">). The scales of the two vertical axes in </w:t>
      </w:r>
      <w:r w:rsidR="002A77E1">
        <w:fldChar w:fldCharType="begin"/>
      </w:r>
      <w:r w:rsidR="002A77E1">
        <w:instrText xml:space="preserve"> REF _Ref480898443 \h  \* MERGEFORMAT </w:instrText>
      </w:r>
      <w:r w:rsidR="002A77E1">
        <w:fldChar w:fldCharType="separate"/>
      </w:r>
      <w:r w:rsidR="00D12276" w:rsidRPr="00C15D0D">
        <w:t xml:space="preserve">Figure </w:t>
      </w:r>
      <w:r w:rsidR="00D12276" w:rsidRPr="00D12276">
        <w:rPr>
          <w:noProof/>
        </w:rPr>
        <w:t>16</w:t>
      </w:r>
      <w:r w:rsidR="002A77E1">
        <w:fldChar w:fldCharType="end"/>
      </w:r>
      <w:r w:rsidR="003C0A69">
        <w:rPr>
          <w:lang w:val="en-AU"/>
        </w:rPr>
        <w:t xml:space="preserve"> (left for PAF and right for PSII-HEq) were aligned based on the PC99, 95 and 90 values determined using the ms-PAF model above (</w:t>
      </w:r>
      <w:r w:rsidR="002A77E1">
        <w:fldChar w:fldCharType="begin"/>
      </w:r>
      <w:r w:rsidR="002A77E1">
        <w:instrText xml:space="preserve"> REF _Ref480830118 \h  \* MERGEFORMAT </w:instrText>
      </w:r>
      <w:r w:rsidR="002A77E1">
        <w:fldChar w:fldCharType="separate"/>
      </w:r>
      <w:r w:rsidR="00D12276" w:rsidRPr="00F32F87">
        <w:t xml:space="preserve">Table </w:t>
      </w:r>
      <w:r w:rsidR="00D12276" w:rsidRPr="00D12276">
        <w:rPr>
          <w:noProof/>
        </w:rPr>
        <w:t>14</w:t>
      </w:r>
      <w:r w:rsidR="002A77E1">
        <w:fldChar w:fldCharType="end"/>
      </w:r>
      <w:r w:rsidR="003C0A69">
        <w:rPr>
          <w:lang w:val="en-AU"/>
        </w:rPr>
        <w:t xml:space="preserve">) so that a direct comparison between the PSII-HEq values and the PAF could be made. The risk values determined under both approaches followed an almost identical pattern with the PAF values </w:t>
      </w:r>
      <w:r w:rsidR="000969B2">
        <w:rPr>
          <w:lang w:val="en-AU"/>
        </w:rPr>
        <w:t xml:space="preserve">equal to or </w:t>
      </w:r>
      <w:r w:rsidR="003C0A69">
        <w:rPr>
          <w:lang w:val="en-AU"/>
        </w:rPr>
        <w:t xml:space="preserve">slightly lower than the equivalent PSII-HEq data. This suggests that, based on the SSDs currently available, the two </w:t>
      </w:r>
      <w:r w:rsidR="000969B2">
        <w:rPr>
          <w:lang w:val="en-AU"/>
        </w:rPr>
        <w:t xml:space="preserve">risk </w:t>
      </w:r>
      <w:r w:rsidR="003C0A69">
        <w:rPr>
          <w:lang w:val="en-AU"/>
        </w:rPr>
        <w:t>approaches differ primarily only in their relative scales</w:t>
      </w:r>
      <w:r w:rsidR="00561804">
        <w:rPr>
          <w:lang w:val="en-AU"/>
        </w:rPr>
        <w:t>, i.e. that the relative potencies of the</w:t>
      </w:r>
      <w:r w:rsidR="0084175A">
        <w:rPr>
          <w:lang w:val="en-AU"/>
        </w:rPr>
        <w:t xml:space="preserve"> </w:t>
      </w:r>
      <w:r w:rsidR="00561804">
        <w:rPr>
          <w:lang w:val="en-AU"/>
        </w:rPr>
        <w:t xml:space="preserve">PSII herbicides </w:t>
      </w:r>
      <w:r w:rsidR="0084175A">
        <w:rPr>
          <w:lang w:val="en-AU"/>
        </w:rPr>
        <w:t xml:space="preserve">that dominate the pesticide mixtures observed in this monitoring program </w:t>
      </w:r>
      <w:r w:rsidR="00561804">
        <w:rPr>
          <w:lang w:val="en-AU"/>
        </w:rPr>
        <w:t>under the two risk assessment approaches are relatively consistent</w:t>
      </w:r>
      <w:r w:rsidR="000969B2">
        <w:rPr>
          <w:lang w:val="en-AU"/>
        </w:rPr>
        <w:t>.</w:t>
      </w:r>
    </w:p>
    <w:p w14:paraId="157211B1" w14:textId="77777777" w:rsidR="00C17D2A" w:rsidRDefault="007D68DC" w:rsidP="00C17D2A">
      <w:pPr>
        <w:spacing w:line="276" w:lineRule="auto"/>
        <w:rPr>
          <w:lang w:val="en-AU" w:eastAsia="en-AU"/>
        </w:rPr>
      </w:pPr>
      <w:r w:rsidRPr="007D68DC">
        <w:rPr>
          <w:noProof/>
          <w:lang w:val="en-AU" w:eastAsia="en-AU" w:bidi="ar-SA"/>
        </w:rPr>
        <w:drawing>
          <wp:inline distT="0" distB="0" distL="0" distR="0" wp14:anchorId="15721A80" wp14:editId="39557B18">
            <wp:extent cx="6660000" cy="4304760"/>
            <wp:effectExtent l="0" t="0" r="0" b="0"/>
            <wp:docPr id="13" name="Picture 13" descr="Figure 16: Comparison of all current monitoring data calculated as the PAF (%) and using the PSII- HEq approach. Axes were aligned assuming 1% PAF was equivalent to 46 ng/L PSII-HEq, 5% equivalent to 240 ng/L and 10% equivalent to 520 ng/L (see main text and Table 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3583" t="693" r="1108"/>
                    <a:stretch/>
                  </pic:blipFill>
                  <pic:spPr bwMode="auto">
                    <a:xfrm>
                      <a:off x="0" y="0"/>
                      <a:ext cx="6660000" cy="4304760"/>
                    </a:xfrm>
                    <a:prstGeom prst="rect">
                      <a:avLst/>
                    </a:prstGeom>
                    <a:noFill/>
                    <a:ln>
                      <a:noFill/>
                    </a:ln>
                    <a:extLst>
                      <a:ext uri="{53640926-AAD7-44D8-BBD7-CCE9431645EC}">
                        <a14:shadowObscured xmlns:a14="http://schemas.microsoft.com/office/drawing/2010/main"/>
                      </a:ext>
                    </a:extLst>
                  </pic:spPr>
                </pic:pic>
              </a:graphicData>
            </a:graphic>
          </wp:inline>
        </w:drawing>
      </w:r>
    </w:p>
    <w:p w14:paraId="157211B2" w14:textId="3999CF6C" w:rsidR="00C17D2A" w:rsidRDefault="00C17D2A" w:rsidP="00C17D2A">
      <w:pPr>
        <w:pStyle w:val="Caption"/>
        <w:spacing w:line="276" w:lineRule="auto"/>
        <w:rPr>
          <w:b w:val="0"/>
        </w:rPr>
      </w:pPr>
      <w:bookmarkStart w:id="728" w:name="_Ref480898443"/>
      <w:bookmarkStart w:id="729" w:name="_Toc502499946"/>
      <w:r w:rsidRPr="00C15D0D">
        <w:rPr>
          <w:b w:val="0"/>
        </w:rPr>
        <w:t xml:space="preserve">Figure </w:t>
      </w:r>
      <w:r w:rsidR="00C91BF5" w:rsidRPr="00C15D0D">
        <w:rPr>
          <w:b w:val="0"/>
        </w:rPr>
        <w:fldChar w:fldCharType="begin"/>
      </w:r>
      <w:r w:rsidRPr="00C15D0D">
        <w:rPr>
          <w:b w:val="0"/>
        </w:rPr>
        <w:instrText xml:space="preserve"> SEQ Figure \* ARABIC </w:instrText>
      </w:r>
      <w:r w:rsidR="00C91BF5" w:rsidRPr="00C15D0D">
        <w:rPr>
          <w:b w:val="0"/>
        </w:rPr>
        <w:fldChar w:fldCharType="separate"/>
      </w:r>
      <w:r w:rsidR="00D12276">
        <w:rPr>
          <w:b w:val="0"/>
          <w:noProof/>
        </w:rPr>
        <w:t>16</w:t>
      </w:r>
      <w:r w:rsidR="00C91BF5" w:rsidRPr="00C15D0D">
        <w:rPr>
          <w:b w:val="0"/>
        </w:rPr>
        <w:fldChar w:fldCharType="end"/>
      </w:r>
      <w:bookmarkEnd w:id="728"/>
      <w:r w:rsidRPr="00C15D0D">
        <w:rPr>
          <w:b w:val="0"/>
        </w:rPr>
        <w:t xml:space="preserve">: </w:t>
      </w:r>
      <w:r>
        <w:rPr>
          <w:b w:val="0"/>
        </w:rPr>
        <w:t xml:space="preserve">Comparison of all current monitoring data calculated as the </w:t>
      </w:r>
      <w:r w:rsidR="000F6097">
        <w:rPr>
          <w:b w:val="0"/>
        </w:rPr>
        <w:t xml:space="preserve">PAF (%) </w:t>
      </w:r>
      <w:r>
        <w:rPr>
          <w:b w:val="0"/>
        </w:rPr>
        <w:t xml:space="preserve">and using the PSII- HEq approach. Axes were aligned assuming 1% </w:t>
      </w:r>
      <w:r w:rsidR="000F6097">
        <w:rPr>
          <w:b w:val="0"/>
        </w:rPr>
        <w:t>PAF</w:t>
      </w:r>
      <w:r>
        <w:rPr>
          <w:b w:val="0"/>
        </w:rPr>
        <w:t xml:space="preserve"> was equivalent to 46 ng/L PSII-HEq, 5% equivalent to 240 ng/L and 10% equivalent to 520 ng/L (see main text and </w:t>
      </w:r>
      <w:r w:rsidR="002A77E1">
        <w:fldChar w:fldCharType="begin"/>
      </w:r>
      <w:r w:rsidR="002A77E1">
        <w:instrText xml:space="preserve"> REF _Ref480830118 \h  \* MERGEFORMAT </w:instrText>
      </w:r>
      <w:r w:rsidR="002A77E1">
        <w:fldChar w:fldCharType="separate"/>
      </w:r>
      <w:r w:rsidR="00D12276" w:rsidRPr="00F32F87">
        <w:rPr>
          <w:b w:val="0"/>
        </w:rPr>
        <w:t xml:space="preserve">Table </w:t>
      </w:r>
      <w:r w:rsidR="00D12276">
        <w:rPr>
          <w:b w:val="0"/>
          <w:noProof/>
        </w:rPr>
        <w:t>14</w:t>
      </w:r>
      <w:r w:rsidR="002A77E1">
        <w:fldChar w:fldCharType="end"/>
      </w:r>
      <w:r>
        <w:rPr>
          <w:b w:val="0"/>
        </w:rPr>
        <w:t>). Both axes are shown on a log scale (for presentation purposes only). Site names are identified using the following codes: LOW (Low Isles), NORM (Normanby Island), DUNK (Dunk Island), LUC (Lucinda), BAR (Barratta Creek), REP (Repulse Bay), RFT (</w:t>
      </w:r>
      <w:r w:rsidR="005A19C8">
        <w:rPr>
          <w:b w:val="0"/>
        </w:rPr>
        <w:t>Round Top Island</w:t>
      </w:r>
      <w:r>
        <w:rPr>
          <w:b w:val="0"/>
        </w:rPr>
        <w:t>), SAR (Sarina Inlet), SND (Sandy Creek), NKI (North Keppel Island); WET and DRY are wet and dry season samples, respectively, which are chronologically numbered (dry season: 1 = May/June 2015; 2 = July/Aug 2016, 3 = Sep/Oct 2015; wet season: 1 = Nov 2015, 2 = Dec 2015, 3 = Jan 2016, 4 = Feb 2016, 5 = Mar 2016, 6 = Apr 2016)</w:t>
      </w:r>
      <w:bookmarkEnd w:id="729"/>
    </w:p>
    <w:p w14:paraId="6D7DD8EB" w14:textId="77777777" w:rsidR="000F6097" w:rsidRDefault="000F6097" w:rsidP="000F6097">
      <w:pPr>
        <w:spacing w:line="276" w:lineRule="auto"/>
        <w:rPr>
          <w:lang w:val="en-AU"/>
        </w:rPr>
      </w:pPr>
      <w:r>
        <w:rPr>
          <w:lang w:val="en-AU"/>
        </w:rPr>
        <w:t>The ms-PAF data for 2015-16 suggest that there were four exceedances of the targeted PAF for the Reef (</w:t>
      </w:r>
      <w:r>
        <w:rPr>
          <w:rFonts w:cs="Arial"/>
          <w:lang w:val="en-AU"/>
        </w:rPr>
        <w:t>≤</w:t>
      </w:r>
      <w:r>
        <w:rPr>
          <w:lang w:val="en-AU"/>
        </w:rPr>
        <w:t>1%), all occurring in the Mackay Whitsunday NRM region (</w:t>
      </w:r>
      <w:r>
        <w:fldChar w:fldCharType="begin"/>
      </w:r>
      <w:r>
        <w:instrText xml:space="preserve"> REF _Ref480898443 \h  \* MERGEFORMAT </w:instrText>
      </w:r>
      <w:r>
        <w:fldChar w:fldCharType="separate"/>
      </w:r>
      <w:r w:rsidR="00D12276" w:rsidRPr="00C15D0D">
        <w:t xml:space="preserve">Figure </w:t>
      </w:r>
      <w:r w:rsidR="00D12276" w:rsidRPr="00D12276">
        <w:rPr>
          <w:noProof/>
        </w:rPr>
        <w:t>16</w:t>
      </w:r>
      <w:r>
        <w:fldChar w:fldCharType="end"/>
      </w:r>
      <w:r>
        <w:rPr>
          <w:lang w:val="en-AU"/>
        </w:rPr>
        <w:t>). These correspond to one category 2 and three category 3 occurrences on the PSII-HEq index. In line with the discussion above, there was, however, only one exceedance of the proposed diuron marine GV in the monitoring year (</w:t>
      </w:r>
      <w:r>
        <w:fldChar w:fldCharType="begin"/>
      </w:r>
      <w:r>
        <w:instrText xml:space="preserve"> REF _Ref480898443 \h  \* MERGEFORMAT </w:instrText>
      </w:r>
      <w:r>
        <w:fldChar w:fldCharType="separate"/>
      </w:r>
      <w:r w:rsidR="00D12276" w:rsidRPr="00C15D0D">
        <w:t xml:space="preserve">Figure </w:t>
      </w:r>
      <w:r w:rsidR="00D12276" w:rsidRPr="00D12276">
        <w:rPr>
          <w:noProof/>
        </w:rPr>
        <w:t>16</w:t>
      </w:r>
      <w:r>
        <w:fldChar w:fldCharType="end"/>
      </w:r>
      <w:r>
        <w:rPr>
          <w:lang w:val="en-AU"/>
        </w:rPr>
        <w:t xml:space="preserve">). </w:t>
      </w:r>
    </w:p>
    <w:p w14:paraId="64888E60" w14:textId="77777777" w:rsidR="000F6097" w:rsidRDefault="000F6097" w:rsidP="00206785">
      <w:pPr>
        <w:spacing w:line="276" w:lineRule="auto"/>
        <w:jc w:val="left"/>
        <w:rPr>
          <w:lang w:val="en-AU"/>
        </w:rPr>
      </w:pPr>
    </w:p>
    <w:p w14:paraId="53742040" w14:textId="4567A297" w:rsidR="00F47739" w:rsidRPr="00E20CE8" w:rsidRDefault="00F47739" w:rsidP="00F47739">
      <w:pPr>
        <w:spacing w:after="60" w:line="276" w:lineRule="auto"/>
        <w:ind w:left="567" w:hanging="567"/>
        <w:jc w:val="left"/>
        <w:rPr>
          <w:b/>
          <w:lang w:val="en-AU"/>
        </w:rPr>
      </w:pPr>
      <w:r w:rsidRPr="00E20CE8">
        <w:rPr>
          <w:b/>
          <w:lang w:val="en-AU"/>
        </w:rPr>
        <w:t>Results</w:t>
      </w:r>
      <w:r>
        <w:rPr>
          <w:b/>
          <w:lang w:val="en-AU"/>
        </w:rPr>
        <w:t>: Relative potencies of PSII Herbicides</w:t>
      </w:r>
    </w:p>
    <w:p w14:paraId="157211B4" w14:textId="26805529" w:rsidR="00206785" w:rsidRDefault="00206785" w:rsidP="00206785">
      <w:pPr>
        <w:spacing w:line="276" w:lineRule="auto"/>
        <w:rPr>
          <w:lang w:val="en-AU" w:eastAsia="en-AU"/>
        </w:rPr>
      </w:pPr>
      <w:r>
        <w:rPr>
          <w:lang w:val="en-AU"/>
        </w:rPr>
        <w:t xml:space="preserve">The similarity in patterns between the ms-PAF and PSII-HEq values prompted a comparison of the relative potencies of </w:t>
      </w:r>
      <w:r w:rsidR="0067299B">
        <w:rPr>
          <w:lang w:val="en-AU"/>
        </w:rPr>
        <w:t xml:space="preserve">the thirteen </w:t>
      </w:r>
      <w:r>
        <w:rPr>
          <w:lang w:val="en-AU"/>
        </w:rPr>
        <w:t xml:space="preserve">PSII herbicides </w:t>
      </w:r>
      <w:r w:rsidR="0067299B">
        <w:rPr>
          <w:lang w:val="en-AU"/>
        </w:rPr>
        <w:t xml:space="preserve">(and two atrazine metabolites) </w:t>
      </w:r>
      <w:r>
        <w:rPr>
          <w:lang w:val="en-AU"/>
        </w:rPr>
        <w:t xml:space="preserve">between the ms-PAF and the PSII-HEq methods. These were further compared to new toxic equivalency factors (TEFs) recently reported for the five priority PSII herbicides, ametryn, atrazine, diuron, hexazinone and tebuthiuron, </w:t>
      </w:r>
      <w:r w:rsidR="00271985">
        <w:rPr>
          <w:lang w:val="en-AU"/>
        </w:rPr>
        <w:t>which are used to</w:t>
      </w:r>
      <w:r>
        <w:rPr>
          <w:lang w:val="en-AU"/>
        </w:rPr>
        <w:t xml:space="preserve"> quantif</w:t>
      </w:r>
      <w:r w:rsidR="00271985">
        <w:rPr>
          <w:lang w:val="en-AU"/>
        </w:rPr>
        <w:t>y</w:t>
      </w:r>
      <w:r>
        <w:rPr>
          <w:lang w:val="en-AU"/>
        </w:rPr>
        <w:t xml:space="preserve"> the toxicity of end-of-catchment loads under GBRCLMP </w:t>
      </w:r>
      <w:r w:rsidR="00C91BF5">
        <w:rPr>
          <w:lang w:val="en-AU"/>
        </w:rPr>
        <w:fldChar w:fldCharType="begin"/>
      </w:r>
      <w:r w:rsidR="009D4492">
        <w:rPr>
          <w:lang w:val="en-AU"/>
        </w:rPr>
        <w:instrText xml:space="preserve"> ADDIN EN.CITE &lt;EndNote&gt;&lt;Cite&gt;&lt;Author&gt;Smith&lt;/Author&gt;&lt;Year&gt;2016&lt;/Year&gt;&lt;RecNum&gt;35&lt;/RecNum&gt;&lt;DisplayText&gt;(Smith et al., 2016b)&lt;/DisplayText&gt;&lt;record&gt;&lt;rec-number&gt;35&lt;/rec-number&gt;&lt;foreign-keys&gt;&lt;key app="EN" db-id="vvtrt2pt4xpx5teta99vvtwg50vzve2aexae" timestamp="1493157366"&gt;35&lt;/key&gt;&lt;/foreign-keys&gt;&lt;ref-type name="Journal Article"&gt;17&lt;/ref-type&gt;&lt;contributors&gt;&lt;authors&gt;&lt;author&gt;Smith, Rachael A.&lt;/author&gt;&lt;author&gt;Warne, Michael St J.&lt;/author&gt;&lt;author&gt;Mengersen, Kerrie&lt;/author&gt;&lt;author&gt;Turner, Ryan D. R.&lt;/author&gt;&lt;/authors&gt;&lt;/contributors&gt;&lt;titles&gt;&lt;title&gt;An improved method for calculating toxicity-based pollutant loads: Part 2. Application to contaminants discharged to the Great Barrier Reef, Queensland, Australia&lt;/title&gt;&lt;secondary-title&gt;Integrated Environmental Assessment and Management&lt;/secondary-title&gt;&lt;/titles&gt;&lt;periodical&gt;&lt;full-title&gt;Integrated Environmental Assessment and Management&lt;/full-title&gt;&lt;/periodical&gt;&lt;pages&gt;In press&lt;/pages&gt;&lt;keywords&gt;&lt;keyword&gt;Great Barrier Reef&lt;/keyword&gt;&lt;keyword&gt;Pollutant loads&lt;/keyword&gt;&lt;keyword&gt;Photosystem II herbicides&lt;/keyword&gt;&lt;keyword&gt;Relative-potency&lt;/keyword&gt;&lt;keyword&gt;Toxic equivalency factor&lt;/keyword&gt;&lt;/keywords&gt;&lt;dates&gt;&lt;year&gt;2016&lt;/year&gt;&lt;/dates&gt;&lt;isbn&gt;1551-3793&lt;/isbn&gt;&lt;urls&gt;&lt;related-urls&gt;&lt;url&gt;http://dx.doi.org/10.1002/ieam.1860&lt;/url&gt;&lt;/related-urls&gt;&lt;/urls&gt;&lt;electronic-resource-num&gt;10.1002/ieam.1860&lt;/electronic-resource-num&gt;&lt;/record&gt;&lt;/Cite&gt;&lt;/EndNote&gt;</w:instrText>
      </w:r>
      <w:r w:rsidR="00C91BF5">
        <w:rPr>
          <w:lang w:val="en-AU"/>
        </w:rPr>
        <w:fldChar w:fldCharType="separate"/>
      </w:r>
      <w:r w:rsidR="009D4492">
        <w:rPr>
          <w:noProof/>
          <w:lang w:val="en-AU"/>
        </w:rPr>
        <w:t>(Smith et al., 2016b)</w:t>
      </w:r>
      <w:r w:rsidR="00C91BF5">
        <w:rPr>
          <w:lang w:val="en-AU"/>
        </w:rPr>
        <w:fldChar w:fldCharType="end"/>
      </w:r>
      <w:r>
        <w:rPr>
          <w:lang w:val="en-AU"/>
        </w:rPr>
        <w:t>, as well as the relative toxicity suggested by the proposed marine and freshwater guideline values</w:t>
      </w:r>
      <w:r w:rsidR="00271985">
        <w:rPr>
          <w:lang w:val="en-AU"/>
        </w:rPr>
        <w:t xml:space="preserve"> (comparing PC99 for each PSII herbicide)</w:t>
      </w:r>
      <w:r>
        <w:rPr>
          <w:lang w:val="en-AU"/>
        </w:rPr>
        <w:t xml:space="preserve">. For the ms-PAF approach, the relative toxicity of the herbicides is related to the alpha value, i.e. how ‘far’ each herbicide’s PC50 toxicity is from the normalised position on the HU scale (PC50 = 1 HU). </w:t>
      </w:r>
      <w:r>
        <w:rPr>
          <w:lang w:val="en-AU" w:eastAsia="en-AU"/>
        </w:rPr>
        <w:t xml:space="preserve">The metric 1/alpha is directly correlated to the relative toxicity of each PSII herbicide (high alpha, low toxicity, and vice versa). To make a comparison with RPFs (used to calculate PSII-HEq) and TEFs, each herbicide was assigned a value of 1/alpha which was then normalised relative to an assumed potency of 1 for the reference herbicide diuron (as for RPFs and TEFs). A similar approach was adopted for the GVs. Each </w:t>
      </w:r>
      <w:r w:rsidR="00271985">
        <w:rPr>
          <w:lang w:val="en-AU" w:eastAsia="en-AU"/>
        </w:rPr>
        <w:t xml:space="preserve">PC99 </w:t>
      </w:r>
      <w:r>
        <w:rPr>
          <w:lang w:val="en-AU" w:eastAsia="en-AU"/>
        </w:rPr>
        <w:t xml:space="preserve">GV is the concentration to protect 99% of species in an aquatic ecosystem and a high GV indicates a low toxicity </w:t>
      </w:r>
      <w:r w:rsidR="00A738EB">
        <w:rPr>
          <w:lang w:val="en-AU" w:eastAsia="en-AU"/>
        </w:rPr>
        <w:t>herbicide</w:t>
      </w:r>
      <w:r>
        <w:rPr>
          <w:lang w:val="en-AU" w:eastAsia="en-AU"/>
        </w:rPr>
        <w:t xml:space="preserve"> and vice versa. The relative potency of the </w:t>
      </w:r>
      <w:r w:rsidR="00A738EB">
        <w:rPr>
          <w:lang w:val="en-AU" w:eastAsia="en-AU"/>
        </w:rPr>
        <w:t>herbicides</w:t>
      </w:r>
      <w:r>
        <w:rPr>
          <w:lang w:val="en-AU" w:eastAsia="en-AU"/>
        </w:rPr>
        <w:t xml:space="preserve"> is therefore correlated with 1/GV. As for ms-PAF, 1/GV was assigned to each pesticide and then normalised relative to diuron (assumed potency of 1).</w:t>
      </w:r>
    </w:p>
    <w:p w14:paraId="2EC0C503" w14:textId="6BFA1EBD" w:rsidR="00892DD1" w:rsidRDefault="00892DD1" w:rsidP="00206785">
      <w:pPr>
        <w:spacing w:line="276" w:lineRule="auto"/>
        <w:rPr>
          <w:lang w:val="en-AU"/>
        </w:rPr>
      </w:pPr>
    </w:p>
    <w:p w14:paraId="3B702773" w14:textId="06223A71" w:rsidR="00892DD1" w:rsidRDefault="00892DD1" w:rsidP="00892DD1">
      <w:pPr>
        <w:spacing w:line="276" w:lineRule="auto"/>
        <w:rPr>
          <w:lang w:val="en-AU" w:eastAsia="en-AU"/>
        </w:rPr>
      </w:pPr>
      <w:r>
        <w:rPr>
          <w:lang w:val="en-AU" w:eastAsia="en-AU"/>
        </w:rPr>
        <w:t>The relative potencies of diuron (equal to 1) and atrazine (two of the three dominant PSII herbicides in the current monitoring year as well as historically) were almost identical</w:t>
      </w:r>
      <w:r w:rsidRPr="00955024">
        <w:rPr>
          <w:lang w:val="en-AU" w:eastAsia="en-AU"/>
        </w:rPr>
        <w:t xml:space="preserve"> </w:t>
      </w:r>
      <w:r>
        <w:rPr>
          <w:lang w:val="en-AU" w:eastAsia="en-AU"/>
        </w:rPr>
        <w:t xml:space="preserve">under the ms-PAF and the PSII-HEq approaches </w:t>
      </w:r>
      <w:r w:rsidRPr="00955024">
        <w:rPr>
          <w:lang w:val="en-AU" w:eastAsia="en-AU"/>
        </w:rPr>
        <w:t>(</w:t>
      </w:r>
      <w:r>
        <w:fldChar w:fldCharType="begin"/>
      </w:r>
      <w:r>
        <w:instrText xml:space="preserve"> REF _Ref480902103 \h  \* MERGEFORMAT </w:instrText>
      </w:r>
      <w:r>
        <w:fldChar w:fldCharType="separate"/>
      </w:r>
      <w:r w:rsidR="00D12276" w:rsidRPr="007037A4">
        <w:t xml:space="preserve">Figure </w:t>
      </w:r>
      <w:r w:rsidR="00D12276" w:rsidRPr="00D12276">
        <w:rPr>
          <w:noProof/>
        </w:rPr>
        <w:t>17</w:t>
      </w:r>
      <w:r>
        <w:fldChar w:fldCharType="end"/>
      </w:r>
      <w:r w:rsidR="0067299B">
        <w:t xml:space="preserve"> A</w:t>
      </w:r>
      <w:r>
        <w:rPr>
          <w:lang w:val="en-AU" w:eastAsia="en-AU"/>
        </w:rPr>
        <w:t xml:space="preserve">). It should be noted, however, that the alpha value for atrazine is being revised and therefore its relative potency compared to diuron is likely to change (the alpha value is expected to be lower and therefore ms-PAF overall toxicity may increase; R. Smith </w:t>
      </w:r>
      <w:r w:rsidRPr="00892DD1">
        <w:rPr>
          <w:i/>
          <w:lang w:val="en-AU" w:eastAsia="en-AU"/>
        </w:rPr>
        <w:t>(pers comm)</w:t>
      </w:r>
      <w:r>
        <w:rPr>
          <w:lang w:val="en-AU" w:eastAsia="en-AU"/>
        </w:rPr>
        <w:t xml:space="preserve">). The ms-PAF </w:t>
      </w:r>
      <w:r w:rsidR="00A738EB">
        <w:rPr>
          <w:lang w:val="en-AU" w:eastAsia="en-AU"/>
        </w:rPr>
        <w:t xml:space="preserve">relative </w:t>
      </w:r>
      <w:r>
        <w:rPr>
          <w:lang w:val="en-AU" w:eastAsia="en-AU"/>
        </w:rPr>
        <w:t xml:space="preserve">potency for hexazinone, the third most prevalent herbicide, was </w:t>
      </w:r>
      <w:r w:rsidR="00A738EB">
        <w:rPr>
          <w:lang w:val="en-AU" w:eastAsia="en-AU"/>
        </w:rPr>
        <w:t>marginally</w:t>
      </w:r>
      <w:r>
        <w:rPr>
          <w:lang w:val="en-AU" w:eastAsia="en-AU"/>
        </w:rPr>
        <w:t xml:space="preserve"> lower than the </w:t>
      </w:r>
      <w:r w:rsidR="00A738EB">
        <w:rPr>
          <w:lang w:val="en-AU" w:eastAsia="en-AU"/>
        </w:rPr>
        <w:t>RPF</w:t>
      </w:r>
      <w:r w:rsidR="0067299B">
        <w:rPr>
          <w:lang w:val="en-AU" w:eastAsia="en-AU"/>
        </w:rPr>
        <w:t xml:space="preserve"> </w:t>
      </w:r>
      <w:r w:rsidR="0067299B" w:rsidRPr="00955024">
        <w:rPr>
          <w:lang w:val="en-AU" w:eastAsia="en-AU"/>
        </w:rPr>
        <w:t>(</w:t>
      </w:r>
      <w:r w:rsidR="0067299B">
        <w:fldChar w:fldCharType="begin"/>
      </w:r>
      <w:r w:rsidR="0067299B">
        <w:instrText xml:space="preserve"> REF _Ref480902103 \h  \* MERGEFORMAT </w:instrText>
      </w:r>
      <w:r w:rsidR="0067299B">
        <w:fldChar w:fldCharType="separate"/>
      </w:r>
      <w:r w:rsidR="00D12276" w:rsidRPr="007037A4">
        <w:t xml:space="preserve">Figure </w:t>
      </w:r>
      <w:r w:rsidR="00D12276" w:rsidRPr="00D12276">
        <w:rPr>
          <w:noProof/>
        </w:rPr>
        <w:t>17</w:t>
      </w:r>
      <w:r w:rsidR="0067299B">
        <w:fldChar w:fldCharType="end"/>
      </w:r>
      <w:r w:rsidR="0067299B">
        <w:t xml:space="preserve"> A</w:t>
      </w:r>
      <w:r w:rsidR="0067299B">
        <w:rPr>
          <w:lang w:val="en-AU" w:eastAsia="en-AU"/>
        </w:rPr>
        <w:t>)</w:t>
      </w:r>
      <w:r>
        <w:rPr>
          <w:lang w:val="en-AU" w:eastAsia="en-AU"/>
        </w:rPr>
        <w:t>, which likely accounts for the slightly lower ms-PAF values for many samples through the year (</w:t>
      </w:r>
      <w:r>
        <w:fldChar w:fldCharType="begin"/>
      </w:r>
      <w:r>
        <w:instrText xml:space="preserve"> REF _Ref480898443 \h  \* MERGEFORMAT </w:instrText>
      </w:r>
      <w:r>
        <w:fldChar w:fldCharType="separate"/>
      </w:r>
      <w:r w:rsidR="00D12276" w:rsidRPr="00C15D0D">
        <w:t xml:space="preserve">Figure </w:t>
      </w:r>
      <w:r w:rsidR="00D12276" w:rsidRPr="00D12276">
        <w:rPr>
          <w:noProof/>
        </w:rPr>
        <w:t>16</w:t>
      </w:r>
      <w:r>
        <w:fldChar w:fldCharType="end"/>
      </w:r>
      <w:r>
        <w:rPr>
          <w:lang w:val="en-AU" w:eastAsia="en-AU"/>
        </w:rPr>
        <w:t xml:space="preserve">). For the other PSII herbicides, </w:t>
      </w:r>
      <w:r w:rsidR="00A738EB">
        <w:rPr>
          <w:lang w:val="en-AU" w:eastAsia="en-AU"/>
        </w:rPr>
        <w:t>tebuthiuron, simazine</w:t>
      </w:r>
      <w:r w:rsidR="005847EC">
        <w:rPr>
          <w:lang w:val="en-AU" w:eastAsia="en-AU"/>
        </w:rPr>
        <w:t>,</w:t>
      </w:r>
      <w:r w:rsidR="00A738EB">
        <w:rPr>
          <w:lang w:val="en-AU" w:eastAsia="en-AU"/>
        </w:rPr>
        <w:t xml:space="preserve"> </w:t>
      </w:r>
      <w:r w:rsidR="005847EC">
        <w:rPr>
          <w:lang w:val="en-AU" w:eastAsia="en-AU"/>
        </w:rPr>
        <w:t xml:space="preserve">prometryn </w:t>
      </w:r>
      <w:r w:rsidR="00A738EB">
        <w:rPr>
          <w:lang w:val="en-AU" w:eastAsia="en-AU"/>
        </w:rPr>
        <w:t>and fluometuron</w:t>
      </w:r>
      <w:r w:rsidR="005847EC">
        <w:rPr>
          <w:lang w:val="en-AU" w:eastAsia="en-AU"/>
        </w:rPr>
        <w:t>,</w:t>
      </w:r>
      <w:r w:rsidR="00A738EB">
        <w:rPr>
          <w:lang w:val="en-AU" w:eastAsia="en-AU"/>
        </w:rPr>
        <w:t xml:space="preserve"> </w:t>
      </w:r>
      <w:r w:rsidR="005847EC">
        <w:rPr>
          <w:lang w:val="en-AU" w:eastAsia="en-AU"/>
        </w:rPr>
        <w:t xml:space="preserve">the </w:t>
      </w:r>
      <w:r>
        <w:rPr>
          <w:lang w:val="en-AU" w:eastAsia="en-AU"/>
        </w:rPr>
        <w:t xml:space="preserve">concentrations </w:t>
      </w:r>
      <w:r w:rsidR="008F25EE">
        <w:rPr>
          <w:lang w:val="en-AU" w:eastAsia="en-AU"/>
        </w:rPr>
        <w:t xml:space="preserve">of these four PSII herbicides </w:t>
      </w:r>
      <w:r>
        <w:rPr>
          <w:lang w:val="en-AU" w:eastAsia="en-AU"/>
        </w:rPr>
        <w:t xml:space="preserve">in all samples </w:t>
      </w:r>
      <w:r w:rsidR="008F25EE">
        <w:rPr>
          <w:lang w:val="en-AU" w:eastAsia="en-AU"/>
        </w:rPr>
        <w:t xml:space="preserve">in the current monitoring year </w:t>
      </w:r>
      <w:r>
        <w:rPr>
          <w:lang w:val="en-AU" w:eastAsia="en-AU"/>
        </w:rPr>
        <w:t xml:space="preserve">were low and therefore any differences in relative potencies had </w:t>
      </w:r>
      <w:r w:rsidR="005847EC">
        <w:rPr>
          <w:lang w:val="en-AU" w:eastAsia="en-AU"/>
        </w:rPr>
        <w:t>a low</w:t>
      </w:r>
      <w:r>
        <w:rPr>
          <w:lang w:val="en-AU" w:eastAsia="en-AU"/>
        </w:rPr>
        <w:t xml:space="preserve"> effect</w:t>
      </w:r>
      <w:r w:rsidR="00A738EB">
        <w:rPr>
          <w:lang w:val="en-AU" w:eastAsia="en-AU"/>
        </w:rPr>
        <w:t xml:space="preserve"> on the overall risk value</w:t>
      </w:r>
      <w:r>
        <w:rPr>
          <w:lang w:val="en-AU" w:eastAsia="en-AU"/>
        </w:rPr>
        <w:t>.</w:t>
      </w:r>
    </w:p>
    <w:p w14:paraId="6F16CC87" w14:textId="77777777" w:rsidR="00892DD1" w:rsidRDefault="00892DD1" w:rsidP="00892DD1">
      <w:pPr>
        <w:spacing w:line="276" w:lineRule="auto"/>
        <w:rPr>
          <w:lang w:val="en-AU" w:eastAsia="en-AU"/>
        </w:rPr>
      </w:pPr>
    </w:p>
    <w:p w14:paraId="161E25C1" w14:textId="708D4B4E" w:rsidR="00892DD1" w:rsidRDefault="00892DD1" w:rsidP="00892DD1">
      <w:pPr>
        <w:spacing w:line="276" w:lineRule="auto"/>
        <w:rPr>
          <w:lang w:val="en-AU" w:eastAsia="en-AU"/>
        </w:rPr>
      </w:pPr>
      <w:r>
        <w:rPr>
          <w:lang w:val="en-AU" w:eastAsia="en-AU"/>
        </w:rPr>
        <w:t xml:space="preserve">There </w:t>
      </w:r>
      <w:r w:rsidR="008F25EE">
        <w:rPr>
          <w:lang w:val="en-AU" w:eastAsia="en-AU"/>
        </w:rPr>
        <w:t>we</w:t>
      </w:r>
      <w:r>
        <w:rPr>
          <w:lang w:val="en-AU" w:eastAsia="en-AU"/>
        </w:rPr>
        <w:t xml:space="preserve">re five additional herbicides included </w:t>
      </w:r>
      <w:r w:rsidR="008F25EE">
        <w:rPr>
          <w:lang w:val="en-AU" w:eastAsia="en-AU"/>
        </w:rPr>
        <w:t>in</w:t>
      </w:r>
      <w:r>
        <w:rPr>
          <w:lang w:val="en-AU" w:eastAsia="en-AU"/>
        </w:rPr>
        <w:t xml:space="preserve"> the ms-PAF </w:t>
      </w:r>
      <w:r w:rsidR="00A738EB">
        <w:rPr>
          <w:lang w:val="en-AU" w:eastAsia="en-AU"/>
        </w:rPr>
        <w:t>model</w:t>
      </w:r>
      <w:r>
        <w:rPr>
          <w:lang w:val="en-AU" w:eastAsia="en-AU"/>
        </w:rPr>
        <w:t xml:space="preserve"> this year for which RPFs have not been determined (bromicil, metribuzin, propazine, terbuthyl and t</w:t>
      </w:r>
      <w:r w:rsidRPr="001F484A">
        <w:rPr>
          <w:lang w:val="en-AU" w:eastAsia="en-AU"/>
        </w:rPr>
        <w:t>erbutryn</w:t>
      </w:r>
      <w:r>
        <w:rPr>
          <w:lang w:val="en-AU" w:eastAsia="en-AU"/>
        </w:rPr>
        <w:t xml:space="preserve">); however, most of these herbicides are, at present, at trace levels in </w:t>
      </w:r>
      <w:r w:rsidR="008F25EE">
        <w:rPr>
          <w:lang w:val="en-AU" w:eastAsia="en-AU"/>
        </w:rPr>
        <w:t xml:space="preserve">all </w:t>
      </w:r>
      <w:r>
        <w:rPr>
          <w:lang w:val="en-AU" w:eastAsia="en-AU"/>
        </w:rPr>
        <w:t xml:space="preserve">samples in this </w:t>
      </w:r>
      <w:r w:rsidR="008F25EE">
        <w:rPr>
          <w:lang w:val="en-AU" w:eastAsia="en-AU"/>
        </w:rPr>
        <w:t>report</w:t>
      </w:r>
      <w:r>
        <w:rPr>
          <w:lang w:val="en-AU" w:eastAsia="en-AU"/>
        </w:rPr>
        <w:t xml:space="preserve"> and so do not contribute to any notable difference in overall </w:t>
      </w:r>
      <w:r w:rsidR="00A738EB">
        <w:rPr>
          <w:lang w:val="en-AU" w:eastAsia="en-AU"/>
        </w:rPr>
        <w:t>risk</w:t>
      </w:r>
      <w:r>
        <w:rPr>
          <w:lang w:val="en-AU" w:eastAsia="en-AU"/>
        </w:rPr>
        <w:t xml:space="preserve"> between the two approaches.</w:t>
      </w:r>
    </w:p>
    <w:p w14:paraId="29D6A5A2" w14:textId="77777777" w:rsidR="00892DD1" w:rsidRDefault="00892DD1" w:rsidP="00892DD1">
      <w:pPr>
        <w:spacing w:line="276" w:lineRule="auto"/>
        <w:rPr>
          <w:lang w:val="en-AU" w:eastAsia="en-AU"/>
        </w:rPr>
      </w:pPr>
    </w:p>
    <w:p w14:paraId="157211B6" w14:textId="38D71B5D" w:rsidR="00F93781" w:rsidRDefault="00892DD1" w:rsidP="005C069F">
      <w:pPr>
        <w:spacing w:line="276" w:lineRule="auto"/>
        <w:rPr>
          <w:lang w:val="en-AU"/>
        </w:rPr>
      </w:pPr>
      <w:r>
        <w:rPr>
          <w:lang w:val="en-AU" w:eastAsia="en-AU"/>
        </w:rPr>
        <w:t xml:space="preserve">The TEF values reported in 2016 </w:t>
      </w:r>
      <w:r w:rsidR="008F25EE">
        <w:rPr>
          <w:lang w:val="en-AU" w:eastAsia="en-AU"/>
        </w:rPr>
        <w:t>we</w:t>
      </w:r>
      <w:r>
        <w:rPr>
          <w:lang w:val="en-AU" w:eastAsia="en-AU"/>
        </w:rPr>
        <w:t xml:space="preserve">re consistently lower than the relative potencies </w:t>
      </w:r>
      <w:r w:rsidR="00271985">
        <w:rPr>
          <w:lang w:val="en-AU" w:eastAsia="en-AU"/>
        </w:rPr>
        <w:t>of the PSII herbicides under the</w:t>
      </w:r>
      <w:r>
        <w:rPr>
          <w:lang w:val="en-AU" w:eastAsia="en-AU"/>
        </w:rPr>
        <w:t xml:space="preserve"> ms-PAF and PSII-HEq</w:t>
      </w:r>
      <w:r w:rsidR="00271985">
        <w:rPr>
          <w:lang w:val="en-AU" w:eastAsia="en-AU"/>
        </w:rPr>
        <w:t xml:space="preserve"> approaches</w:t>
      </w:r>
      <w:r>
        <w:rPr>
          <w:lang w:val="en-AU" w:eastAsia="en-AU"/>
        </w:rPr>
        <w:t xml:space="preserve">, ranging from 22% to 55% of the PSII RPF values for the four major PSIIs (other than diuron which is the assumed reference herbicide for both methods (RPF = TEF = 1)) </w:t>
      </w:r>
      <w:r w:rsidRPr="00955024">
        <w:rPr>
          <w:lang w:val="en-AU" w:eastAsia="en-AU"/>
        </w:rPr>
        <w:t>(</w:t>
      </w:r>
      <w:r>
        <w:fldChar w:fldCharType="begin"/>
      </w:r>
      <w:r>
        <w:instrText xml:space="preserve"> REF _Ref480902103 \h  \* MERGEFORMAT </w:instrText>
      </w:r>
      <w:r>
        <w:fldChar w:fldCharType="separate"/>
      </w:r>
      <w:r w:rsidR="00D12276" w:rsidRPr="007037A4">
        <w:t xml:space="preserve">Figure </w:t>
      </w:r>
      <w:r w:rsidR="00D12276" w:rsidRPr="00D12276">
        <w:rPr>
          <w:noProof/>
        </w:rPr>
        <w:t>17</w:t>
      </w:r>
      <w:r>
        <w:fldChar w:fldCharType="end"/>
      </w:r>
      <w:r w:rsidR="0067299B">
        <w:t xml:space="preserve"> A</w:t>
      </w:r>
      <w:r>
        <w:rPr>
          <w:lang w:val="en-AU" w:eastAsia="en-AU"/>
        </w:rPr>
        <w:t xml:space="preserve">). The TEFs are not used to define toxicity in the MMP program (end-of-catchment </w:t>
      </w:r>
      <w:r w:rsidR="00EB3763">
        <w:rPr>
          <w:lang w:val="en-AU" w:eastAsia="en-AU"/>
        </w:rPr>
        <w:t xml:space="preserve">diuron-equivalent loads </w:t>
      </w:r>
      <w:r>
        <w:rPr>
          <w:lang w:val="en-AU" w:eastAsia="en-AU"/>
        </w:rPr>
        <w:t xml:space="preserve">were recalculated for </w:t>
      </w:r>
      <w:r>
        <w:fldChar w:fldCharType="begin"/>
      </w:r>
      <w:r>
        <w:instrText xml:space="preserve"> REF _Ref480727733 \h  \* MERGEFORMAT </w:instrText>
      </w:r>
      <w:r>
        <w:fldChar w:fldCharType="separate"/>
      </w:r>
      <w:r w:rsidR="00D12276" w:rsidRPr="00210B7C">
        <w:t xml:space="preserve">Table </w:t>
      </w:r>
      <w:r w:rsidR="00D12276" w:rsidRPr="00D12276">
        <w:t>6</w:t>
      </w:r>
      <w:r>
        <w:fldChar w:fldCharType="end"/>
      </w:r>
      <w:r w:rsidRPr="00FB18BD">
        <w:rPr>
          <w:lang w:val="en-AU" w:eastAsia="en-AU"/>
        </w:rPr>
        <w:t xml:space="preserve"> u</w:t>
      </w:r>
      <w:r>
        <w:rPr>
          <w:lang w:val="en-AU" w:eastAsia="en-AU"/>
        </w:rPr>
        <w:t xml:space="preserve">sing the RPFs) and so further investigation was not undertaken at this stage. </w:t>
      </w:r>
      <w:r w:rsidR="00EB3763">
        <w:rPr>
          <w:lang w:val="en-AU" w:eastAsia="en-AU"/>
        </w:rPr>
        <w:t>It is worth noting that t</w:t>
      </w:r>
      <w:r w:rsidR="008F25EE">
        <w:rPr>
          <w:lang w:val="en-AU" w:eastAsia="en-AU"/>
        </w:rPr>
        <w:t>he ms-PAF model and the TEFs were developed for use in estuarine (mixed freshwater/marine systems)</w:t>
      </w:r>
      <w:r w:rsidR="00EB3763">
        <w:rPr>
          <w:lang w:val="en-AU" w:eastAsia="en-AU"/>
        </w:rPr>
        <w:t>. Therefore,</w:t>
      </w:r>
      <w:r w:rsidR="008F25EE">
        <w:rPr>
          <w:lang w:val="en-AU" w:eastAsia="en-AU"/>
        </w:rPr>
        <w:t xml:space="preserve"> w</w:t>
      </w:r>
      <w:r>
        <w:rPr>
          <w:lang w:val="en-AU" w:eastAsia="en-AU"/>
        </w:rPr>
        <w:t xml:space="preserve">hen comparing toxic loads reported elsewhere in Reef Plan, the differences in relative potency </w:t>
      </w:r>
      <w:r w:rsidR="008F25EE">
        <w:rPr>
          <w:lang w:val="en-AU" w:eastAsia="en-AU"/>
        </w:rPr>
        <w:t>for</w:t>
      </w:r>
      <w:r>
        <w:rPr>
          <w:lang w:val="en-AU" w:eastAsia="en-AU"/>
        </w:rPr>
        <w:t xml:space="preserve"> </w:t>
      </w:r>
      <w:r w:rsidR="008F25EE">
        <w:rPr>
          <w:lang w:val="en-AU" w:eastAsia="en-AU"/>
        </w:rPr>
        <w:t>the PSII herbicides</w:t>
      </w:r>
      <w:r>
        <w:rPr>
          <w:lang w:val="en-AU" w:eastAsia="en-AU"/>
        </w:rPr>
        <w:t xml:space="preserve"> </w:t>
      </w:r>
      <w:r w:rsidR="008F25EE">
        <w:rPr>
          <w:lang w:val="en-AU" w:eastAsia="en-AU"/>
        </w:rPr>
        <w:t xml:space="preserve">under the </w:t>
      </w:r>
      <w:r>
        <w:rPr>
          <w:lang w:val="en-AU" w:eastAsia="en-AU"/>
        </w:rPr>
        <w:t xml:space="preserve">ms-PAF </w:t>
      </w:r>
      <w:r w:rsidR="008F25EE">
        <w:rPr>
          <w:lang w:val="en-AU" w:eastAsia="en-AU"/>
        </w:rPr>
        <w:t>approach com</w:t>
      </w:r>
      <w:r w:rsidR="00EB3763">
        <w:rPr>
          <w:lang w:val="en-AU" w:eastAsia="en-AU"/>
        </w:rPr>
        <w:t>p</w:t>
      </w:r>
      <w:r w:rsidR="008F25EE">
        <w:rPr>
          <w:lang w:val="en-AU" w:eastAsia="en-AU"/>
        </w:rPr>
        <w:t xml:space="preserve">ared to the TEFs </w:t>
      </w:r>
      <w:r>
        <w:rPr>
          <w:lang w:val="en-AU" w:eastAsia="en-AU"/>
        </w:rPr>
        <w:t xml:space="preserve">should be </w:t>
      </w:r>
      <w:r w:rsidR="00EB3763">
        <w:rPr>
          <w:lang w:val="en-AU" w:eastAsia="en-AU"/>
        </w:rPr>
        <w:t>taken into consideration</w:t>
      </w:r>
      <w:r w:rsidR="005C069F">
        <w:rPr>
          <w:lang w:val="en-AU" w:eastAsia="en-AU"/>
        </w:rPr>
        <w:t>.</w:t>
      </w:r>
    </w:p>
    <w:p w14:paraId="157211B7" w14:textId="4EB0E47D" w:rsidR="003B2C80" w:rsidRPr="006760E3" w:rsidRDefault="0067299B" w:rsidP="006760E3">
      <w:pPr>
        <w:spacing w:line="276" w:lineRule="auto"/>
        <w:jc w:val="center"/>
        <w:rPr>
          <w:lang w:val="en-AU"/>
        </w:rPr>
      </w:pPr>
      <w:r w:rsidRPr="0067299B">
        <w:rPr>
          <w:noProof/>
          <w:lang w:val="en-AU" w:eastAsia="en-AU" w:bidi="ar-SA"/>
        </w:rPr>
        <w:drawing>
          <wp:inline distT="0" distB="0" distL="0" distR="0" wp14:anchorId="4261F0E7" wp14:editId="16DE4947">
            <wp:extent cx="5472938" cy="5848350"/>
            <wp:effectExtent l="0" t="0" r="0" b="0"/>
            <wp:docPr id="25" name="Picture 25" descr="Figure 17: Comparison of relative toxicity of PSII herbicides (same mode of action) based on (A) potency factors (RPF, used to derive PSII-HEq concentration),1/alpha (normalised to 1 for diuron the reference herbicide, used to determine the percentage of species effected under the ms-PAF method) and toxic equivalency factor (TEF, used to determine toxic loads (Smith et al., 2016b)) and (B) 1/alpha (ms-PAF) compared to proposed guideline values for both freshwater and marine (derived as 1/GV and normalized to diuron = 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62">
                      <a:extLst>
                        <a:ext uri="{28A0092B-C50C-407E-A947-70E740481C1C}">
                          <a14:useLocalDpi xmlns:a14="http://schemas.microsoft.com/office/drawing/2010/main" val="0"/>
                        </a:ext>
                      </a:extLst>
                    </a:blip>
                    <a:srcRect b="7471"/>
                    <a:stretch/>
                  </pic:blipFill>
                  <pic:spPr bwMode="auto">
                    <a:xfrm>
                      <a:off x="0" y="0"/>
                      <a:ext cx="5482604" cy="5858679"/>
                    </a:xfrm>
                    <a:prstGeom prst="rect">
                      <a:avLst/>
                    </a:prstGeom>
                    <a:noFill/>
                    <a:ln>
                      <a:noFill/>
                    </a:ln>
                    <a:extLst>
                      <a:ext uri="{53640926-AAD7-44D8-BBD7-CCE9431645EC}">
                        <a14:shadowObscured xmlns:a14="http://schemas.microsoft.com/office/drawing/2010/main"/>
                      </a:ext>
                    </a:extLst>
                  </pic:spPr>
                </pic:pic>
              </a:graphicData>
            </a:graphic>
          </wp:inline>
        </w:drawing>
      </w:r>
    </w:p>
    <w:p w14:paraId="157211B8" w14:textId="7038B18E" w:rsidR="00F93781" w:rsidRPr="007037A4" w:rsidRDefault="007037A4" w:rsidP="00337450">
      <w:pPr>
        <w:pStyle w:val="Caption"/>
        <w:spacing w:line="276" w:lineRule="auto"/>
        <w:jc w:val="both"/>
        <w:rPr>
          <w:b w:val="0"/>
          <w:lang w:val="en-AU"/>
        </w:rPr>
      </w:pPr>
      <w:bookmarkStart w:id="730" w:name="_Ref480902103"/>
      <w:bookmarkStart w:id="731" w:name="_Toc502499947"/>
      <w:r w:rsidRPr="007037A4">
        <w:rPr>
          <w:b w:val="0"/>
        </w:rPr>
        <w:t xml:space="preserve">Figure </w:t>
      </w:r>
      <w:r w:rsidR="00C91BF5" w:rsidRPr="007037A4">
        <w:rPr>
          <w:b w:val="0"/>
        </w:rPr>
        <w:fldChar w:fldCharType="begin"/>
      </w:r>
      <w:r w:rsidRPr="007037A4">
        <w:rPr>
          <w:b w:val="0"/>
        </w:rPr>
        <w:instrText xml:space="preserve"> SEQ Figure \* ARABIC </w:instrText>
      </w:r>
      <w:r w:rsidR="00C91BF5" w:rsidRPr="007037A4">
        <w:rPr>
          <w:b w:val="0"/>
        </w:rPr>
        <w:fldChar w:fldCharType="separate"/>
      </w:r>
      <w:r w:rsidR="00D12276">
        <w:rPr>
          <w:b w:val="0"/>
          <w:noProof/>
        </w:rPr>
        <w:t>17</w:t>
      </w:r>
      <w:r w:rsidR="00C91BF5" w:rsidRPr="007037A4">
        <w:rPr>
          <w:b w:val="0"/>
        </w:rPr>
        <w:fldChar w:fldCharType="end"/>
      </w:r>
      <w:bookmarkEnd w:id="730"/>
      <w:r>
        <w:rPr>
          <w:b w:val="0"/>
        </w:rPr>
        <w:t xml:space="preserve">: </w:t>
      </w:r>
      <w:r w:rsidR="009E6CDC">
        <w:rPr>
          <w:b w:val="0"/>
        </w:rPr>
        <w:t xml:space="preserve">Comparison of </w:t>
      </w:r>
      <w:r>
        <w:rPr>
          <w:b w:val="0"/>
        </w:rPr>
        <w:t xml:space="preserve">relative </w:t>
      </w:r>
      <w:r w:rsidR="00A47E14">
        <w:rPr>
          <w:b w:val="0"/>
        </w:rPr>
        <w:t>toxicity of PSII herbicides (same mode of action) based on (</w:t>
      </w:r>
      <w:r w:rsidR="006B5BEC">
        <w:rPr>
          <w:b w:val="0"/>
        </w:rPr>
        <w:t>A</w:t>
      </w:r>
      <w:r w:rsidR="00A47E14">
        <w:rPr>
          <w:b w:val="0"/>
        </w:rPr>
        <w:t xml:space="preserve">) </w:t>
      </w:r>
      <w:r>
        <w:rPr>
          <w:b w:val="0"/>
        </w:rPr>
        <w:t>potency factor</w:t>
      </w:r>
      <w:r w:rsidR="009E6CDC">
        <w:rPr>
          <w:b w:val="0"/>
        </w:rPr>
        <w:t>s</w:t>
      </w:r>
      <w:r>
        <w:rPr>
          <w:b w:val="0"/>
        </w:rPr>
        <w:t xml:space="preserve"> (</w:t>
      </w:r>
      <w:r w:rsidR="009E6CDC">
        <w:rPr>
          <w:b w:val="0"/>
        </w:rPr>
        <w:t xml:space="preserve">RPF, </w:t>
      </w:r>
      <w:r>
        <w:rPr>
          <w:b w:val="0"/>
        </w:rPr>
        <w:t>used to derive PSII-HEq concentration),1/alpha (</w:t>
      </w:r>
      <w:r w:rsidR="00FB18BD">
        <w:rPr>
          <w:b w:val="0"/>
        </w:rPr>
        <w:t xml:space="preserve">normalised to 1 for diuron the reference herbicide, </w:t>
      </w:r>
      <w:r>
        <w:rPr>
          <w:b w:val="0"/>
        </w:rPr>
        <w:t>used to determine the per</w:t>
      </w:r>
      <w:r w:rsidR="009E6CDC">
        <w:rPr>
          <w:b w:val="0"/>
        </w:rPr>
        <w:t>c</w:t>
      </w:r>
      <w:r>
        <w:rPr>
          <w:b w:val="0"/>
        </w:rPr>
        <w:t xml:space="preserve">entage of </w:t>
      </w:r>
      <w:r w:rsidR="009E6CDC">
        <w:rPr>
          <w:b w:val="0"/>
        </w:rPr>
        <w:t xml:space="preserve">species </w:t>
      </w:r>
      <w:r>
        <w:rPr>
          <w:b w:val="0"/>
        </w:rPr>
        <w:t xml:space="preserve">effected </w:t>
      </w:r>
      <w:r w:rsidR="009E6CDC">
        <w:rPr>
          <w:b w:val="0"/>
        </w:rPr>
        <w:t xml:space="preserve">under the ms-PAF method) and </w:t>
      </w:r>
      <w:r w:rsidR="009E6CDC" w:rsidRPr="009E6CDC">
        <w:rPr>
          <w:b w:val="0"/>
        </w:rPr>
        <w:t>toxic equivalency factor</w:t>
      </w:r>
      <w:r w:rsidR="009E6CDC">
        <w:rPr>
          <w:b w:val="0"/>
        </w:rPr>
        <w:t xml:space="preserve"> (TEF, used to determine toxic loads </w:t>
      </w:r>
      <w:r w:rsidR="00C91BF5">
        <w:rPr>
          <w:b w:val="0"/>
        </w:rPr>
        <w:fldChar w:fldCharType="begin"/>
      </w:r>
      <w:r w:rsidR="009D4492">
        <w:rPr>
          <w:b w:val="0"/>
        </w:rPr>
        <w:instrText xml:space="preserve"> ADDIN EN.CITE &lt;EndNote&gt;&lt;Cite&gt;&lt;Author&gt;Smith&lt;/Author&gt;&lt;Year&gt;2016&lt;/Year&gt;&lt;RecNum&gt;35&lt;/RecNum&gt;&lt;DisplayText&gt;(Smith et al., 2016b)&lt;/DisplayText&gt;&lt;record&gt;&lt;rec-number&gt;35&lt;/rec-number&gt;&lt;foreign-keys&gt;&lt;key app="EN" db-id="vvtrt2pt4xpx5teta99vvtwg50vzve2aexae" timestamp="1493157366"&gt;35&lt;/key&gt;&lt;/foreign-keys&gt;&lt;ref-type name="Journal Article"&gt;17&lt;/ref-type&gt;&lt;contributors&gt;&lt;authors&gt;&lt;author&gt;Smith, Rachael A.&lt;/author&gt;&lt;author&gt;Warne, Michael St J.&lt;/author&gt;&lt;author&gt;Mengersen, Kerrie&lt;/author&gt;&lt;author&gt;Turner, Ryan D. R.&lt;/author&gt;&lt;/authors&gt;&lt;/contributors&gt;&lt;titles&gt;&lt;title&gt;An improved method for calculating toxicity-based pollutant loads: Part 2. Application to contaminants discharged to the Great Barrier Reef, Queensland, Australia&lt;/title&gt;&lt;secondary-title&gt;Integrated Environmental Assessment and Management&lt;/secondary-title&gt;&lt;/titles&gt;&lt;periodical&gt;&lt;full-title&gt;Integrated Environmental Assessment and Management&lt;/full-title&gt;&lt;/periodical&gt;&lt;pages&gt;In press&lt;/pages&gt;&lt;keywords&gt;&lt;keyword&gt;Great Barrier Reef&lt;/keyword&gt;&lt;keyword&gt;Pollutant loads&lt;/keyword&gt;&lt;keyword&gt;Photosystem II herbicides&lt;/keyword&gt;&lt;keyword&gt;Relative-potency&lt;/keyword&gt;&lt;keyword&gt;Toxic equivalency factor&lt;/keyword&gt;&lt;/keywords&gt;&lt;dates&gt;&lt;year&gt;2016&lt;/year&gt;&lt;/dates&gt;&lt;isbn&gt;1551-3793&lt;/isbn&gt;&lt;urls&gt;&lt;related-urls&gt;&lt;url&gt;http://dx.doi.org/10.1002/ieam.1860&lt;/url&gt;&lt;/related-urls&gt;&lt;/urls&gt;&lt;electronic-resource-num&gt;10.1002/ieam.1860&lt;/electronic-resource-num&gt;&lt;/record&gt;&lt;/Cite&gt;&lt;/EndNote&gt;</w:instrText>
      </w:r>
      <w:r w:rsidR="00C91BF5">
        <w:rPr>
          <w:b w:val="0"/>
        </w:rPr>
        <w:fldChar w:fldCharType="separate"/>
      </w:r>
      <w:r w:rsidR="009D4492">
        <w:rPr>
          <w:b w:val="0"/>
          <w:noProof/>
        </w:rPr>
        <w:t>(Smith et al., 2016b)</w:t>
      </w:r>
      <w:r w:rsidR="00C91BF5">
        <w:rPr>
          <w:b w:val="0"/>
        </w:rPr>
        <w:fldChar w:fldCharType="end"/>
      </w:r>
      <w:r w:rsidR="009E6CDC">
        <w:rPr>
          <w:b w:val="0"/>
        </w:rPr>
        <w:t xml:space="preserve">) </w:t>
      </w:r>
      <w:r w:rsidR="00A47E14">
        <w:rPr>
          <w:b w:val="0"/>
        </w:rPr>
        <w:t>and (</w:t>
      </w:r>
      <w:r w:rsidR="00E45FCB">
        <w:rPr>
          <w:b w:val="0"/>
        </w:rPr>
        <w:t>B</w:t>
      </w:r>
      <w:r w:rsidR="00A47E14">
        <w:rPr>
          <w:b w:val="0"/>
        </w:rPr>
        <w:t>) 1/alpha (ms-PAF) compared to proposed guideline values for both freshwater and marine (derived as 1/GV and normalized to diuron = 1)</w:t>
      </w:r>
      <w:r w:rsidR="00337450">
        <w:rPr>
          <w:b w:val="0"/>
        </w:rPr>
        <w:t>. *Relative potency of atrazine under the ms-PAF model is currently being revised and is presented here based on an old value.</w:t>
      </w:r>
      <w:r w:rsidR="0067299B">
        <w:rPr>
          <w:b w:val="0"/>
        </w:rPr>
        <w:t xml:space="preserve"> </w:t>
      </w:r>
      <w:r w:rsidR="0067299B">
        <w:rPr>
          <w:rFonts w:cs="Arial"/>
          <w:b w:val="0"/>
        </w:rPr>
        <w:t>‡</w:t>
      </w:r>
      <w:r w:rsidR="0067299B">
        <w:rPr>
          <w:b w:val="0"/>
        </w:rPr>
        <w:t xml:space="preserve"> Values are not currently available.</w:t>
      </w:r>
      <w:bookmarkEnd w:id="731"/>
    </w:p>
    <w:p w14:paraId="157211B9" w14:textId="77777777" w:rsidR="00F93781" w:rsidRDefault="00F93781" w:rsidP="00F97374">
      <w:pPr>
        <w:spacing w:line="276" w:lineRule="auto"/>
        <w:jc w:val="left"/>
        <w:rPr>
          <w:sz w:val="18"/>
          <w:lang w:val="en-AU"/>
        </w:rPr>
      </w:pPr>
    </w:p>
    <w:p w14:paraId="3B97F557" w14:textId="77777777" w:rsidR="00EB3763" w:rsidRDefault="00337450" w:rsidP="00206785">
      <w:pPr>
        <w:spacing w:line="276" w:lineRule="auto"/>
        <w:rPr>
          <w:lang w:val="en-AU" w:eastAsia="en-AU"/>
        </w:rPr>
      </w:pPr>
      <w:r>
        <w:rPr>
          <w:lang w:val="en-AU" w:eastAsia="en-AU"/>
        </w:rPr>
        <w:t xml:space="preserve">Comparison of the relative potency </w:t>
      </w:r>
      <w:r w:rsidR="003A22DC">
        <w:rPr>
          <w:lang w:val="en-AU" w:eastAsia="en-AU"/>
        </w:rPr>
        <w:t xml:space="preserve">of </w:t>
      </w:r>
      <w:r w:rsidR="0067299B">
        <w:rPr>
          <w:lang w:val="en-AU" w:eastAsia="en-AU"/>
        </w:rPr>
        <w:t>PSII herbicides</w:t>
      </w:r>
      <w:r w:rsidR="003A22DC">
        <w:rPr>
          <w:lang w:val="en-AU" w:eastAsia="en-AU"/>
        </w:rPr>
        <w:t xml:space="preserve"> under</w:t>
      </w:r>
      <w:r>
        <w:rPr>
          <w:lang w:val="en-AU" w:eastAsia="en-AU"/>
        </w:rPr>
        <w:t xml:space="preserve"> the freshwater and marine GVs</w:t>
      </w:r>
      <w:r w:rsidR="003A22DC">
        <w:rPr>
          <w:lang w:val="en-AU" w:eastAsia="en-AU"/>
        </w:rPr>
        <w:t xml:space="preserve"> with ms-PAF</w:t>
      </w:r>
      <w:r>
        <w:rPr>
          <w:lang w:val="en-AU" w:eastAsia="en-AU"/>
        </w:rPr>
        <w:t xml:space="preserve">, indicated </w:t>
      </w:r>
      <w:r w:rsidR="003A22DC">
        <w:rPr>
          <w:lang w:val="en-AU" w:eastAsia="en-AU"/>
        </w:rPr>
        <w:t xml:space="preserve">that for some </w:t>
      </w:r>
      <w:r w:rsidR="00EB3763">
        <w:rPr>
          <w:lang w:val="en-AU" w:eastAsia="en-AU"/>
        </w:rPr>
        <w:t xml:space="preserve">herbicides, </w:t>
      </w:r>
      <w:r w:rsidR="003A22DC">
        <w:rPr>
          <w:lang w:val="en-AU" w:eastAsia="en-AU"/>
        </w:rPr>
        <w:t xml:space="preserve">freshwater GVs and ms-PAF relative potencies were consistent (e.g. prometryn and terbutryn) </w:t>
      </w:r>
      <w:r w:rsidR="00C12284">
        <w:rPr>
          <w:lang w:val="en-AU" w:eastAsia="en-AU"/>
        </w:rPr>
        <w:t>whilst</w:t>
      </w:r>
      <w:r w:rsidR="003A22DC">
        <w:rPr>
          <w:lang w:val="en-AU" w:eastAsia="en-AU"/>
        </w:rPr>
        <w:t xml:space="preserve"> for others, marine GVs and ms-PAF were consistent (e.g. propazine) (</w:t>
      </w:r>
      <w:r w:rsidR="002A77E1">
        <w:fldChar w:fldCharType="begin"/>
      </w:r>
      <w:r w:rsidR="002A77E1">
        <w:instrText xml:space="preserve"> REF _Ref480902103 \h  \* MERGEFORMAT </w:instrText>
      </w:r>
      <w:r w:rsidR="002A77E1">
        <w:fldChar w:fldCharType="separate"/>
      </w:r>
      <w:r w:rsidR="00D12276" w:rsidRPr="007037A4">
        <w:t xml:space="preserve">Figure </w:t>
      </w:r>
      <w:r w:rsidR="00D12276" w:rsidRPr="00D12276">
        <w:rPr>
          <w:noProof/>
        </w:rPr>
        <w:t>17</w:t>
      </w:r>
      <w:r w:rsidR="002A77E1">
        <w:fldChar w:fldCharType="end"/>
      </w:r>
      <w:r w:rsidR="0067299B">
        <w:t xml:space="preserve"> B</w:t>
      </w:r>
      <w:r w:rsidR="003A22DC">
        <w:rPr>
          <w:lang w:val="en-AU" w:eastAsia="en-AU"/>
        </w:rPr>
        <w:t xml:space="preserve">). </w:t>
      </w:r>
      <w:r w:rsidR="00C12284">
        <w:rPr>
          <w:lang w:val="en-AU" w:eastAsia="en-AU"/>
        </w:rPr>
        <w:t xml:space="preserve">This </w:t>
      </w:r>
      <w:r w:rsidR="0067299B">
        <w:rPr>
          <w:lang w:val="en-AU" w:eastAsia="en-AU"/>
        </w:rPr>
        <w:t>possibly</w:t>
      </w:r>
      <w:r w:rsidR="00C12284">
        <w:rPr>
          <w:lang w:val="en-AU" w:eastAsia="en-AU"/>
        </w:rPr>
        <w:t xml:space="preserve"> reflects the inclusion of different freshwater and marine species in the ms-PAF for different </w:t>
      </w:r>
      <w:r w:rsidR="0067299B">
        <w:rPr>
          <w:lang w:val="en-AU" w:eastAsia="en-AU"/>
        </w:rPr>
        <w:t>herbicides</w:t>
      </w:r>
      <w:r w:rsidR="00C12284">
        <w:rPr>
          <w:lang w:val="en-AU" w:eastAsia="en-AU"/>
        </w:rPr>
        <w:t xml:space="preserve">. </w:t>
      </w:r>
      <w:r w:rsidR="003A22DC">
        <w:rPr>
          <w:lang w:val="en-AU" w:eastAsia="en-AU"/>
        </w:rPr>
        <w:t xml:space="preserve">In other cases, </w:t>
      </w:r>
      <w:r w:rsidR="00C12284">
        <w:rPr>
          <w:lang w:val="en-AU" w:eastAsia="en-AU"/>
        </w:rPr>
        <w:t>both</w:t>
      </w:r>
      <w:r w:rsidR="003A22DC">
        <w:rPr>
          <w:lang w:val="en-AU" w:eastAsia="en-AU"/>
        </w:rPr>
        <w:t xml:space="preserve"> GV relative potencies differed notably from the ms-PAF values (e.g. ametryn and bromacil)</w:t>
      </w:r>
      <w:r w:rsidR="00C12284">
        <w:rPr>
          <w:lang w:val="en-AU" w:eastAsia="en-AU"/>
        </w:rPr>
        <w:t xml:space="preserve"> and some GV </w:t>
      </w:r>
      <w:r w:rsidR="003A22DC">
        <w:rPr>
          <w:lang w:val="en-AU" w:eastAsia="en-AU"/>
        </w:rPr>
        <w:t>relative potencies, especially for the marine value</w:t>
      </w:r>
      <w:r w:rsidR="00C12284">
        <w:rPr>
          <w:lang w:val="en-AU" w:eastAsia="en-AU"/>
        </w:rPr>
        <w:t>s</w:t>
      </w:r>
      <w:r w:rsidR="003A22DC">
        <w:rPr>
          <w:lang w:val="en-AU" w:eastAsia="en-AU"/>
        </w:rPr>
        <w:t xml:space="preserve">, were </w:t>
      </w:r>
      <w:r w:rsidR="00EB3763">
        <w:rPr>
          <w:lang w:val="en-AU" w:eastAsia="en-AU"/>
        </w:rPr>
        <w:t>notably</w:t>
      </w:r>
      <w:r w:rsidR="003A22DC">
        <w:rPr>
          <w:lang w:val="en-AU" w:eastAsia="en-AU"/>
        </w:rPr>
        <w:t xml:space="preserve"> high (</w:t>
      </w:r>
      <w:r w:rsidR="002A77E1">
        <w:fldChar w:fldCharType="begin"/>
      </w:r>
      <w:r w:rsidR="002A77E1">
        <w:instrText xml:space="preserve"> REF _Ref480902103 \h  \* MERGEFORMAT </w:instrText>
      </w:r>
      <w:r w:rsidR="002A77E1">
        <w:fldChar w:fldCharType="separate"/>
      </w:r>
      <w:r w:rsidR="00D12276" w:rsidRPr="007037A4">
        <w:t xml:space="preserve">Figure </w:t>
      </w:r>
      <w:r w:rsidR="00D12276" w:rsidRPr="00D12276">
        <w:rPr>
          <w:noProof/>
        </w:rPr>
        <w:t>17</w:t>
      </w:r>
      <w:r w:rsidR="002A77E1">
        <w:fldChar w:fldCharType="end"/>
      </w:r>
      <w:r w:rsidR="00EB3763">
        <w:t xml:space="preserve"> B</w:t>
      </w:r>
      <w:r w:rsidR="003A22DC">
        <w:rPr>
          <w:lang w:val="en-AU" w:eastAsia="en-AU"/>
        </w:rPr>
        <w:t xml:space="preserve">). </w:t>
      </w:r>
    </w:p>
    <w:p w14:paraId="1BEBB104" w14:textId="77777777" w:rsidR="00EB3763" w:rsidRDefault="00EB3763" w:rsidP="00206785">
      <w:pPr>
        <w:spacing w:line="276" w:lineRule="auto"/>
        <w:rPr>
          <w:lang w:val="en-AU" w:eastAsia="en-AU"/>
        </w:rPr>
      </w:pPr>
    </w:p>
    <w:p w14:paraId="157211BD" w14:textId="67692CE8" w:rsidR="00337450" w:rsidRDefault="00C12284" w:rsidP="00206785">
      <w:pPr>
        <w:spacing w:line="276" w:lineRule="auto"/>
        <w:rPr>
          <w:lang w:val="en-AU" w:eastAsia="en-AU"/>
        </w:rPr>
      </w:pPr>
      <w:r>
        <w:rPr>
          <w:lang w:val="en-AU" w:eastAsia="en-AU"/>
        </w:rPr>
        <w:t>Th</w:t>
      </w:r>
      <w:r w:rsidR="00EB3763">
        <w:rPr>
          <w:lang w:val="en-AU" w:eastAsia="en-AU"/>
        </w:rPr>
        <w:t>e</w:t>
      </w:r>
      <w:r w:rsidR="005847EC">
        <w:rPr>
          <w:lang w:val="en-AU" w:eastAsia="en-AU"/>
        </w:rPr>
        <w:t xml:space="preserve"> above </w:t>
      </w:r>
      <w:r>
        <w:rPr>
          <w:lang w:val="en-AU" w:eastAsia="en-AU"/>
        </w:rPr>
        <w:t>comparison</w:t>
      </w:r>
      <w:r w:rsidR="00EB3763">
        <w:rPr>
          <w:lang w:val="en-AU" w:eastAsia="en-AU"/>
        </w:rPr>
        <w:t>s</w:t>
      </w:r>
      <w:r>
        <w:rPr>
          <w:lang w:val="en-AU" w:eastAsia="en-AU"/>
        </w:rPr>
        <w:t xml:space="preserve"> </w:t>
      </w:r>
      <w:r w:rsidR="00EB3763">
        <w:rPr>
          <w:lang w:val="en-AU" w:eastAsia="en-AU"/>
        </w:rPr>
        <w:t>suggest</w:t>
      </w:r>
      <w:r>
        <w:rPr>
          <w:lang w:val="en-AU" w:eastAsia="en-AU"/>
        </w:rPr>
        <w:t xml:space="preserve"> that in addition to understanding the PC99 and other risk threshold values across the various risk assessment approaches (proposed GVs, ms-PAF </w:t>
      </w:r>
      <w:r w:rsidR="00EB3763">
        <w:rPr>
          <w:lang w:val="en-AU" w:eastAsia="en-AU"/>
        </w:rPr>
        <w:t xml:space="preserve">PC99 </w:t>
      </w:r>
      <w:r>
        <w:rPr>
          <w:lang w:val="en-AU" w:eastAsia="en-AU"/>
        </w:rPr>
        <w:t>and PSII-HEq Index</w:t>
      </w:r>
      <w:r w:rsidR="00EB3763">
        <w:rPr>
          <w:lang w:val="en-AU" w:eastAsia="en-AU"/>
        </w:rPr>
        <w:t xml:space="preserve"> categories)</w:t>
      </w:r>
      <w:r>
        <w:rPr>
          <w:lang w:val="en-AU" w:eastAsia="en-AU"/>
        </w:rPr>
        <w:t xml:space="preserve">, it is also important to understand the relative potencies of the </w:t>
      </w:r>
      <w:r w:rsidR="00EB3763">
        <w:rPr>
          <w:lang w:val="en-AU" w:eastAsia="en-AU"/>
        </w:rPr>
        <w:t>herbicides</w:t>
      </w:r>
      <w:r>
        <w:rPr>
          <w:lang w:val="en-AU" w:eastAsia="en-AU"/>
        </w:rPr>
        <w:t xml:space="preserve"> and elucidate the underlying reasons for any differences so that potency factors can be applied consistently throughout Reef Plan.</w:t>
      </w:r>
    </w:p>
    <w:p w14:paraId="157211BE" w14:textId="77777777" w:rsidR="009F4B5D" w:rsidRPr="00600752" w:rsidRDefault="009F4B5D" w:rsidP="00F97374">
      <w:pPr>
        <w:spacing w:line="276" w:lineRule="auto"/>
        <w:rPr>
          <w:sz w:val="20"/>
          <w:lang w:val="en-AU" w:eastAsia="en-AU"/>
        </w:rPr>
      </w:pPr>
    </w:p>
    <w:p w14:paraId="4AF2FB89" w14:textId="21458D84" w:rsidR="00AC79DE" w:rsidRPr="00E20CE8" w:rsidRDefault="00AC79DE" w:rsidP="00AC79DE">
      <w:pPr>
        <w:spacing w:before="120" w:after="60" w:line="276" w:lineRule="auto"/>
        <w:ind w:left="567" w:hanging="567"/>
        <w:jc w:val="left"/>
        <w:rPr>
          <w:b/>
          <w:lang w:val="en-AU"/>
        </w:rPr>
      </w:pPr>
      <w:r>
        <w:rPr>
          <w:b/>
          <w:lang w:val="en-AU"/>
        </w:rPr>
        <w:t>Conclusions</w:t>
      </w:r>
    </w:p>
    <w:p w14:paraId="00082D5B" w14:textId="2B010D6C" w:rsidR="00EB3763" w:rsidRDefault="00C12284" w:rsidP="001B15B4">
      <w:pPr>
        <w:spacing w:line="276" w:lineRule="auto"/>
      </w:pPr>
      <w:r>
        <w:rPr>
          <w:lang w:val="en-AU" w:eastAsia="en-AU"/>
        </w:rPr>
        <w:t>In conclusion, t</w:t>
      </w:r>
      <w:r w:rsidR="002F33A3">
        <w:rPr>
          <w:lang w:val="en-AU" w:eastAsia="en-AU"/>
        </w:rPr>
        <w:t>he ms-PAF</w:t>
      </w:r>
      <w:r w:rsidR="005847EC">
        <w:rPr>
          <w:lang w:val="en-AU" w:eastAsia="en-AU"/>
        </w:rPr>
        <w:t xml:space="preserve"> model</w:t>
      </w:r>
      <w:r w:rsidR="002F33A3" w:rsidRPr="002F33A3">
        <w:t xml:space="preserve"> </w:t>
      </w:r>
      <w:r w:rsidR="002F33A3">
        <w:rPr>
          <w:lang w:val="en-AU" w:eastAsia="en-AU"/>
        </w:rPr>
        <w:t xml:space="preserve">is a </w:t>
      </w:r>
      <w:r w:rsidR="002F33A3">
        <w:t xml:space="preserve">recognised and recommended approach </w:t>
      </w:r>
      <w:r w:rsidR="002F33A3" w:rsidRPr="002F33A3">
        <w:rPr>
          <w:lang w:val="en-AU" w:eastAsia="en-AU"/>
        </w:rPr>
        <w:t>to quantify the overall ecological risk of mixtures</w:t>
      </w:r>
      <w:r w:rsidR="002F33A3">
        <w:t xml:space="preserve"> and will be a highly valuable risk assessment tool particularly when pesticides with other modes of action can be incorporated using the </w:t>
      </w:r>
      <w:r w:rsidR="00C61B1C" w:rsidRPr="00C61B1C">
        <w:t>response addition (RA)</w:t>
      </w:r>
      <w:r w:rsidR="00C61B1C">
        <w:t xml:space="preserve"> model</w:t>
      </w:r>
      <w:r w:rsidR="002F33A3">
        <w:t xml:space="preserve">. </w:t>
      </w:r>
      <w:r w:rsidR="00FB18BD">
        <w:t xml:space="preserve">Refinement of the SSDs underlying the ms-PAF model is on-going and a review of the overall approach </w:t>
      </w:r>
      <w:r w:rsidR="00FB18BD" w:rsidRPr="00FB18BD">
        <w:t>is being undertaken</w:t>
      </w:r>
      <w:r w:rsidR="00AC08B0">
        <w:t xml:space="preserve"> by DSITI. T</w:t>
      </w:r>
      <w:r w:rsidR="00FB18BD" w:rsidRPr="00FB18BD">
        <w:t>he revised model will be revisited in 2016-17</w:t>
      </w:r>
      <w:r w:rsidR="00C61B1C">
        <w:t>, if relevant</w:t>
      </w:r>
      <w:r w:rsidR="00FB18BD" w:rsidRPr="00FB18BD">
        <w:t xml:space="preserve">. </w:t>
      </w:r>
    </w:p>
    <w:p w14:paraId="341DB32B" w14:textId="77777777" w:rsidR="00EB3763" w:rsidRDefault="00EB3763" w:rsidP="001B15B4">
      <w:pPr>
        <w:spacing w:line="276" w:lineRule="auto"/>
      </w:pPr>
    </w:p>
    <w:p w14:paraId="6F0A8F2D" w14:textId="523B1081" w:rsidR="000009BB" w:rsidRDefault="00FB18BD" w:rsidP="001B15B4">
      <w:pPr>
        <w:spacing w:line="276" w:lineRule="auto"/>
        <w:rPr>
          <w:lang w:val="en-AU" w:eastAsia="en-AU"/>
        </w:rPr>
      </w:pPr>
      <w:r w:rsidRPr="00FB18BD">
        <w:t>Based on the investigations in this case</w:t>
      </w:r>
      <w:r w:rsidR="00600752">
        <w:t xml:space="preserve"> study</w:t>
      </w:r>
      <w:r w:rsidRPr="00FB18BD">
        <w:t xml:space="preserve">, </w:t>
      </w:r>
      <w:r w:rsidR="009F4B5D" w:rsidRPr="00FB18BD">
        <w:rPr>
          <w:lang w:val="en-AU" w:eastAsia="en-AU"/>
        </w:rPr>
        <w:t xml:space="preserve">further consideration of the risk categories </w:t>
      </w:r>
      <w:r w:rsidR="00C61B1C">
        <w:rPr>
          <w:lang w:val="en-AU" w:eastAsia="en-AU"/>
        </w:rPr>
        <w:t>is warranted</w:t>
      </w:r>
      <w:r w:rsidR="009F4B5D" w:rsidRPr="00FB18BD">
        <w:rPr>
          <w:lang w:val="en-AU" w:eastAsia="en-AU"/>
        </w:rPr>
        <w:t xml:space="preserve"> to capture the most ecologically relevant, reasonable and protective tipping points</w:t>
      </w:r>
      <w:r w:rsidR="00C12284">
        <w:rPr>
          <w:lang w:val="en-AU" w:eastAsia="en-AU"/>
        </w:rPr>
        <w:t xml:space="preserve">. </w:t>
      </w:r>
      <w:r w:rsidR="00AC79DE">
        <w:rPr>
          <w:lang w:val="en-AU" w:eastAsia="en-AU"/>
        </w:rPr>
        <w:t xml:space="preserve">At present, the ms-PAF model predicts a PC99 concentration for diuron, the most prevalent PSII herbicide measured in </w:t>
      </w:r>
      <w:r w:rsidR="00947066">
        <w:rPr>
          <w:lang w:val="en-AU" w:eastAsia="en-AU"/>
        </w:rPr>
        <w:t xml:space="preserve">the </w:t>
      </w:r>
      <w:r w:rsidR="00AC79DE">
        <w:rPr>
          <w:lang w:val="en-AU" w:eastAsia="en-AU"/>
        </w:rPr>
        <w:t xml:space="preserve">near-shore Reef </w:t>
      </w:r>
      <w:r w:rsidR="00947066">
        <w:rPr>
          <w:lang w:val="en-AU" w:eastAsia="en-AU"/>
        </w:rPr>
        <w:t xml:space="preserve">marine </w:t>
      </w:r>
      <w:r w:rsidR="00AC79DE">
        <w:rPr>
          <w:lang w:val="en-AU" w:eastAsia="en-AU"/>
        </w:rPr>
        <w:t>environment, of 46 ng L</w:t>
      </w:r>
      <w:r w:rsidR="00AC79DE" w:rsidRPr="00C61B1C">
        <w:rPr>
          <w:vertAlign w:val="superscript"/>
          <w:lang w:val="en-AU" w:eastAsia="en-AU"/>
        </w:rPr>
        <w:t>-1</w:t>
      </w:r>
      <w:r w:rsidR="00AC79DE">
        <w:rPr>
          <w:lang w:val="en-AU" w:eastAsia="en-AU"/>
        </w:rPr>
        <w:t xml:space="preserve"> which is an order of magnitude lower than the proposed marine PC99 guideline value (430 ng L</w:t>
      </w:r>
      <w:r w:rsidR="00AC79DE" w:rsidRPr="00C61B1C">
        <w:rPr>
          <w:vertAlign w:val="superscript"/>
          <w:lang w:val="en-AU" w:eastAsia="en-AU"/>
        </w:rPr>
        <w:t>-1</w:t>
      </w:r>
      <w:r w:rsidR="00AC79DE">
        <w:rPr>
          <w:lang w:val="en-AU" w:eastAsia="en-AU"/>
        </w:rPr>
        <w:t>). Adoption</w:t>
      </w:r>
      <w:r w:rsidR="00C12284">
        <w:rPr>
          <w:lang w:val="en-AU" w:eastAsia="en-AU"/>
        </w:rPr>
        <w:t xml:space="preserve"> of an ms-PAF model </w:t>
      </w:r>
      <w:r w:rsidR="001B15B4">
        <w:rPr>
          <w:lang w:val="en-AU" w:eastAsia="en-AU"/>
        </w:rPr>
        <w:t>based on SSDs for marine</w:t>
      </w:r>
      <w:r w:rsidR="005847EC">
        <w:rPr>
          <w:lang w:val="en-AU" w:eastAsia="en-AU"/>
        </w:rPr>
        <w:t xml:space="preserve">-only </w:t>
      </w:r>
      <w:r w:rsidR="001B15B4">
        <w:rPr>
          <w:lang w:val="en-AU" w:eastAsia="en-AU"/>
        </w:rPr>
        <w:t>species</w:t>
      </w:r>
      <w:r w:rsidR="00EB3763">
        <w:rPr>
          <w:lang w:val="en-AU" w:eastAsia="en-AU"/>
        </w:rPr>
        <w:t xml:space="preserve"> for the pesticides MMP</w:t>
      </w:r>
      <w:r w:rsidR="001B15B4">
        <w:rPr>
          <w:lang w:val="en-AU" w:eastAsia="en-AU"/>
        </w:rPr>
        <w:t xml:space="preserve"> would </w:t>
      </w:r>
      <w:r>
        <w:rPr>
          <w:lang w:val="en-AU" w:eastAsia="en-AU"/>
        </w:rPr>
        <w:t xml:space="preserve">bring </w:t>
      </w:r>
      <w:r w:rsidR="001B15B4">
        <w:rPr>
          <w:lang w:val="en-AU" w:eastAsia="en-AU"/>
        </w:rPr>
        <w:t xml:space="preserve">greater </w:t>
      </w:r>
      <w:r w:rsidR="00AC08B0">
        <w:rPr>
          <w:lang w:val="en-AU" w:eastAsia="en-AU"/>
        </w:rPr>
        <w:t>consistency</w:t>
      </w:r>
      <w:r>
        <w:rPr>
          <w:lang w:val="en-AU" w:eastAsia="en-AU"/>
        </w:rPr>
        <w:t xml:space="preserve"> between the mixture model and the individual SSDs from which proposed </w:t>
      </w:r>
      <w:r w:rsidR="001B15B4">
        <w:rPr>
          <w:lang w:val="en-AU" w:eastAsia="en-AU"/>
        </w:rPr>
        <w:t xml:space="preserve">marine </w:t>
      </w:r>
      <w:r>
        <w:rPr>
          <w:lang w:val="en-AU" w:eastAsia="en-AU"/>
        </w:rPr>
        <w:t xml:space="preserve">GVs are </w:t>
      </w:r>
      <w:r w:rsidR="00AC08B0">
        <w:rPr>
          <w:lang w:val="en-AU" w:eastAsia="en-AU"/>
        </w:rPr>
        <w:t>determ</w:t>
      </w:r>
      <w:r w:rsidR="00AC08B0" w:rsidRPr="00AC08B0">
        <w:rPr>
          <w:lang w:val="en-AU" w:eastAsia="en-AU"/>
        </w:rPr>
        <w:t>ined</w:t>
      </w:r>
      <w:r w:rsidR="009F4B5D" w:rsidRPr="00AC08B0">
        <w:rPr>
          <w:lang w:val="en-AU" w:eastAsia="en-AU"/>
        </w:rPr>
        <w:t xml:space="preserve">. </w:t>
      </w:r>
      <w:r w:rsidR="00AC79DE">
        <w:rPr>
          <w:lang w:val="en-AU" w:eastAsia="en-AU"/>
        </w:rPr>
        <w:t>It is well recognised that o</w:t>
      </w:r>
      <w:r w:rsidR="00AC79DE" w:rsidRPr="00AC08B0">
        <w:rPr>
          <w:lang w:val="en-AU" w:eastAsia="en-AU"/>
        </w:rPr>
        <w:t xml:space="preserve">ver- or under-estimations of herbicide exposure risk can have </w:t>
      </w:r>
      <w:r w:rsidR="00AC79DE">
        <w:rPr>
          <w:lang w:val="en-AU" w:eastAsia="en-AU"/>
        </w:rPr>
        <w:t>considerable</w:t>
      </w:r>
      <w:r w:rsidR="00AC79DE" w:rsidRPr="00AC08B0">
        <w:rPr>
          <w:lang w:val="en-AU" w:eastAsia="en-AU"/>
        </w:rPr>
        <w:t xml:space="preserve"> and opposing consequences, either imposing over-regulation and challenging the profitability of land use practices along the coastal catchments, or by threatening the health and resilience of a fragile ecosystem already subjected to multiple local and global stressors. </w:t>
      </w:r>
      <w:r w:rsidR="00B926DD">
        <w:rPr>
          <w:lang w:val="en-AU" w:eastAsia="en-AU"/>
        </w:rPr>
        <w:t>A</w:t>
      </w:r>
      <w:r w:rsidR="00AC79DE">
        <w:rPr>
          <w:lang w:val="en-AU" w:eastAsia="en-AU"/>
        </w:rPr>
        <w:t>n on-going</w:t>
      </w:r>
      <w:r w:rsidR="00B926DD">
        <w:rPr>
          <w:lang w:val="en-AU" w:eastAsia="en-AU"/>
        </w:rPr>
        <w:t xml:space="preserve"> </w:t>
      </w:r>
      <w:r w:rsidR="00AC79DE">
        <w:rPr>
          <w:lang w:val="en-AU" w:eastAsia="en-AU"/>
        </w:rPr>
        <w:t>National Environmental Science Programme (</w:t>
      </w:r>
      <w:r w:rsidR="00B926DD">
        <w:rPr>
          <w:lang w:val="en-AU" w:eastAsia="en-AU"/>
        </w:rPr>
        <w:t>NESP</w:t>
      </w:r>
      <w:r w:rsidR="00AC79DE">
        <w:rPr>
          <w:lang w:val="en-AU" w:eastAsia="en-AU"/>
        </w:rPr>
        <w:t>)</w:t>
      </w:r>
      <w:r w:rsidR="00B926DD">
        <w:rPr>
          <w:lang w:val="en-AU" w:eastAsia="en-AU"/>
        </w:rPr>
        <w:t xml:space="preserve"> project</w:t>
      </w:r>
      <w:r w:rsidR="009A40B1">
        <w:rPr>
          <w:lang w:val="en-AU" w:eastAsia="en-AU"/>
        </w:rPr>
        <w:t xml:space="preserve"> (2016-2019)</w:t>
      </w:r>
      <w:r w:rsidR="00B926DD">
        <w:rPr>
          <w:lang w:val="en-AU" w:eastAsia="en-AU"/>
        </w:rPr>
        <w:t>, “</w:t>
      </w:r>
      <w:r w:rsidR="00B926DD" w:rsidRPr="00B926DD">
        <w:rPr>
          <w:lang w:val="en-AU" w:eastAsia="en-AU"/>
        </w:rPr>
        <w:t>Ecotoxicology of pesticides on the Great Barrier Reef for guideline development and risk assessments</w:t>
      </w:r>
      <w:r w:rsidR="00B926DD">
        <w:rPr>
          <w:lang w:val="en-AU" w:eastAsia="en-AU"/>
        </w:rPr>
        <w:t xml:space="preserve">” </w:t>
      </w:r>
      <w:r w:rsidR="00AC79DE">
        <w:rPr>
          <w:lang w:val="en-AU" w:eastAsia="en-AU"/>
        </w:rPr>
        <w:fldChar w:fldCharType="begin"/>
      </w:r>
      <w:r w:rsidR="00AC79DE">
        <w:rPr>
          <w:lang w:val="en-AU" w:eastAsia="en-AU"/>
        </w:rPr>
        <w:instrText xml:space="preserve"> ADDIN EN.CITE &lt;EndNote&gt;&lt;Cite&gt;&lt;Author&gt;NESP&lt;/Author&gt;&lt;Year&gt;2016&lt;/Year&gt;&lt;RecNum&gt;106&lt;/RecNum&gt;&lt;DisplayText&gt;(NESP, 2016)&lt;/DisplayText&gt;&lt;record&gt;&lt;rec-number&gt;106&lt;/rec-number&gt;&lt;foreign-keys&gt;&lt;key app="EN" db-id="vvtrt2pt4xpx5teta99vvtwg50vzve2aexae" timestamp="1514401869"&gt;106&lt;/key&gt;&lt;/foreign-keys&gt;&lt;ref-type name="Web Page"&gt;12&lt;/ref-type&gt;&lt;contributors&gt;&lt;authors&gt;&lt;author&gt;NESP,&lt;/author&gt;&lt;/authors&gt;&lt;/contributors&gt;&lt;titles&gt;&lt;title&gt;Ecotoxicology of pesticides on the Great Barrier Reef for guideline development and risk assessments. National Environmental Science Programme - Project 3.1.5&lt;/title&gt;&lt;/titles&gt;&lt;dates&gt;&lt;year&gt;2016&lt;/year&gt;&lt;/dates&gt;&lt;urls&gt;&lt;related-urls&gt;&lt;url&gt;http://nesptropical.edu.au/index.php/round-3-projects/project-3-1-5/&lt;/url&gt;&lt;/related-urls&gt;&lt;/urls&gt;&lt;/record&gt;&lt;/Cite&gt;&lt;/EndNote&gt;</w:instrText>
      </w:r>
      <w:r w:rsidR="00AC79DE">
        <w:rPr>
          <w:lang w:val="en-AU" w:eastAsia="en-AU"/>
        </w:rPr>
        <w:fldChar w:fldCharType="separate"/>
      </w:r>
      <w:r w:rsidR="00AC79DE">
        <w:rPr>
          <w:noProof/>
          <w:lang w:val="en-AU" w:eastAsia="en-AU"/>
        </w:rPr>
        <w:t>(NESP, 2016)</w:t>
      </w:r>
      <w:r w:rsidR="00AC79DE">
        <w:rPr>
          <w:lang w:val="en-AU" w:eastAsia="en-AU"/>
        </w:rPr>
        <w:fldChar w:fldCharType="end"/>
      </w:r>
      <w:r w:rsidR="00B926DD">
        <w:rPr>
          <w:lang w:val="en-AU" w:eastAsia="en-AU"/>
        </w:rPr>
        <w:t xml:space="preserve">, aims to generate </w:t>
      </w:r>
      <w:r w:rsidR="005847EC">
        <w:rPr>
          <w:lang w:val="en-AU" w:eastAsia="en-AU"/>
        </w:rPr>
        <w:t xml:space="preserve">marine </w:t>
      </w:r>
      <w:r w:rsidR="00B926DD">
        <w:rPr>
          <w:lang w:val="en-AU" w:eastAsia="en-AU"/>
        </w:rPr>
        <w:t xml:space="preserve">ecotoxicity data specifically for this purpose. </w:t>
      </w:r>
    </w:p>
    <w:p w14:paraId="2710D543" w14:textId="77777777" w:rsidR="000009BB" w:rsidRDefault="000009BB" w:rsidP="001B15B4">
      <w:pPr>
        <w:spacing w:line="276" w:lineRule="auto"/>
        <w:rPr>
          <w:lang w:val="en-AU" w:eastAsia="en-AU"/>
        </w:rPr>
      </w:pPr>
    </w:p>
    <w:p w14:paraId="6A401F44" w14:textId="2A3A15D7" w:rsidR="00AC79DE" w:rsidRDefault="009F4B5D" w:rsidP="001B15B4">
      <w:pPr>
        <w:spacing w:line="276" w:lineRule="auto"/>
        <w:rPr>
          <w:lang w:val="en-AU" w:eastAsia="en-AU"/>
        </w:rPr>
      </w:pPr>
      <w:r w:rsidRPr="00AC08B0">
        <w:rPr>
          <w:lang w:val="en-AU" w:eastAsia="en-AU"/>
        </w:rPr>
        <w:t xml:space="preserve">Before adopting ms-PAF </w:t>
      </w:r>
      <w:r w:rsidR="00AC08B0" w:rsidRPr="00AC08B0">
        <w:rPr>
          <w:lang w:val="en-AU" w:eastAsia="en-AU"/>
        </w:rPr>
        <w:t xml:space="preserve">to assess overall ecological risk </w:t>
      </w:r>
      <w:r w:rsidRPr="00AC08B0">
        <w:rPr>
          <w:lang w:val="en-AU" w:eastAsia="en-AU"/>
        </w:rPr>
        <w:t xml:space="preserve">as part of </w:t>
      </w:r>
      <w:r w:rsidR="001B15B4">
        <w:rPr>
          <w:lang w:val="en-AU" w:eastAsia="en-AU"/>
        </w:rPr>
        <w:t xml:space="preserve">the MMP’s annual reporting, the </w:t>
      </w:r>
      <w:r w:rsidR="00333388">
        <w:rPr>
          <w:lang w:val="en-AU" w:eastAsia="en-AU"/>
        </w:rPr>
        <w:t>benefits</w:t>
      </w:r>
      <w:r w:rsidR="001B15B4">
        <w:rPr>
          <w:lang w:val="en-AU" w:eastAsia="en-AU"/>
        </w:rPr>
        <w:t xml:space="preserve"> of</w:t>
      </w:r>
      <w:r w:rsidRPr="00AC08B0">
        <w:rPr>
          <w:lang w:val="en-AU" w:eastAsia="en-AU"/>
        </w:rPr>
        <w:t xml:space="preserve"> </w:t>
      </w:r>
      <w:r w:rsidR="00C61B1C">
        <w:rPr>
          <w:lang w:val="en-AU" w:eastAsia="en-AU"/>
        </w:rPr>
        <w:t xml:space="preserve">waiting until </w:t>
      </w:r>
      <w:r w:rsidR="001B15B4">
        <w:rPr>
          <w:lang w:val="en-AU" w:eastAsia="en-AU"/>
        </w:rPr>
        <w:t xml:space="preserve">a marine ms-PAF model </w:t>
      </w:r>
      <w:r w:rsidR="00C61B1C">
        <w:rPr>
          <w:lang w:val="en-AU" w:eastAsia="en-AU"/>
        </w:rPr>
        <w:t xml:space="preserve">can be established </w:t>
      </w:r>
      <w:r w:rsidR="001B15B4">
        <w:rPr>
          <w:lang w:val="en-AU" w:eastAsia="en-AU"/>
        </w:rPr>
        <w:t>should be considered</w:t>
      </w:r>
      <w:r w:rsidR="00C61B1C">
        <w:rPr>
          <w:lang w:val="en-AU" w:eastAsia="en-AU"/>
        </w:rPr>
        <w:t xml:space="preserve"> or a decision should be taken to adopt a lower, but therefore more conservative, PC99 value for MMP reporting</w:t>
      </w:r>
      <w:r w:rsidR="001B15B4">
        <w:rPr>
          <w:lang w:val="en-AU" w:eastAsia="en-AU"/>
        </w:rPr>
        <w:t>. Furthermore, it would be</w:t>
      </w:r>
      <w:r w:rsidR="001B15B4" w:rsidRPr="00AC08B0">
        <w:rPr>
          <w:lang w:val="en-AU" w:eastAsia="en-AU"/>
        </w:rPr>
        <w:t xml:space="preserve"> pertinent to</w:t>
      </w:r>
      <w:r w:rsidR="001B15B4">
        <w:rPr>
          <w:lang w:val="en-AU" w:eastAsia="en-AU"/>
        </w:rPr>
        <w:t xml:space="preserve"> </w:t>
      </w:r>
      <w:r w:rsidR="001B15B4" w:rsidRPr="00AC08B0">
        <w:rPr>
          <w:lang w:val="en-AU" w:eastAsia="en-AU"/>
        </w:rPr>
        <w:t xml:space="preserve">wait </w:t>
      </w:r>
      <w:r w:rsidR="001B15B4">
        <w:rPr>
          <w:lang w:val="en-AU" w:eastAsia="en-AU"/>
        </w:rPr>
        <w:t xml:space="preserve">until </w:t>
      </w:r>
      <w:r w:rsidR="00AC08B0">
        <w:rPr>
          <w:lang w:val="en-AU" w:eastAsia="en-AU"/>
        </w:rPr>
        <w:t xml:space="preserve">proposed </w:t>
      </w:r>
      <w:r w:rsidRPr="00AC08B0">
        <w:rPr>
          <w:lang w:val="en-AU" w:eastAsia="en-AU"/>
        </w:rPr>
        <w:t>GVs have been approved and SSDs for all chemicals earmarked for inclusion have been constructed to prevent any retrospective adjustments and a more accurate assessment of risk of the environmental mixtures present.</w:t>
      </w:r>
      <w:bookmarkStart w:id="732" w:name="_Toc461457782"/>
      <w:r w:rsidR="00AC79DE" w:rsidRPr="00AC79DE">
        <w:rPr>
          <w:lang w:val="en-AU" w:eastAsia="en-AU"/>
        </w:rPr>
        <w:t xml:space="preserve"> </w:t>
      </w:r>
    </w:p>
    <w:p w14:paraId="5BD15847" w14:textId="77777777" w:rsidR="00AC79DE" w:rsidRDefault="00AC79DE" w:rsidP="001B15B4">
      <w:pPr>
        <w:spacing w:line="276" w:lineRule="auto"/>
        <w:rPr>
          <w:lang w:val="en-AU" w:eastAsia="en-AU"/>
        </w:rPr>
      </w:pPr>
    </w:p>
    <w:p w14:paraId="157211BF" w14:textId="1FD9447D" w:rsidR="003E1F60" w:rsidRPr="001B15B4" w:rsidRDefault="003E1F60" w:rsidP="001B15B4">
      <w:pPr>
        <w:spacing w:line="276" w:lineRule="auto"/>
        <w:rPr>
          <w:highlight w:val="yellow"/>
          <w:lang w:val="en-AU" w:eastAsia="en-AU"/>
        </w:rPr>
        <w:sectPr w:rsidR="003E1F60" w:rsidRPr="001B15B4" w:rsidSect="006F6AB0">
          <w:pgSz w:w="11907" w:h="16840" w:code="9"/>
          <w:pgMar w:top="720" w:right="720" w:bottom="709" w:left="720" w:header="709" w:footer="391" w:gutter="0"/>
          <w:cols w:space="708"/>
          <w:docGrid w:linePitch="360"/>
        </w:sectPr>
      </w:pPr>
    </w:p>
    <w:p w14:paraId="157211C0" w14:textId="77777777" w:rsidR="0059608E" w:rsidRPr="00BD5C81" w:rsidRDefault="00494403" w:rsidP="00C60B74">
      <w:pPr>
        <w:pStyle w:val="Heading7"/>
        <w:spacing w:after="240"/>
        <w:ind w:left="425" w:hanging="425"/>
      </w:pPr>
      <w:bookmarkStart w:id="733" w:name="_Ref480725249"/>
      <w:bookmarkStart w:id="734" w:name="_Ref480725271"/>
      <w:bookmarkStart w:id="735" w:name="_Ref480725306"/>
      <w:bookmarkStart w:id="736" w:name="_Ref480725528"/>
      <w:bookmarkStart w:id="737" w:name="_Ref480726468"/>
      <w:bookmarkStart w:id="738" w:name="_Ref480726549"/>
      <w:bookmarkStart w:id="739" w:name="_Ref480726594"/>
      <w:bookmarkStart w:id="740" w:name="_Ref480726632"/>
      <w:bookmarkStart w:id="741" w:name="_Toc502500027"/>
      <w:r w:rsidRPr="00BD5C81">
        <w:t>Complete analyte list for LC</w:t>
      </w:r>
      <w:r w:rsidR="008A4B4F" w:rsidRPr="00BD5C81">
        <w:t>-</w:t>
      </w:r>
      <w:r w:rsidRPr="00BD5C81">
        <w:t>MS and GC</w:t>
      </w:r>
      <w:r w:rsidR="008A4B4F" w:rsidRPr="00BD5C81">
        <w:t>-</w:t>
      </w:r>
      <w:r w:rsidRPr="00BD5C81">
        <w:t>MS analysis</w:t>
      </w:r>
      <w:bookmarkEnd w:id="732"/>
      <w:bookmarkEnd w:id="733"/>
      <w:bookmarkEnd w:id="734"/>
      <w:bookmarkEnd w:id="735"/>
      <w:bookmarkEnd w:id="736"/>
      <w:bookmarkEnd w:id="737"/>
      <w:bookmarkEnd w:id="738"/>
      <w:bookmarkEnd w:id="739"/>
      <w:bookmarkEnd w:id="740"/>
      <w:bookmarkEnd w:id="741"/>
    </w:p>
    <w:p w14:paraId="157211C1" w14:textId="77777777" w:rsidR="0059608E" w:rsidRDefault="008232E9" w:rsidP="008232E9">
      <w:pPr>
        <w:rPr>
          <w:b/>
          <w:sz w:val="24"/>
        </w:rPr>
      </w:pPr>
      <w:bookmarkStart w:id="742" w:name="_Toc461457783"/>
      <w:r>
        <w:rPr>
          <w:b/>
          <w:sz w:val="24"/>
        </w:rPr>
        <w:t>A-1</w:t>
      </w:r>
      <w:r>
        <w:rPr>
          <w:b/>
          <w:sz w:val="24"/>
        </w:rPr>
        <w:tab/>
      </w:r>
      <w:r w:rsidR="003E1F60" w:rsidRPr="008232E9">
        <w:rPr>
          <w:b/>
          <w:sz w:val="24"/>
        </w:rPr>
        <w:t>Sources</w:t>
      </w:r>
      <w:r w:rsidR="0059608E" w:rsidRPr="008232E9">
        <w:rPr>
          <w:b/>
          <w:sz w:val="24"/>
        </w:rPr>
        <w:t xml:space="preserve"> of uncertainty</w:t>
      </w:r>
      <w:bookmarkEnd w:id="742"/>
      <w:r w:rsidR="0059608E" w:rsidRPr="008232E9">
        <w:rPr>
          <w:b/>
          <w:sz w:val="24"/>
        </w:rPr>
        <w:t xml:space="preserve"> </w:t>
      </w:r>
    </w:p>
    <w:p w14:paraId="157211C2" w14:textId="77777777" w:rsidR="008232E9" w:rsidRPr="008232E9" w:rsidRDefault="008232E9" w:rsidP="008232E9">
      <w:pPr>
        <w:rPr>
          <w:b/>
          <w:sz w:val="24"/>
        </w:rPr>
      </w:pPr>
    </w:p>
    <w:p w14:paraId="157211C3" w14:textId="77777777" w:rsidR="0059608E" w:rsidRDefault="00BF6243" w:rsidP="00015606">
      <w:pPr>
        <w:spacing w:line="276" w:lineRule="auto"/>
        <w:rPr>
          <w:lang w:val="en-AU" w:eastAsia="en-AU"/>
        </w:rPr>
      </w:pPr>
      <w:r>
        <w:rPr>
          <w:lang w:val="en-AU" w:eastAsia="en-AU"/>
        </w:rPr>
        <w:t>To</w:t>
      </w:r>
      <w:r w:rsidR="0059608E">
        <w:rPr>
          <w:lang w:val="en-AU" w:eastAsia="en-AU"/>
        </w:rPr>
        <w:t xml:space="preserve"> interpret both trends in the long-term data and true changes in concentrations year to year, there must be an understanding of the inherent variability of the data. Possible sources of uncertainty when using the passive samplers may include (but are not limited to) the effects of salinity and water temperature on chemical uptake into the sampler, accurate measurement of exposure time, the integrity of the flow-limiting membrane over the deployment period, degree of biofouling on the surface of the sampler and its effect on the sampling area, analytical error and variability in the dissolution of the PFM used to approximate water flow (and sampling rates).</w:t>
      </w:r>
    </w:p>
    <w:p w14:paraId="157211C4" w14:textId="77777777" w:rsidR="0059608E" w:rsidRDefault="0059608E" w:rsidP="00015606">
      <w:pPr>
        <w:spacing w:line="276" w:lineRule="auto"/>
        <w:rPr>
          <w:lang w:val="en-AU" w:eastAsia="en-AU"/>
        </w:rPr>
      </w:pPr>
    </w:p>
    <w:p w14:paraId="157211C5" w14:textId="03E72A5D" w:rsidR="0059608E" w:rsidRDefault="0059608E" w:rsidP="00015606">
      <w:pPr>
        <w:spacing w:line="276" w:lineRule="auto"/>
        <w:rPr>
          <w:lang w:val="en-AU" w:eastAsia="en-AU"/>
        </w:rPr>
      </w:pPr>
      <w:r>
        <w:rPr>
          <w:lang w:val="en-AU" w:eastAsia="en-AU"/>
        </w:rPr>
        <w:t xml:space="preserve">Salinity (ionic strength) has been found to have a very small effect on the solubility of the gypsum contained in the PFM, which is subsequently used to estimate sampling rates with respect to the water flow at a given site </w:t>
      </w:r>
      <w:r w:rsidR="00C91BF5">
        <w:rPr>
          <w:lang w:val="en-AU" w:eastAsia="en-AU"/>
        </w:rPr>
        <w:fldChar w:fldCharType="begin"/>
      </w:r>
      <w:r w:rsidR="009D4492">
        <w:rPr>
          <w:lang w:val="en-AU" w:eastAsia="en-AU"/>
        </w:rPr>
        <w:instrText xml:space="preserve"> ADDIN EN.CITE &lt;EndNote&gt;&lt;Cite&gt;&lt;Author&gt;O’Brien&lt;/Author&gt;&lt;Year&gt;2011&lt;/Year&gt;&lt;RecNum&gt;73&lt;/RecNum&gt;&lt;DisplayText&gt;(O’Brien et al., 2011b)&lt;/DisplayText&gt;&lt;record&gt;&lt;rec-number&gt;73&lt;/rec-number&gt;&lt;foreign-keys&gt;&lt;key app="EN" db-id="vvtrt2pt4xpx5teta99vvtwg50vzve2aexae" timestamp="1493157418"&gt;73&lt;/key&gt;&lt;/foreign-keys&gt;&lt;ref-type name="Journal Article"&gt;17&lt;/ref-type&gt;&lt;contributors&gt;&lt;authors&gt;&lt;author&gt;O’Brien, Dominique S&lt;/author&gt;&lt;author&gt;Booij, Kees&lt;/author&gt;&lt;author&gt;Hawker, Darryl W&lt;/author&gt;&lt;author&gt;Mueller, Jochen F&lt;/author&gt;&lt;/authors&gt;&lt;/contributors&gt;&lt;titles&gt;&lt;title&gt;Method for the in situ calibration of a passive phosphate sampler in estuarine and marine waters&lt;/title&gt;&lt;secondary-title&gt;Environmental science &amp;amp; technology&lt;/secondary-title&gt;&lt;/titles&gt;&lt;periodical&gt;&lt;full-title&gt;Environmental science &amp;amp; technology&lt;/full-title&gt;&lt;/periodical&gt;&lt;pages&gt;2871-2877&lt;/pages&gt;&lt;volume&gt;45&lt;/volume&gt;&lt;number&gt;7&lt;/number&gt;&lt;dates&gt;&lt;year&gt;2011&lt;/year&gt;&lt;/dates&gt;&lt;isbn&gt;0013-936X&lt;/isbn&gt;&lt;urls&gt;&lt;/urls&gt;&lt;/record&gt;&lt;/Cite&gt;&lt;/EndNote&gt;</w:instrText>
      </w:r>
      <w:r w:rsidR="00C91BF5">
        <w:rPr>
          <w:lang w:val="en-AU" w:eastAsia="en-AU"/>
        </w:rPr>
        <w:fldChar w:fldCharType="separate"/>
      </w:r>
      <w:r w:rsidR="009D4492">
        <w:rPr>
          <w:noProof/>
          <w:lang w:val="en-AU" w:eastAsia="en-AU"/>
        </w:rPr>
        <w:t>(O’Brien et al., 2011b)</w:t>
      </w:r>
      <w:r w:rsidR="00C91BF5">
        <w:rPr>
          <w:lang w:val="en-AU" w:eastAsia="en-AU"/>
        </w:rPr>
        <w:fldChar w:fldCharType="end"/>
      </w:r>
      <w:r>
        <w:rPr>
          <w:lang w:val="en-AU" w:eastAsia="en-AU"/>
        </w:rPr>
        <w:t>. The effect of salinity on a hypothetical calculation of water conce</w:t>
      </w:r>
      <w:r w:rsidR="00FF0A36">
        <w:rPr>
          <w:lang w:val="en-AU" w:eastAsia="en-AU"/>
        </w:rPr>
        <w:t>ntration from an ED</w:t>
      </w:r>
      <w:r>
        <w:rPr>
          <w:lang w:val="en-AU" w:eastAsia="en-AU"/>
        </w:rPr>
        <w:t xml:space="preserve"> found that a change in salinity from 5 g L</w:t>
      </w:r>
      <w:r>
        <w:rPr>
          <w:vertAlign w:val="superscript"/>
          <w:lang w:val="en-AU" w:eastAsia="en-AU"/>
        </w:rPr>
        <w:t>-1</w:t>
      </w:r>
      <w:r>
        <w:rPr>
          <w:lang w:val="en-AU" w:eastAsia="en-AU"/>
        </w:rPr>
        <w:t xml:space="preserve"> (freshwater) to 35 g L</w:t>
      </w:r>
      <w:r>
        <w:rPr>
          <w:vertAlign w:val="superscript"/>
          <w:lang w:val="en-AU" w:eastAsia="en-AU"/>
        </w:rPr>
        <w:t>-1</w:t>
      </w:r>
      <w:r>
        <w:rPr>
          <w:lang w:val="en-AU" w:eastAsia="en-AU"/>
        </w:rPr>
        <w:t xml:space="preserve"> (marine water) did not change the estimated flow rate (to two significant figures) under either low or high dissolution rate conditions. The effect of water temperature on the dissolution of the PFM is not well understood, but as water temperature remains relatively constant betw</w:t>
      </w:r>
      <w:r w:rsidR="00E31255">
        <w:rPr>
          <w:lang w:val="en-AU" w:eastAsia="en-AU"/>
        </w:rPr>
        <w:t>een the wet and dry seasons (20-</w:t>
      </w:r>
      <w:r w:rsidR="00330611">
        <w:rPr>
          <w:lang w:val="en-AU" w:eastAsia="en-AU"/>
        </w:rPr>
        <w:t>25</w:t>
      </w:r>
      <w:r w:rsidR="00FF0A36">
        <w:rPr>
          <w:rFonts w:cs="Arial"/>
          <w:lang w:val="en-AU" w:eastAsia="en-AU"/>
        </w:rPr>
        <w:t>°</w:t>
      </w:r>
      <w:r w:rsidR="00FF0A36">
        <w:rPr>
          <w:lang w:val="en-AU" w:eastAsia="en-AU"/>
        </w:rPr>
        <w:t>C</w:t>
      </w:r>
      <w:r>
        <w:rPr>
          <w:lang w:val="en-AU" w:eastAsia="en-AU"/>
        </w:rPr>
        <w:t>) it is assumed to have a negligible effect.</w:t>
      </w:r>
    </w:p>
    <w:p w14:paraId="157211C6" w14:textId="77777777" w:rsidR="0059608E" w:rsidRDefault="0059608E" w:rsidP="00015606">
      <w:pPr>
        <w:spacing w:line="276" w:lineRule="auto"/>
        <w:rPr>
          <w:lang w:val="en-AU" w:eastAsia="en-AU"/>
        </w:rPr>
      </w:pPr>
    </w:p>
    <w:p w14:paraId="157211C7" w14:textId="77777777" w:rsidR="0059608E" w:rsidRDefault="0059608E" w:rsidP="00015606">
      <w:pPr>
        <w:spacing w:line="276" w:lineRule="auto"/>
        <w:rPr>
          <w:lang w:val="en-AU" w:eastAsia="en-AU"/>
        </w:rPr>
      </w:pPr>
      <w:r>
        <w:rPr>
          <w:lang w:val="en-AU" w:eastAsia="en-AU"/>
        </w:rPr>
        <w:t xml:space="preserve">Replicate PFMs are deployed at each passive sampler site, and the mass lost per day is used to estimate the sampling rate of chemicals. Normalised difference percentages between duplicate PFMs deployed at each site this monitoring year ranged between &lt;1 and </w:t>
      </w:r>
      <w:r w:rsidR="00ED7DD8">
        <w:rPr>
          <w:lang w:val="en-AU" w:eastAsia="en-AU"/>
        </w:rPr>
        <w:t>22%</w:t>
      </w:r>
      <w:r>
        <w:rPr>
          <w:lang w:val="en-AU" w:eastAsia="en-AU"/>
        </w:rPr>
        <w:t xml:space="preserve"> (mean of </w:t>
      </w:r>
      <w:r w:rsidR="00ED7DD8">
        <w:rPr>
          <w:lang w:val="en-AU" w:eastAsia="en-AU"/>
        </w:rPr>
        <w:t>6.4%</w:t>
      </w:r>
      <w:r>
        <w:rPr>
          <w:lang w:val="en-AU" w:eastAsia="en-AU"/>
        </w:rPr>
        <w:t xml:space="preserve">), showing good agreement (this excludes </w:t>
      </w:r>
      <w:r w:rsidR="00ED7DD8">
        <w:rPr>
          <w:lang w:val="en-AU" w:eastAsia="en-AU"/>
        </w:rPr>
        <w:t>32</w:t>
      </w:r>
      <w:r>
        <w:rPr>
          <w:lang w:val="en-AU" w:eastAsia="en-AU"/>
        </w:rPr>
        <w:t xml:space="preserve"> sampler</w:t>
      </w:r>
      <w:r w:rsidR="00330611">
        <w:rPr>
          <w:lang w:val="en-AU" w:eastAsia="en-AU"/>
        </w:rPr>
        <w:t>-</w:t>
      </w:r>
      <w:r>
        <w:rPr>
          <w:lang w:val="en-AU" w:eastAsia="en-AU"/>
        </w:rPr>
        <w:t xml:space="preserve">sets where PFM duplicates were both empty upon retrieval). </w:t>
      </w:r>
    </w:p>
    <w:p w14:paraId="157211C8" w14:textId="77777777" w:rsidR="0059608E" w:rsidRDefault="0059608E" w:rsidP="00015606">
      <w:pPr>
        <w:spacing w:line="276" w:lineRule="auto"/>
        <w:rPr>
          <w:lang w:val="en-AU" w:eastAsia="en-AU"/>
        </w:rPr>
      </w:pPr>
    </w:p>
    <w:p w14:paraId="157211C9" w14:textId="77777777" w:rsidR="0059608E" w:rsidRDefault="0059608E" w:rsidP="00015606">
      <w:pPr>
        <w:spacing w:line="276" w:lineRule="auto"/>
        <w:rPr>
          <w:lang w:val="en-AU"/>
        </w:rPr>
      </w:pPr>
      <w:r w:rsidRPr="008324EB">
        <w:rPr>
          <w:lang w:val="en-AU"/>
        </w:rPr>
        <w:t xml:space="preserve">Duplicate </w:t>
      </w:r>
      <w:r w:rsidR="003664EA">
        <w:rPr>
          <w:lang w:val="en-AU"/>
        </w:rPr>
        <w:t>EDs</w:t>
      </w:r>
      <w:r w:rsidRPr="008324EB">
        <w:rPr>
          <w:lang w:val="en-AU"/>
        </w:rPr>
        <w:t xml:space="preserve"> are </w:t>
      </w:r>
      <w:r w:rsidR="008324EB" w:rsidRPr="008324EB">
        <w:rPr>
          <w:lang w:val="en-AU"/>
        </w:rPr>
        <w:t>deployed at each sampling site</w:t>
      </w:r>
      <w:r w:rsidR="008324EB">
        <w:rPr>
          <w:lang w:val="en-AU"/>
        </w:rPr>
        <w:t xml:space="preserve"> and returned to QAEHS</w:t>
      </w:r>
      <w:r w:rsidR="008324EB" w:rsidRPr="008324EB">
        <w:rPr>
          <w:lang w:val="en-AU"/>
        </w:rPr>
        <w:t xml:space="preserve">. </w:t>
      </w:r>
      <w:r w:rsidR="008324EB">
        <w:rPr>
          <w:lang w:val="en-AU"/>
        </w:rPr>
        <w:t>One</w:t>
      </w:r>
      <w:r w:rsidR="008324EB" w:rsidRPr="008324EB">
        <w:rPr>
          <w:lang w:val="en-AU"/>
        </w:rPr>
        <w:t xml:space="preserve"> duplicate sampler </w:t>
      </w:r>
      <w:r w:rsidR="008324EB">
        <w:rPr>
          <w:lang w:val="en-AU"/>
        </w:rPr>
        <w:t xml:space="preserve">is </w:t>
      </w:r>
      <w:r w:rsidR="008324EB" w:rsidRPr="008324EB">
        <w:rPr>
          <w:lang w:val="en-AU"/>
        </w:rPr>
        <w:t xml:space="preserve">analysed </w:t>
      </w:r>
      <w:r w:rsidR="008324EB">
        <w:rPr>
          <w:lang w:val="en-AU"/>
        </w:rPr>
        <w:t>for a</w:t>
      </w:r>
      <w:r w:rsidRPr="008324EB">
        <w:rPr>
          <w:lang w:val="en-AU"/>
        </w:rPr>
        <w:t xml:space="preserve">pproximately every 10 samples to determine the variability in the overall performance (chemical uptake) of the </w:t>
      </w:r>
      <w:r w:rsidR="003664EA">
        <w:rPr>
          <w:lang w:val="en-AU"/>
        </w:rPr>
        <w:t>EDs</w:t>
      </w:r>
      <w:r w:rsidRPr="008324EB">
        <w:rPr>
          <w:lang w:val="en-AU"/>
        </w:rPr>
        <w:t xml:space="preserve"> (</w:t>
      </w:r>
      <w:r w:rsidR="00C91BF5">
        <w:rPr>
          <w:lang w:val="en-AU"/>
        </w:rPr>
        <w:fldChar w:fldCharType="begin"/>
      </w:r>
      <w:r w:rsidR="005B06AA">
        <w:rPr>
          <w:lang w:val="en-AU"/>
        </w:rPr>
        <w:instrText xml:space="preserve"> REF _Ref480726609 \h </w:instrText>
      </w:r>
      <w:r w:rsidR="00C91BF5">
        <w:rPr>
          <w:lang w:val="en-AU"/>
        </w:rPr>
      </w:r>
      <w:r w:rsidR="00C91BF5">
        <w:rPr>
          <w:lang w:val="en-AU"/>
        </w:rPr>
        <w:fldChar w:fldCharType="separate"/>
      </w:r>
      <w:r w:rsidR="00D12276">
        <w:t xml:space="preserve">Table </w:t>
      </w:r>
      <w:r w:rsidR="00D12276">
        <w:rPr>
          <w:noProof/>
        </w:rPr>
        <w:t>A</w:t>
      </w:r>
      <w:r w:rsidR="00D12276">
        <w:noBreakHyphen/>
      </w:r>
      <w:r w:rsidR="00D12276">
        <w:rPr>
          <w:noProof/>
        </w:rPr>
        <w:t>1</w:t>
      </w:r>
      <w:r w:rsidR="00C91BF5">
        <w:rPr>
          <w:lang w:val="en-AU"/>
        </w:rPr>
        <w:fldChar w:fldCharType="end"/>
      </w:r>
      <w:r w:rsidRPr="003664EA">
        <w:rPr>
          <w:lang w:val="en-AU"/>
        </w:rPr>
        <w:t>).</w:t>
      </w:r>
      <w:r w:rsidRPr="008324EB">
        <w:rPr>
          <w:lang w:val="en-AU"/>
        </w:rPr>
        <w:t xml:space="preserve"> This monitoring year, 1</w:t>
      </w:r>
      <w:r w:rsidR="00ED7DD8" w:rsidRPr="008324EB">
        <w:rPr>
          <w:lang w:val="en-AU"/>
        </w:rPr>
        <w:t>6</w:t>
      </w:r>
      <w:r w:rsidRPr="008324EB">
        <w:rPr>
          <w:lang w:val="en-AU"/>
        </w:rPr>
        <w:t xml:space="preserve"> ED sampler sets were analysed in duplicate, with 1</w:t>
      </w:r>
      <w:r w:rsidR="00ED7DD8" w:rsidRPr="008324EB">
        <w:rPr>
          <w:lang w:val="en-AU"/>
        </w:rPr>
        <w:t>43</w:t>
      </w:r>
      <w:r w:rsidRPr="008324EB">
        <w:rPr>
          <w:lang w:val="en-AU"/>
        </w:rPr>
        <w:t xml:space="preserve"> herbicide detections in both duplicates and </w:t>
      </w:r>
      <w:r w:rsidR="00ED7DD8" w:rsidRPr="008324EB">
        <w:rPr>
          <w:lang w:val="en-AU"/>
        </w:rPr>
        <w:t xml:space="preserve">25 </w:t>
      </w:r>
      <w:r w:rsidRPr="008324EB">
        <w:rPr>
          <w:lang w:val="en-AU"/>
        </w:rPr>
        <w:t xml:space="preserve">herbicide detections in only one of the duplicates. Mean coefficients of variation (%CVs) for chemicals (which includes detections in both duplicates only) ranged from </w:t>
      </w:r>
      <w:r w:rsidR="00ED7DD8" w:rsidRPr="008324EB">
        <w:rPr>
          <w:lang w:val="en-AU"/>
        </w:rPr>
        <w:t xml:space="preserve">1.7% </w:t>
      </w:r>
      <w:r w:rsidR="00ED7DD8" w:rsidRPr="003664EA">
        <w:rPr>
          <w:lang w:val="en-AU"/>
        </w:rPr>
        <w:t>(</w:t>
      </w:r>
      <w:r w:rsidR="003664EA" w:rsidRPr="003664EA">
        <w:rPr>
          <w:lang w:val="en-AU"/>
        </w:rPr>
        <w:t>f</w:t>
      </w:r>
      <w:r w:rsidR="00662785" w:rsidRPr="003664EA">
        <w:rPr>
          <w:lang w:val="en-AU"/>
        </w:rPr>
        <w:t>luroxypyr</w:t>
      </w:r>
      <w:r w:rsidR="00ED7DD8" w:rsidRPr="008324EB">
        <w:rPr>
          <w:lang w:val="en-AU"/>
        </w:rPr>
        <w:t>) to 33</w:t>
      </w:r>
      <w:r w:rsidRPr="008324EB">
        <w:rPr>
          <w:lang w:val="en-AU"/>
        </w:rPr>
        <w:t>% (</w:t>
      </w:r>
      <w:r w:rsidR="00ED7DD8" w:rsidRPr="008324EB">
        <w:rPr>
          <w:lang w:val="en-AU"/>
        </w:rPr>
        <w:t>metsulfuron methyl</w:t>
      </w:r>
      <w:r w:rsidRPr="008324EB">
        <w:rPr>
          <w:lang w:val="en-AU"/>
        </w:rPr>
        <w:t xml:space="preserve">). Variability in the estimated water concentrations of diuron, hexazinone and atrazine was </w:t>
      </w:r>
      <w:r w:rsidR="00ED7DD8" w:rsidRPr="008324EB">
        <w:rPr>
          <w:lang w:val="en-AU"/>
        </w:rPr>
        <w:t>20%, 17% and 19</w:t>
      </w:r>
      <w:r w:rsidRPr="008324EB">
        <w:rPr>
          <w:lang w:val="en-AU"/>
        </w:rPr>
        <w:t>%</w:t>
      </w:r>
      <w:r w:rsidR="008324EB">
        <w:rPr>
          <w:lang w:val="en-AU"/>
        </w:rPr>
        <w:t xml:space="preserve">, </w:t>
      </w:r>
      <w:r w:rsidRPr="008324EB">
        <w:rPr>
          <w:lang w:val="en-AU"/>
        </w:rPr>
        <w:t>respectively.</w:t>
      </w:r>
      <w:r>
        <w:rPr>
          <w:lang w:val="en-AU"/>
        </w:rPr>
        <w:t xml:space="preserve"> </w:t>
      </w:r>
    </w:p>
    <w:p w14:paraId="157211CA" w14:textId="77777777" w:rsidR="0059608E" w:rsidRDefault="0059608E" w:rsidP="00015606">
      <w:pPr>
        <w:spacing w:line="276" w:lineRule="auto"/>
        <w:rPr>
          <w:lang w:val="en-AU" w:eastAsia="en-AU"/>
        </w:rPr>
      </w:pPr>
    </w:p>
    <w:p w14:paraId="157211CB" w14:textId="77777777" w:rsidR="0059608E" w:rsidRDefault="0059608E" w:rsidP="00015606">
      <w:pPr>
        <w:spacing w:line="276" w:lineRule="auto"/>
        <w:rPr>
          <w:lang w:val="en-AU"/>
        </w:rPr>
      </w:pPr>
      <w:r w:rsidRPr="00CB705A">
        <w:rPr>
          <w:lang w:val="en-AU"/>
        </w:rPr>
        <w:t>The objective of most passive sampling field studies is to derive</w:t>
      </w:r>
      <w:r>
        <w:rPr>
          <w:lang w:val="en-AU"/>
        </w:rPr>
        <w:t xml:space="preserve"> </w:t>
      </w:r>
      <w:r w:rsidRPr="00CB705A">
        <w:rPr>
          <w:lang w:val="en-AU"/>
        </w:rPr>
        <w:t>an accurate estimate of the concentration of pollutants present in</w:t>
      </w:r>
      <w:r>
        <w:rPr>
          <w:lang w:val="en-AU"/>
        </w:rPr>
        <w:t xml:space="preserve"> </w:t>
      </w:r>
      <w:r w:rsidRPr="00CB705A">
        <w:rPr>
          <w:lang w:val="en-AU"/>
        </w:rPr>
        <w:t>the environment. However, the environmental concentrations obtained</w:t>
      </w:r>
      <w:r>
        <w:rPr>
          <w:lang w:val="en-AU"/>
        </w:rPr>
        <w:t xml:space="preserve"> </w:t>
      </w:r>
      <w:r w:rsidRPr="00CB705A">
        <w:rPr>
          <w:lang w:val="en-AU"/>
        </w:rPr>
        <w:t>from passive sampling can only be accurate when appropriate</w:t>
      </w:r>
      <w:r>
        <w:rPr>
          <w:lang w:val="en-AU"/>
        </w:rPr>
        <w:t xml:space="preserve"> </w:t>
      </w:r>
      <w:r w:rsidRPr="00CB705A">
        <w:rPr>
          <w:lang w:val="en-AU"/>
        </w:rPr>
        <w:t>calibration data</w:t>
      </w:r>
      <w:r>
        <w:rPr>
          <w:lang w:val="en-AU"/>
        </w:rPr>
        <w:t xml:space="preserve"> (i.e. sampling or chemical uptake rates usually in units of L day</w:t>
      </w:r>
      <w:r>
        <w:rPr>
          <w:vertAlign w:val="superscript"/>
          <w:lang w:val="en-AU"/>
        </w:rPr>
        <w:t>-1</w:t>
      </w:r>
      <w:r>
        <w:rPr>
          <w:lang w:val="en-AU"/>
        </w:rPr>
        <w:t xml:space="preserve">) </w:t>
      </w:r>
      <w:r w:rsidRPr="00CB705A">
        <w:rPr>
          <w:lang w:val="en-AU"/>
        </w:rPr>
        <w:t>is used to derive these values</w:t>
      </w:r>
      <w:r>
        <w:rPr>
          <w:lang w:val="en-AU"/>
        </w:rPr>
        <w:t xml:space="preserve">. Sampling rates are influenced by the prevailing conditions at a sampling site and include temperature, water flow and the degree of sampler biofouling, and cannot be easily predicted based on a chemical’s physico-chemical properties. Whilst there is an ever-increasing amount of calibration data available for commonly detected anthropogenic chemicals, calibration data is still lacking for many, particularly for new and emerging chemicals. </w:t>
      </w:r>
    </w:p>
    <w:p w14:paraId="157211CC" w14:textId="77777777" w:rsidR="0059608E" w:rsidRDefault="0059608E" w:rsidP="00015606">
      <w:pPr>
        <w:spacing w:line="276" w:lineRule="auto"/>
        <w:rPr>
          <w:lang w:val="en-AU"/>
        </w:rPr>
      </w:pPr>
    </w:p>
    <w:p w14:paraId="157211CD" w14:textId="7A29C645" w:rsidR="0059608E" w:rsidRDefault="0059608E" w:rsidP="00015606">
      <w:pPr>
        <w:spacing w:line="276" w:lineRule="auto"/>
      </w:pPr>
      <w:r w:rsidRPr="00225C09">
        <w:rPr>
          <w:lang w:val="en-AU"/>
        </w:rPr>
        <w:t>The sampling rates (R</w:t>
      </w:r>
      <w:r w:rsidRPr="002A4CF4">
        <w:rPr>
          <w:vertAlign w:val="subscript"/>
          <w:lang w:val="en-AU"/>
        </w:rPr>
        <w:t>s</w:t>
      </w:r>
      <w:r w:rsidRPr="00225C09">
        <w:rPr>
          <w:lang w:val="en-AU"/>
        </w:rPr>
        <w:t xml:space="preserve">) of many polar chemicals </w:t>
      </w:r>
      <w:r>
        <w:rPr>
          <w:lang w:val="en-AU"/>
        </w:rPr>
        <w:t xml:space="preserve">relevant to the Reef </w:t>
      </w:r>
      <w:r w:rsidRPr="00225C09">
        <w:rPr>
          <w:lang w:val="en-AU"/>
        </w:rPr>
        <w:t xml:space="preserve">have been reported in both field and laboratory calibration experiments throughout the literature </w:t>
      </w:r>
      <w:r w:rsidR="00C91BF5">
        <w:rPr>
          <w:lang w:val="en-AU"/>
        </w:rPr>
        <w:fldChar w:fldCharType="begin">
          <w:fldData xml:space="preserve">PEVuZE5vdGU+PENpdGU+PEF1dGhvcj5TaGF3PC9BdXRob3I+PFllYXI+MjAwOTwvWWVhcj48UmVj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</w:fldData>
        </w:fldChar>
      </w:r>
      <w:r w:rsidR="009D4492">
        <w:rPr>
          <w:lang w:val="en-AU"/>
        </w:rPr>
        <w:instrText xml:space="preserve"> ADDIN EN.CITE </w:instrText>
      </w:r>
      <w:r w:rsidR="009D4492">
        <w:rPr>
          <w:lang w:val="en-AU"/>
        </w:rPr>
        <w:fldChar w:fldCharType="begin">
          <w:fldData xml:space="preserve">PEVuZE5vdGU+PENpdGU+PEF1dGhvcj5TaGF3PC9BdXRob3I+PFllYXI+MjAwOTwvWWVhcj48UmVj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</w:fldData>
        </w:fldChar>
      </w:r>
      <w:r w:rsidR="009D4492">
        <w:rPr>
          <w:lang w:val="en-AU"/>
        </w:rPr>
        <w:instrText xml:space="preserve"> ADDIN EN.CITE.DATA </w:instrText>
      </w:r>
      <w:r w:rsidR="009D4492">
        <w:rPr>
          <w:lang w:val="en-AU"/>
        </w:rPr>
      </w:r>
      <w:r w:rsidR="009D4492">
        <w:rPr>
          <w:lang w:val="en-AU"/>
        </w:rPr>
        <w:fldChar w:fldCharType="end"/>
      </w:r>
      <w:r w:rsidR="00C91BF5">
        <w:rPr>
          <w:lang w:val="en-AU"/>
        </w:rPr>
      </w:r>
      <w:r w:rsidR="00C91BF5">
        <w:rPr>
          <w:lang w:val="en-AU"/>
        </w:rPr>
        <w:fldChar w:fldCharType="separate"/>
      </w:r>
      <w:r w:rsidR="009D4492">
        <w:rPr>
          <w:noProof/>
          <w:lang w:val="en-AU"/>
        </w:rPr>
        <w:t>(Booij et al., 2002, Stephens et al., 2005, Shaw et al., 2009, Shaw and Mueller, 2009, Stephens et al., 2009, Vermeirssen et al., 2009, O’Brien et al., 2011a, Kaserzon et al., 2014)</w:t>
      </w:r>
      <w:r w:rsidR="00C91BF5">
        <w:rPr>
          <w:lang w:val="en-AU"/>
        </w:rPr>
        <w:fldChar w:fldCharType="end"/>
      </w:r>
      <w:r>
        <w:rPr>
          <w:lang w:val="en-AU"/>
        </w:rPr>
        <w:t>, although rates vary due to the conditions under which they were conducted</w:t>
      </w:r>
      <w:r w:rsidRPr="00225C09">
        <w:rPr>
          <w:lang w:val="en-AU"/>
        </w:rPr>
        <w:t>. Atrazine was common to all of these studies and was chosen as a reference point to estimate compound specific sampling rates of other herbicides on a proportional basis (i.e. R</w:t>
      </w:r>
      <w:r w:rsidRPr="002A4CF4">
        <w:rPr>
          <w:vertAlign w:val="subscript"/>
          <w:lang w:val="en-AU"/>
        </w:rPr>
        <w:t>s</w:t>
      </w:r>
      <w:r w:rsidRPr="00225C09">
        <w:rPr>
          <w:lang w:val="en-AU"/>
        </w:rPr>
        <w:t xml:space="preserve"> of chemical X / R</w:t>
      </w:r>
      <w:r w:rsidRPr="002A4CF4">
        <w:rPr>
          <w:vertAlign w:val="subscript"/>
          <w:lang w:val="en-AU"/>
        </w:rPr>
        <w:t>s</w:t>
      </w:r>
      <w:r w:rsidRPr="00225C09">
        <w:rPr>
          <w:lang w:val="en-AU"/>
        </w:rPr>
        <w:t xml:space="preserve"> of atrazine)</w:t>
      </w:r>
      <w:r>
        <w:rPr>
          <w:lang w:val="en-AU"/>
        </w:rPr>
        <w:t>.</w:t>
      </w:r>
    </w:p>
    <w:p w14:paraId="157211CE" w14:textId="77777777" w:rsidR="0059608E" w:rsidRDefault="0059608E" w:rsidP="00015606">
      <w:pPr>
        <w:spacing w:line="276" w:lineRule="auto"/>
      </w:pPr>
    </w:p>
    <w:p w14:paraId="157211CF" w14:textId="1B7D1C6C" w:rsidR="0059608E" w:rsidRDefault="0059608E" w:rsidP="00015606">
      <w:pPr>
        <w:spacing w:line="276" w:lineRule="auto"/>
        <w:rPr>
          <w:lang w:val="en-AU"/>
        </w:rPr>
      </w:pPr>
      <w:r>
        <w:t>The relationship between the sampling rate of atrazine and flow effects has been extensively investigated</w:t>
      </w:r>
      <w:r w:rsidR="008326B4">
        <w:t xml:space="preserve"> </w:t>
      </w:r>
      <w:r w:rsidR="00C91BF5">
        <w:fldChar w:fldCharType="begin"/>
      </w:r>
      <w:r w:rsidR="009D4492">
        <w:instrText xml:space="preserve"> ADDIN EN.CITE &lt;EndNote&gt;&lt;Cite&gt;&lt;Author&gt;O’Brien&lt;/Author&gt;&lt;Year&gt;2011&lt;/Year&gt;&lt;RecNum&gt;79&lt;/RecNum&gt;&lt;DisplayText&gt;(O’Brien et al., 2011a)&lt;/DisplayText&gt;&lt;record&gt;&lt;rec-number&gt;79&lt;/rec-number&gt;&lt;foreign-keys&gt;&lt;key app="EN" db-id="vvtrt2pt4xpx5teta99vvtwg50vzve2aexae" timestamp="1493157425"&gt;79&lt;/key&gt;&lt;/foreign-keys&gt;&lt;ref-type name="Journal Article"&gt;17&lt;/ref-type&gt;&lt;contributors&gt;&lt;authors&gt;&lt;author&gt;O’Brien, Dominique&lt;/author&gt;&lt;author&gt;Bartkow, Michael&lt;/author&gt;&lt;author&gt;Mueller, Jochen F&lt;/author&gt;&lt;/authors&gt;&lt;/contributors&gt;&lt;titles&gt;&lt;title&gt;Determination of deployment specific chemical uptake rates for SDB-RPD Empore disk using a passive flow monitor (PFM)&lt;/title&gt;&lt;secondary-title&gt;Chemosphere&lt;/secondary-title&gt;&lt;/titles&gt;&lt;periodical&gt;&lt;full-title&gt;Chemosphere&lt;/full-title&gt;&lt;/periodical&gt;&lt;pages&gt;1290-1295&lt;/pages&gt;&lt;volume&gt;83&lt;/volume&gt;&lt;number&gt;9&lt;/number&gt;&lt;dates&gt;&lt;year&gt;2011&lt;/year&gt;&lt;/dates&gt;&lt;isbn&gt;0045-6535&lt;/isbn&gt;&lt;urls&gt;&lt;/urls&gt;&lt;/record&gt;&lt;/Cite&gt;&lt;/EndNote&gt;</w:instrText>
      </w:r>
      <w:r w:rsidR="00C91BF5">
        <w:fldChar w:fldCharType="separate"/>
      </w:r>
      <w:r w:rsidR="009D4492">
        <w:rPr>
          <w:noProof/>
        </w:rPr>
        <w:t>(O’Brien et al., 2011a)</w:t>
      </w:r>
      <w:r w:rsidR="00C91BF5">
        <w:fldChar w:fldCharType="end"/>
      </w:r>
      <w:r>
        <w:t xml:space="preserve">. </w:t>
      </w:r>
      <w:r w:rsidRPr="00225C09">
        <w:rPr>
          <w:lang w:val="en-AU"/>
        </w:rPr>
        <w:t xml:space="preserve">Using this relationship, a sampling rate for each herbicide </w:t>
      </w:r>
      <w:r>
        <w:rPr>
          <w:lang w:val="en-AU"/>
        </w:rPr>
        <w:t>was</w:t>
      </w:r>
      <w:r w:rsidRPr="00225C09">
        <w:rPr>
          <w:lang w:val="en-AU"/>
        </w:rPr>
        <w:t xml:space="preserve"> calculated, specific to the flow conditions encountered at a particular site during each deployment. By inserting the relevant water velocity (estimated from PFM loss rate) into the equation and adjusting the resulting sampling rate by their proportion relative to atrazine, compound specific sampling rates were estimated for other herbicides, to provide estimates of herbicide water concentrations.</w:t>
      </w:r>
      <w:r>
        <w:rPr>
          <w:lang w:val="en-AU"/>
        </w:rPr>
        <w:t xml:space="preserve"> For herbicides where no calibration data is available, the sampling rate of atrazine has been assumed. Whilst there is always variability in calibration data, regardless of whether calibration data is available or has been assumed, the objectives of the pesticide monitoring component (to monitor trends in pesticide concentrations) of the MMP can be achieved, provided the same calibration data is used year-on-year.</w:t>
      </w:r>
    </w:p>
    <w:p w14:paraId="157211D0" w14:textId="77777777" w:rsidR="00E31255" w:rsidRDefault="00E31255" w:rsidP="00015606">
      <w:pPr>
        <w:spacing w:line="276" w:lineRule="auto"/>
        <w:rPr>
          <w:lang w:val="en-AU"/>
        </w:rPr>
      </w:pPr>
    </w:p>
    <w:p w14:paraId="157211D1" w14:textId="77777777" w:rsidR="00E31255" w:rsidRPr="003664EA" w:rsidRDefault="00695EC7" w:rsidP="00695EC7">
      <w:pPr>
        <w:pStyle w:val="Caption"/>
        <w:keepNext/>
        <w:spacing w:after="120"/>
        <w:rPr>
          <w:b w:val="0"/>
        </w:rPr>
      </w:pPr>
      <w:bookmarkStart w:id="743" w:name="_Ref480726609"/>
      <w:bookmarkStart w:id="744" w:name="_Toc502499806"/>
      <w:r>
        <w:t xml:space="preserve">Table </w:t>
      </w:r>
      <w:r w:rsidR="00C91BF5">
        <w:fldChar w:fldCharType="begin"/>
      </w:r>
      <w:r w:rsidR="008C60F9">
        <w:instrText xml:space="preserve"> STYLEREF 7 \s </w:instrText>
      </w:r>
      <w:r w:rsidR="00C91BF5">
        <w:fldChar w:fldCharType="separate"/>
      </w:r>
      <w:r w:rsidR="00D12276">
        <w:rPr>
          <w:noProof/>
        </w:rPr>
        <w:t>A</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1</w:t>
      </w:r>
      <w:r w:rsidR="00C91BF5">
        <w:fldChar w:fldCharType="end"/>
      </w:r>
      <w:bookmarkEnd w:id="743"/>
      <w:r w:rsidR="003664EA" w:rsidRPr="003664EA">
        <w:rPr>
          <w:b w:val="0"/>
        </w:rPr>
        <w:t>:</w:t>
      </w:r>
      <w:r w:rsidR="00E31255" w:rsidRPr="003664EA">
        <w:rPr>
          <w:b w:val="0"/>
        </w:rPr>
        <w:t xml:space="preserve"> Summary of variability (% coefficient of variation) of replicate ED analysis</w:t>
      </w:r>
      <w:bookmarkEnd w:id="744"/>
    </w:p>
    <w:tbl>
      <w:tblPr>
        <w:tblW w:w="9260" w:type="dxa"/>
        <w:tblInd w:w="675" w:type="dxa"/>
        <w:tblLayout w:type="fixed"/>
        <w:tblLook w:val="04A0" w:firstRow="1" w:lastRow="0" w:firstColumn="1" w:lastColumn="0" w:noHBand="0" w:noVBand="1"/>
      </w:tblPr>
      <w:tblGrid>
        <w:gridCol w:w="2237"/>
        <w:gridCol w:w="882"/>
        <w:gridCol w:w="2112"/>
        <w:gridCol w:w="1480"/>
        <w:gridCol w:w="1480"/>
        <w:gridCol w:w="1069"/>
      </w:tblGrid>
      <w:tr w:rsidR="00695EC7" w:rsidRPr="00AC0CC1" w14:paraId="157211DB" w14:textId="77777777" w:rsidTr="005B06AA">
        <w:trPr>
          <w:trHeight w:val="733"/>
        </w:trPr>
        <w:tc>
          <w:tcPr>
            <w:tcW w:w="2237" w:type="dxa"/>
            <w:tcBorders>
              <w:top w:val="single" w:sz="4" w:space="0" w:color="auto"/>
            </w:tcBorders>
            <w:shd w:val="clear" w:color="auto" w:fill="F2F2F2" w:themeFill="background1" w:themeFillShade="F2"/>
            <w:noWrap/>
            <w:vAlign w:val="center"/>
            <w:hideMark/>
          </w:tcPr>
          <w:p w14:paraId="157211D2" w14:textId="77777777" w:rsidR="00695EC7" w:rsidRPr="00AC0CC1" w:rsidRDefault="00695EC7" w:rsidP="00AC0CC1">
            <w:pPr>
              <w:jc w:val="center"/>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Chemical</w:t>
            </w:r>
          </w:p>
        </w:tc>
        <w:tc>
          <w:tcPr>
            <w:tcW w:w="882" w:type="dxa"/>
            <w:tcBorders>
              <w:top w:val="single" w:sz="4" w:space="0" w:color="auto"/>
            </w:tcBorders>
            <w:shd w:val="clear" w:color="auto" w:fill="F2F2F2" w:themeFill="background1" w:themeFillShade="F2"/>
          </w:tcPr>
          <w:p w14:paraId="157211D3" w14:textId="77777777" w:rsidR="00695EC7" w:rsidRPr="00AC0CC1" w:rsidRDefault="00695EC7" w:rsidP="00B0545B">
            <w:pPr>
              <w:jc w:val="center"/>
              <w:rPr>
                <w:rFonts w:asciiTheme="minorHAnsi" w:eastAsia="Times New Roman" w:hAnsiTheme="minorHAnsi" w:cstheme="minorHAnsi"/>
                <w:b/>
                <w:bCs/>
                <w:color w:val="000000"/>
                <w:lang w:val="en-AU" w:eastAsia="en-AU" w:bidi="ar-SA"/>
              </w:rPr>
            </w:pPr>
          </w:p>
        </w:tc>
        <w:tc>
          <w:tcPr>
            <w:tcW w:w="2112" w:type="dxa"/>
            <w:tcBorders>
              <w:top w:val="single" w:sz="4" w:space="0" w:color="auto"/>
            </w:tcBorders>
            <w:shd w:val="clear" w:color="auto" w:fill="F2F2F2" w:themeFill="background1" w:themeFillShade="F2"/>
            <w:vAlign w:val="center"/>
            <w:hideMark/>
          </w:tcPr>
          <w:p w14:paraId="157211D4" w14:textId="77777777" w:rsidR="00695EC7" w:rsidRPr="00AC0CC1" w:rsidRDefault="00695EC7" w:rsidP="00B0545B">
            <w:pPr>
              <w:jc w:val="center"/>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Detections in both duplicates (n)</w:t>
            </w:r>
          </w:p>
        </w:tc>
        <w:tc>
          <w:tcPr>
            <w:tcW w:w="1480" w:type="dxa"/>
            <w:tcBorders>
              <w:top w:val="single" w:sz="4" w:space="0" w:color="auto"/>
            </w:tcBorders>
            <w:shd w:val="clear" w:color="auto" w:fill="F2F2F2" w:themeFill="background1" w:themeFillShade="F2"/>
            <w:vAlign w:val="center"/>
            <w:hideMark/>
          </w:tcPr>
          <w:p w14:paraId="157211D5" w14:textId="77777777" w:rsidR="00695EC7" w:rsidRPr="00AC0CC1" w:rsidRDefault="00695EC7" w:rsidP="00B0545B">
            <w:pPr>
              <w:jc w:val="center"/>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 xml:space="preserve">Mean </w:t>
            </w:r>
          </w:p>
          <w:p w14:paraId="157211D6" w14:textId="77777777" w:rsidR="00695EC7" w:rsidRPr="00AC0CC1" w:rsidRDefault="00695EC7" w:rsidP="00B0545B">
            <w:pPr>
              <w:jc w:val="center"/>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 CV</w:t>
            </w:r>
          </w:p>
        </w:tc>
        <w:tc>
          <w:tcPr>
            <w:tcW w:w="1480" w:type="dxa"/>
            <w:tcBorders>
              <w:top w:val="single" w:sz="4" w:space="0" w:color="auto"/>
            </w:tcBorders>
            <w:shd w:val="clear" w:color="auto" w:fill="F2F2F2" w:themeFill="background1" w:themeFillShade="F2"/>
            <w:vAlign w:val="center"/>
            <w:hideMark/>
          </w:tcPr>
          <w:p w14:paraId="157211D7" w14:textId="77777777" w:rsidR="00695EC7" w:rsidRPr="00AC0CC1" w:rsidRDefault="00695EC7" w:rsidP="00B0545B">
            <w:pPr>
              <w:jc w:val="center"/>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 xml:space="preserve">Min </w:t>
            </w:r>
          </w:p>
          <w:p w14:paraId="157211D8" w14:textId="77777777" w:rsidR="00695EC7" w:rsidRPr="00AC0CC1" w:rsidRDefault="00695EC7" w:rsidP="00B0545B">
            <w:pPr>
              <w:jc w:val="center"/>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 CV</w:t>
            </w:r>
          </w:p>
        </w:tc>
        <w:tc>
          <w:tcPr>
            <w:tcW w:w="1069" w:type="dxa"/>
            <w:tcBorders>
              <w:top w:val="single" w:sz="4" w:space="0" w:color="auto"/>
            </w:tcBorders>
            <w:shd w:val="clear" w:color="auto" w:fill="F2F2F2" w:themeFill="background1" w:themeFillShade="F2"/>
            <w:vAlign w:val="center"/>
            <w:hideMark/>
          </w:tcPr>
          <w:p w14:paraId="157211D9" w14:textId="77777777" w:rsidR="00695EC7" w:rsidRPr="00AC0CC1" w:rsidRDefault="00695EC7" w:rsidP="00B0545B">
            <w:pPr>
              <w:jc w:val="center"/>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 xml:space="preserve">Max </w:t>
            </w:r>
          </w:p>
          <w:p w14:paraId="157211DA" w14:textId="77777777" w:rsidR="00695EC7" w:rsidRPr="00AC0CC1" w:rsidRDefault="00695EC7" w:rsidP="00B0545B">
            <w:pPr>
              <w:jc w:val="center"/>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 CV</w:t>
            </w:r>
          </w:p>
        </w:tc>
      </w:tr>
      <w:tr w:rsidR="00695EC7" w:rsidRPr="00AC0CC1" w14:paraId="157211E2" w14:textId="77777777" w:rsidTr="005B06AA">
        <w:trPr>
          <w:trHeight w:val="300"/>
        </w:trPr>
        <w:tc>
          <w:tcPr>
            <w:tcW w:w="2237" w:type="dxa"/>
            <w:tcBorders>
              <w:bottom w:val="nil"/>
            </w:tcBorders>
            <w:shd w:val="clear" w:color="auto" w:fill="auto"/>
            <w:noWrap/>
            <w:vAlign w:val="bottom"/>
            <w:hideMark/>
          </w:tcPr>
          <w:p w14:paraId="157211DC"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2,4-D</w:t>
            </w:r>
          </w:p>
        </w:tc>
        <w:tc>
          <w:tcPr>
            <w:tcW w:w="882" w:type="dxa"/>
            <w:tcBorders>
              <w:bottom w:val="nil"/>
            </w:tcBorders>
          </w:tcPr>
          <w:p w14:paraId="157211DD"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bottom w:val="nil"/>
            </w:tcBorders>
            <w:shd w:val="clear" w:color="auto" w:fill="auto"/>
            <w:noWrap/>
            <w:vAlign w:val="bottom"/>
            <w:hideMark/>
          </w:tcPr>
          <w:p w14:paraId="157211DE"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9</w:t>
            </w:r>
          </w:p>
        </w:tc>
        <w:tc>
          <w:tcPr>
            <w:tcW w:w="1480" w:type="dxa"/>
            <w:tcBorders>
              <w:bottom w:val="nil"/>
            </w:tcBorders>
            <w:shd w:val="clear" w:color="auto" w:fill="auto"/>
            <w:noWrap/>
            <w:vAlign w:val="bottom"/>
            <w:hideMark/>
          </w:tcPr>
          <w:p w14:paraId="157211DF"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18</w:t>
            </w:r>
          </w:p>
        </w:tc>
        <w:tc>
          <w:tcPr>
            <w:tcW w:w="1480" w:type="dxa"/>
            <w:tcBorders>
              <w:bottom w:val="nil"/>
            </w:tcBorders>
            <w:shd w:val="clear" w:color="auto" w:fill="auto"/>
            <w:noWrap/>
            <w:vAlign w:val="bottom"/>
            <w:hideMark/>
          </w:tcPr>
          <w:p w14:paraId="157211E0"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1.1</w:t>
            </w:r>
          </w:p>
        </w:tc>
        <w:tc>
          <w:tcPr>
            <w:tcW w:w="1069" w:type="dxa"/>
            <w:tcBorders>
              <w:bottom w:val="nil"/>
            </w:tcBorders>
            <w:shd w:val="clear" w:color="auto" w:fill="auto"/>
            <w:noWrap/>
            <w:vAlign w:val="bottom"/>
            <w:hideMark/>
          </w:tcPr>
          <w:p w14:paraId="157211E1"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33</w:t>
            </w:r>
          </w:p>
        </w:tc>
      </w:tr>
      <w:tr w:rsidR="00695EC7" w:rsidRPr="00AC0CC1" w14:paraId="157211E9" w14:textId="77777777" w:rsidTr="005B06AA">
        <w:trPr>
          <w:trHeight w:val="300"/>
        </w:trPr>
        <w:tc>
          <w:tcPr>
            <w:tcW w:w="2237" w:type="dxa"/>
            <w:tcBorders>
              <w:top w:val="nil"/>
              <w:bottom w:val="nil"/>
            </w:tcBorders>
            <w:shd w:val="clear" w:color="auto" w:fill="auto"/>
            <w:noWrap/>
            <w:vAlign w:val="bottom"/>
            <w:hideMark/>
          </w:tcPr>
          <w:p w14:paraId="157211E3" w14:textId="77777777" w:rsidR="00695EC7" w:rsidRPr="00AC0CC1" w:rsidRDefault="00695EC7" w:rsidP="00B0545B">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Ametryn</w:t>
            </w:r>
          </w:p>
        </w:tc>
        <w:tc>
          <w:tcPr>
            <w:tcW w:w="882" w:type="dxa"/>
            <w:tcBorders>
              <w:top w:val="nil"/>
              <w:bottom w:val="nil"/>
            </w:tcBorders>
          </w:tcPr>
          <w:p w14:paraId="157211E4" w14:textId="77777777" w:rsidR="00695EC7" w:rsidRPr="00AC0CC1" w:rsidRDefault="00695EC7" w:rsidP="00B0545B">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1E5"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5</w:t>
            </w:r>
          </w:p>
        </w:tc>
        <w:tc>
          <w:tcPr>
            <w:tcW w:w="1480" w:type="dxa"/>
            <w:tcBorders>
              <w:top w:val="nil"/>
              <w:bottom w:val="nil"/>
            </w:tcBorders>
            <w:shd w:val="clear" w:color="auto" w:fill="auto"/>
            <w:noWrap/>
            <w:vAlign w:val="bottom"/>
            <w:hideMark/>
          </w:tcPr>
          <w:p w14:paraId="157211E6"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14</w:t>
            </w:r>
          </w:p>
        </w:tc>
        <w:tc>
          <w:tcPr>
            <w:tcW w:w="1480" w:type="dxa"/>
            <w:tcBorders>
              <w:top w:val="nil"/>
              <w:bottom w:val="nil"/>
            </w:tcBorders>
            <w:shd w:val="clear" w:color="auto" w:fill="auto"/>
            <w:noWrap/>
            <w:vAlign w:val="bottom"/>
            <w:hideMark/>
          </w:tcPr>
          <w:p w14:paraId="157211E7"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1.4</w:t>
            </w:r>
          </w:p>
        </w:tc>
        <w:tc>
          <w:tcPr>
            <w:tcW w:w="1069" w:type="dxa"/>
            <w:tcBorders>
              <w:top w:val="nil"/>
              <w:bottom w:val="nil"/>
            </w:tcBorders>
            <w:shd w:val="clear" w:color="auto" w:fill="auto"/>
            <w:noWrap/>
            <w:vAlign w:val="bottom"/>
            <w:hideMark/>
          </w:tcPr>
          <w:p w14:paraId="157211E8"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35</w:t>
            </w:r>
          </w:p>
        </w:tc>
      </w:tr>
      <w:tr w:rsidR="00695EC7" w:rsidRPr="00AC0CC1" w14:paraId="157211F0" w14:textId="77777777" w:rsidTr="005B06AA">
        <w:trPr>
          <w:trHeight w:val="300"/>
        </w:trPr>
        <w:tc>
          <w:tcPr>
            <w:tcW w:w="2237" w:type="dxa"/>
            <w:tcBorders>
              <w:top w:val="nil"/>
              <w:bottom w:val="nil"/>
            </w:tcBorders>
            <w:shd w:val="clear" w:color="auto" w:fill="auto"/>
            <w:noWrap/>
            <w:vAlign w:val="bottom"/>
            <w:hideMark/>
          </w:tcPr>
          <w:p w14:paraId="157211EA" w14:textId="77777777" w:rsidR="00695EC7" w:rsidRPr="00AC0CC1" w:rsidRDefault="00695EC7" w:rsidP="00B0545B">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Atrazine</w:t>
            </w:r>
          </w:p>
        </w:tc>
        <w:tc>
          <w:tcPr>
            <w:tcW w:w="882" w:type="dxa"/>
            <w:tcBorders>
              <w:top w:val="nil"/>
              <w:bottom w:val="nil"/>
            </w:tcBorders>
          </w:tcPr>
          <w:p w14:paraId="157211EB" w14:textId="77777777" w:rsidR="00695EC7" w:rsidRPr="00AC0CC1" w:rsidRDefault="00695EC7" w:rsidP="00B0545B">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1EC"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13</w:t>
            </w:r>
          </w:p>
        </w:tc>
        <w:tc>
          <w:tcPr>
            <w:tcW w:w="1480" w:type="dxa"/>
            <w:tcBorders>
              <w:top w:val="nil"/>
              <w:bottom w:val="nil"/>
            </w:tcBorders>
            <w:shd w:val="clear" w:color="auto" w:fill="auto"/>
            <w:noWrap/>
            <w:vAlign w:val="bottom"/>
            <w:hideMark/>
          </w:tcPr>
          <w:p w14:paraId="157211ED"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19</w:t>
            </w:r>
          </w:p>
        </w:tc>
        <w:tc>
          <w:tcPr>
            <w:tcW w:w="1480" w:type="dxa"/>
            <w:tcBorders>
              <w:top w:val="nil"/>
              <w:bottom w:val="nil"/>
            </w:tcBorders>
            <w:shd w:val="clear" w:color="auto" w:fill="auto"/>
            <w:noWrap/>
            <w:vAlign w:val="bottom"/>
            <w:hideMark/>
          </w:tcPr>
          <w:p w14:paraId="157211EE"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0.2</w:t>
            </w:r>
          </w:p>
        </w:tc>
        <w:tc>
          <w:tcPr>
            <w:tcW w:w="1069" w:type="dxa"/>
            <w:tcBorders>
              <w:top w:val="nil"/>
              <w:bottom w:val="nil"/>
            </w:tcBorders>
            <w:shd w:val="clear" w:color="auto" w:fill="auto"/>
            <w:noWrap/>
            <w:vAlign w:val="bottom"/>
            <w:hideMark/>
          </w:tcPr>
          <w:p w14:paraId="157211EF"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56</w:t>
            </w:r>
          </w:p>
        </w:tc>
      </w:tr>
      <w:tr w:rsidR="00695EC7" w:rsidRPr="00AC0CC1" w14:paraId="157211F7" w14:textId="77777777" w:rsidTr="005B06AA">
        <w:trPr>
          <w:trHeight w:val="300"/>
        </w:trPr>
        <w:tc>
          <w:tcPr>
            <w:tcW w:w="2237" w:type="dxa"/>
            <w:tcBorders>
              <w:top w:val="nil"/>
              <w:bottom w:val="nil"/>
            </w:tcBorders>
            <w:shd w:val="clear" w:color="auto" w:fill="auto"/>
            <w:noWrap/>
            <w:vAlign w:val="bottom"/>
            <w:hideMark/>
          </w:tcPr>
          <w:p w14:paraId="157211F1"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Bromacil</w:t>
            </w:r>
          </w:p>
        </w:tc>
        <w:tc>
          <w:tcPr>
            <w:tcW w:w="882" w:type="dxa"/>
            <w:tcBorders>
              <w:top w:val="nil"/>
              <w:bottom w:val="nil"/>
            </w:tcBorders>
          </w:tcPr>
          <w:p w14:paraId="157211F2"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1F3"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w:t>
            </w:r>
          </w:p>
        </w:tc>
        <w:tc>
          <w:tcPr>
            <w:tcW w:w="1480" w:type="dxa"/>
            <w:tcBorders>
              <w:top w:val="nil"/>
              <w:bottom w:val="nil"/>
            </w:tcBorders>
            <w:shd w:val="clear" w:color="auto" w:fill="auto"/>
            <w:noWrap/>
            <w:vAlign w:val="bottom"/>
            <w:hideMark/>
          </w:tcPr>
          <w:p w14:paraId="157211F4"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12</w:t>
            </w:r>
          </w:p>
        </w:tc>
        <w:tc>
          <w:tcPr>
            <w:tcW w:w="1480" w:type="dxa"/>
            <w:tcBorders>
              <w:top w:val="nil"/>
              <w:bottom w:val="nil"/>
            </w:tcBorders>
            <w:shd w:val="clear" w:color="auto" w:fill="auto"/>
            <w:noWrap/>
            <w:vAlign w:val="bottom"/>
            <w:hideMark/>
          </w:tcPr>
          <w:p w14:paraId="157211F5"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11</w:t>
            </w:r>
          </w:p>
        </w:tc>
        <w:tc>
          <w:tcPr>
            <w:tcW w:w="1069" w:type="dxa"/>
            <w:tcBorders>
              <w:top w:val="nil"/>
              <w:bottom w:val="nil"/>
            </w:tcBorders>
            <w:shd w:val="clear" w:color="auto" w:fill="auto"/>
            <w:noWrap/>
            <w:vAlign w:val="bottom"/>
            <w:hideMark/>
          </w:tcPr>
          <w:p w14:paraId="157211F6"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12</w:t>
            </w:r>
          </w:p>
        </w:tc>
      </w:tr>
      <w:tr w:rsidR="00695EC7" w:rsidRPr="00AC0CC1" w14:paraId="157211FE" w14:textId="77777777" w:rsidTr="005B06AA">
        <w:trPr>
          <w:trHeight w:val="300"/>
        </w:trPr>
        <w:tc>
          <w:tcPr>
            <w:tcW w:w="2237" w:type="dxa"/>
            <w:tcBorders>
              <w:top w:val="nil"/>
              <w:bottom w:val="nil"/>
            </w:tcBorders>
            <w:shd w:val="clear" w:color="auto" w:fill="auto"/>
            <w:noWrap/>
            <w:vAlign w:val="bottom"/>
            <w:hideMark/>
          </w:tcPr>
          <w:p w14:paraId="157211F8" w14:textId="77777777" w:rsidR="00695EC7" w:rsidRPr="00AC0CC1" w:rsidRDefault="00695EC7" w:rsidP="00B0545B">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Desethyl atrazine</w:t>
            </w:r>
          </w:p>
        </w:tc>
        <w:tc>
          <w:tcPr>
            <w:tcW w:w="882" w:type="dxa"/>
            <w:tcBorders>
              <w:top w:val="nil"/>
              <w:bottom w:val="nil"/>
            </w:tcBorders>
          </w:tcPr>
          <w:p w14:paraId="157211F9" w14:textId="77777777" w:rsidR="00695EC7" w:rsidRPr="00AC0CC1" w:rsidRDefault="00695EC7" w:rsidP="00B0545B">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1FA"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9</w:t>
            </w:r>
          </w:p>
        </w:tc>
        <w:tc>
          <w:tcPr>
            <w:tcW w:w="1480" w:type="dxa"/>
            <w:tcBorders>
              <w:top w:val="nil"/>
              <w:bottom w:val="nil"/>
            </w:tcBorders>
            <w:shd w:val="clear" w:color="auto" w:fill="auto"/>
            <w:noWrap/>
            <w:vAlign w:val="bottom"/>
            <w:hideMark/>
          </w:tcPr>
          <w:p w14:paraId="157211FB"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7.0</w:t>
            </w:r>
          </w:p>
        </w:tc>
        <w:tc>
          <w:tcPr>
            <w:tcW w:w="1480" w:type="dxa"/>
            <w:tcBorders>
              <w:top w:val="nil"/>
              <w:bottom w:val="nil"/>
            </w:tcBorders>
            <w:shd w:val="clear" w:color="auto" w:fill="auto"/>
            <w:noWrap/>
            <w:vAlign w:val="bottom"/>
            <w:hideMark/>
          </w:tcPr>
          <w:p w14:paraId="157211FC"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0.8</w:t>
            </w:r>
          </w:p>
        </w:tc>
        <w:tc>
          <w:tcPr>
            <w:tcW w:w="1069" w:type="dxa"/>
            <w:tcBorders>
              <w:top w:val="nil"/>
              <w:bottom w:val="nil"/>
            </w:tcBorders>
            <w:shd w:val="clear" w:color="auto" w:fill="auto"/>
            <w:noWrap/>
            <w:vAlign w:val="bottom"/>
            <w:hideMark/>
          </w:tcPr>
          <w:p w14:paraId="157211FD"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17</w:t>
            </w:r>
          </w:p>
        </w:tc>
      </w:tr>
      <w:tr w:rsidR="00695EC7" w:rsidRPr="00AC0CC1" w14:paraId="15721205" w14:textId="77777777" w:rsidTr="005B06AA">
        <w:trPr>
          <w:trHeight w:val="300"/>
        </w:trPr>
        <w:tc>
          <w:tcPr>
            <w:tcW w:w="2237" w:type="dxa"/>
            <w:tcBorders>
              <w:top w:val="nil"/>
              <w:bottom w:val="nil"/>
            </w:tcBorders>
            <w:shd w:val="clear" w:color="auto" w:fill="auto"/>
            <w:noWrap/>
            <w:vAlign w:val="bottom"/>
            <w:hideMark/>
          </w:tcPr>
          <w:p w14:paraId="157211FF" w14:textId="77777777" w:rsidR="00695EC7" w:rsidRPr="00AC0CC1" w:rsidRDefault="00695EC7" w:rsidP="00B0545B">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Desisopropyl atrazine</w:t>
            </w:r>
          </w:p>
        </w:tc>
        <w:tc>
          <w:tcPr>
            <w:tcW w:w="882" w:type="dxa"/>
            <w:tcBorders>
              <w:top w:val="nil"/>
              <w:bottom w:val="nil"/>
            </w:tcBorders>
          </w:tcPr>
          <w:p w14:paraId="15721200" w14:textId="77777777" w:rsidR="00695EC7" w:rsidRPr="00AC0CC1" w:rsidRDefault="00695EC7" w:rsidP="00B0545B">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01"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8</w:t>
            </w:r>
          </w:p>
        </w:tc>
        <w:tc>
          <w:tcPr>
            <w:tcW w:w="1480" w:type="dxa"/>
            <w:tcBorders>
              <w:top w:val="nil"/>
              <w:bottom w:val="nil"/>
            </w:tcBorders>
            <w:shd w:val="clear" w:color="auto" w:fill="auto"/>
            <w:noWrap/>
            <w:vAlign w:val="bottom"/>
            <w:hideMark/>
          </w:tcPr>
          <w:p w14:paraId="15721202"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20</w:t>
            </w:r>
          </w:p>
        </w:tc>
        <w:tc>
          <w:tcPr>
            <w:tcW w:w="1480" w:type="dxa"/>
            <w:tcBorders>
              <w:top w:val="nil"/>
              <w:bottom w:val="nil"/>
            </w:tcBorders>
            <w:shd w:val="clear" w:color="auto" w:fill="auto"/>
            <w:noWrap/>
            <w:vAlign w:val="bottom"/>
            <w:hideMark/>
          </w:tcPr>
          <w:p w14:paraId="15721203"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1.1</w:t>
            </w:r>
          </w:p>
        </w:tc>
        <w:tc>
          <w:tcPr>
            <w:tcW w:w="1069" w:type="dxa"/>
            <w:tcBorders>
              <w:top w:val="nil"/>
              <w:bottom w:val="nil"/>
            </w:tcBorders>
            <w:shd w:val="clear" w:color="auto" w:fill="auto"/>
            <w:noWrap/>
            <w:vAlign w:val="bottom"/>
            <w:hideMark/>
          </w:tcPr>
          <w:p w14:paraId="15721204"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52</w:t>
            </w:r>
          </w:p>
        </w:tc>
      </w:tr>
      <w:tr w:rsidR="00695EC7" w:rsidRPr="00AC0CC1" w14:paraId="1572120C" w14:textId="77777777" w:rsidTr="005B06AA">
        <w:trPr>
          <w:trHeight w:val="300"/>
        </w:trPr>
        <w:tc>
          <w:tcPr>
            <w:tcW w:w="2237" w:type="dxa"/>
            <w:tcBorders>
              <w:top w:val="nil"/>
            </w:tcBorders>
            <w:shd w:val="clear" w:color="auto" w:fill="auto"/>
            <w:noWrap/>
            <w:vAlign w:val="bottom"/>
            <w:hideMark/>
          </w:tcPr>
          <w:p w14:paraId="15721206" w14:textId="77777777" w:rsidR="00695EC7" w:rsidRPr="00AC0CC1" w:rsidRDefault="00695EC7" w:rsidP="00B0545B">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Diuron</w:t>
            </w:r>
          </w:p>
        </w:tc>
        <w:tc>
          <w:tcPr>
            <w:tcW w:w="882" w:type="dxa"/>
            <w:tcBorders>
              <w:top w:val="nil"/>
            </w:tcBorders>
          </w:tcPr>
          <w:p w14:paraId="15721207" w14:textId="77777777" w:rsidR="00695EC7" w:rsidRPr="00AC0CC1" w:rsidRDefault="00695EC7" w:rsidP="00B0545B">
            <w:pPr>
              <w:jc w:val="center"/>
              <w:rPr>
                <w:rFonts w:asciiTheme="minorHAnsi" w:eastAsia="Times New Roman" w:hAnsiTheme="minorHAnsi" w:cstheme="minorHAnsi"/>
                <w:color w:val="000000"/>
                <w:lang w:val="en-AU" w:eastAsia="en-AU" w:bidi="ar-SA"/>
              </w:rPr>
            </w:pPr>
          </w:p>
        </w:tc>
        <w:tc>
          <w:tcPr>
            <w:tcW w:w="2112" w:type="dxa"/>
            <w:tcBorders>
              <w:top w:val="nil"/>
            </w:tcBorders>
            <w:shd w:val="clear" w:color="auto" w:fill="auto"/>
            <w:noWrap/>
            <w:vAlign w:val="bottom"/>
            <w:hideMark/>
          </w:tcPr>
          <w:p w14:paraId="15721208"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15</w:t>
            </w:r>
          </w:p>
        </w:tc>
        <w:tc>
          <w:tcPr>
            <w:tcW w:w="1480" w:type="dxa"/>
            <w:tcBorders>
              <w:top w:val="nil"/>
            </w:tcBorders>
            <w:shd w:val="clear" w:color="auto" w:fill="auto"/>
            <w:noWrap/>
            <w:vAlign w:val="bottom"/>
            <w:hideMark/>
          </w:tcPr>
          <w:p w14:paraId="15721209"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20</w:t>
            </w:r>
          </w:p>
        </w:tc>
        <w:tc>
          <w:tcPr>
            <w:tcW w:w="1480" w:type="dxa"/>
            <w:tcBorders>
              <w:top w:val="nil"/>
            </w:tcBorders>
            <w:shd w:val="clear" w:color="auto" w:fill="auto"/>
            <w:noWrap/>
            <w:vAlign w:val="bottom"/>
            <w:hideMark/>
          </w:tcPr>
          <w:p w14:paraId="1572120A"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1.6</w:t>
            </w:r>
          </w:p>
        </w:tc>
        <w:tc>
          <w:tcPr>
            <w:tcW w:w="1069" w:type="dxa"/>
            <w:tcBorders>
              <w:top w:val="nil"/>
            </w:tcBorders>
            <w:shd w:val="clear" w:color="auto" w:fill="auto"/>
            <w:noWrap/>
            <w:vAlign w:val="bottom"/>
            <w:hideMark/>
          </w:tcPr>
          <w:p w14:paraId="1572120B"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94</w:t>
            </w:r>
          </w:p>
        </w:tc>
      </w:tr>
      <w:tr w:rsidR="00695EC7" w:rsidRPr="00AC0CC1" w14:paraId="15721213" w14:textId="77777777" w:rsidTr="005B06AA">
        <w:trPr>
          <w:trHeight w:val="300"/>
        </w:trPr>
        <w:tc>
          <w:tcPr>
            <w:tcW w:w="2237" w:type="dxa"/>
            <w:tcBorders>
              <w:top w:val="nil"/>
            </w:tcBorders>
            <w:shd w:val="clear" w:color="auto" w:fill="auto"/>
            <w:noWrap/>
            <w:vAlign w:val="bottom"/>
            <w:hideMark/>
          </w:tcPr>
          <w:p w14:paraId="1572120D"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Fluroxypyr</w:t>
            </w:r>
          </w:p>
        </w:tc>
        <w:tc>
          <w:tcPr>
            <w:tcW w:w="882" w:type="dxa"/>
            <w:tcBorders>
              <w:top w:val="nil"/>
            </w:tcBorders>
          </w:tcPr>
          <w:p w14:paraId="1572120E"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top w:val="nil"/>
            </w:tcBorders>
            <w:shd w:val="clear" w:color="auto" w:fill="auto"/>
            <w:noWrap/>
            <w:vAlign w:val="bottom"/>
            <w:hideMark/>
          </w:tcPr>
          <w:p w14:paraId="1572120F"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w:t>
            </w:r>
          </w:p>
        </w:tc>
        <w:tc>
          <w:tcPr>
            <w:tcW w:w="1480" w:type="dxa"/>
            <w:tcBorders>
              <w:top w:val="nil"/>
            </w:tcBorders>
            <w:shd w:val="clear" w:color="auto" w:fill="auto"/>
            <w:noWrap/>
            <w:vAlign w:val="bottom"/>
            <w:hideMark/>
          </w:tcPr>
          <w:p w14:paraId="15721210"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1.7</w:t>
            </w:r>
          </w:p>
        </w:tc>
        <w:tc>
          <w:tcPr>
            <w:tcW w:w="1480" w:type="dxa"/>
            <w:tcBorders>
              <w:top w:val="nil"/>
            </w:tcBorders>
            <w:shd w:val="clear" w:color="auto" w:fill="auto"/>
            <w:noWrap/>
            <w:vAlign w:val="bottom"/>
            <w:hideMark/>
          </w:tcPr>
          <w:p w14:paraId="15721211"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1.7</w:t>
            </w:r>
          </w:p>
        </w:tc>
        <w:tc>
          <w:tcPr>
            <w:tcW w:w="1069" w:type="dxa"/>
            <w:tcBorders>
              <w:top w:val="nil"/>
            </w:tcBorders>
            <w:shd w:val="clear" w:color="auto" w:fill="auto"/>
            <w:noWrap/>
            <w:vAlign w:val="bottom"/>
            <w:hideMark/>
          </w:tcPr>
          <w:p w14:paraId="15721212"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1.7</w:t>
            </w:r>
          </w:p>
        </w:tc>
      </w:tr>
      <w:tr w:rsidR="00695EC7" w:rsidRPr="00AC0CC1" w14:paraId="1572121A" w14:textId="77777777" w:rsidTr="005B06AA">
        <w:trPr>
          <w:trHeight w:val="300"/>
        </w:trPr>
        <w:tc>
          <w:tcPr>
            <w:tcW w:w="2237" w:type="dxa"/>
            <w:tcBorders>
              <w:bottom w:val="nil"/>
            </w:tcBorders>
            <w:shd w:val="clear" w:color="auto" w:fill="auto"/>
            <w:noWrap/>
            <w:vAlign w:val="bottom"/>
            <w:hideMark/>
          </w:tcPr>
          <w:p w14:paraId="15721214"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Haloxyfop</w:t>
            </w:r>
          </w:p>
        </w:tc>
        <w:tc>
          <w:tcPr>
            <w:tcW w:w="882" w:type="dxa"/>
            <w:tcBorders>
              <w:bottom w:val="nil"/>
            </w:tcBorders>
          </w:tcPr>
          <w:p w14:paraId="15721215"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bottom w:val="nil"/>
            </w:tcBorders>
            <w:shd w:val="clear" w:color="auto" w:fill="auto"/>
            <w:noWrap/>
            <w:vAlign w:val="bottom"/>
            <w:hideMark/>
          </w:tcPr>
          <w:p w14:paraId="15721216"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3</w:t>
            </w:r>
          </w:p>
        </w:tc>
        <w:tc>
          <w:tcPr>
            <w:tcW w:w="1480" w:type="dxa"/>
            <w:tcBorders>
              <w:bottom w:val="nil"/>
            </w:tcBorders>
            <w:shd w:val="clear" w:color="auto" w:fill="auto"/>
            <w:noWrap/>
            <w:vAlign w:val="bottom"/>
            <w:hideMark/>
          </w:tcPr>
          <w:p w14:paraId="15721217"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5.7</w:t>
            </w:r>
          </w:p>
        </w:tc>
        <w:tc>
          <w:tcPr>
            <w:tcW w:w="1480" w:type="dxa"/>
            <w:tcBorders>
              <w:bottom w:val="nil"/>
            </w:tcBorders>
            <w:shd w:val="clear" w:color="auto" w:fill="auto"/>
            <w:noWrap/>
            <w:vAlign w:val="bottom"/>
            <w:hideMark/>
          </w:tcPr>
          <w:p w14:paraId="15721218"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2.7</w:t>
            </w:r>
          </w:p>
        </w:tc>
        <w:tc>
          <w:tcPr>
            <w:tcW w:w="1069" w:type="dxa"/>
            <w:tcBorders>
              <w:bottom w:val="nil"/>
            </w:tcBorders>
            <w:shd w:val="clear" w:color="auto" w:fill="auto"/>
            <w:noWrap/>
            <w:vAlign w:val="bottom"/>
            <w:hideMark/>
          </w:tcPr>
          <w:p w14:paraId="15721219"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7.6</w:t>
            </w:r>
          </w:p>
        </w:tc>
      </w:tr>
      <w:tr w:rsidR="00695EC7" w:rsidRPr="00AC0CC1" w14:paraId="15721221" w14:textId="77777777" w:rsidTr="005B06AA">
        <w:trPr>
          <w:trHeight w:val="300"/>
        </w:trPr>
        <w:tc>
          <w:tcPr>
            <w:tcW w:w="2237" w:type="dxa"/>
            <w:tcBorders>
              <w:top w:val="nil"/>
              <w:bottom w:val="nil"/>
            </w:tcBorders>
            <w:shd w:val="clear" w:color="auto" w:fill="auto"/>
            <w:noWrap/>
            <w:vAlign w:val="bottom"/>
            <w:hideMark/>
          </w:tcPr>
          <w:p w14:paraId="1572121B" w14:textId="77777777" w:rsidR="00695EC7" w:rsidRPr="00AC0CC1" w:rsidRDefault="00695EC7" w:rsidP="00B0545B">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Hexazinone</w:t>
            </w:r>
          </w:p>
        </w:tc>
        <w:tc>
          <w:tcPr>
            <w:tcW w:w="882" w:type="dxa"/>
            <w:tcBorders>
              <w:top w:val="nil"/>
              <w:bottom w:val="nil"/>
            </w:tcBorders>
          </w:tcPr>
          <w:p w14:paraId="1572121C" w14:textId="77777777" w:rsidR="00695EC7" w:rsidRPr="00AC0CC1" w:rsidRDefault="00695EC7" w:rsidP="00B0545B">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1D"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15</w:t>
            </w:r>
          </w:p>
        </w:tc>
        <w:tc>
          <w:tcPr>
            <w:tcW w:w="1480" w:type="dxa"/>
            <w:tcBorders>
              <w:top w:val="nil"/>
              <w:bottom w:val="nil"/>
            </w:tcBorders>
            <w:shd w:val="clear" w:color="auto" w:fill="auto"/>
            <w:noWrap/>
            <w:vAlign w:val="bottom"/>
            <w:hideMark/>
          </w:tcPr>
          <w:p w14:paraId="1572121E"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17</w:t>
            </w:r>
          </w:p>
        </w:tc>
        <w:tc>
          <w:tcPr>
            <w:tcW w:w="1480" w:type="dxa"/>
            <w:tcBorders>
              <w:top w:val="nil"/>
              <w:bottom w:val="nil"/>
            </w:tcBorders>
            <w:shd w:val="clear" w:color="auto" w:fill="auto"/>
            <w:noWrap/>
            <w:vAlign w:val="bottom"/>
            <w:hideMark/>
          </w:tcPr>
          <w:p w14:paraId="1572121F"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0.5</w:t>
            </w:r>
          </w:p>
        </w:tc>
        <w:tc>
          <w:tcPr>
            <w:tcW w:w="1069" w:type="dxa"/>
            <w:tcBorders>
              <w:top w:val="nil"/>
              <w:bottom w:val="nil"/>
            </w:tcBorders>
            <w:shd w:val="clear" w:color="auto" w:fill="auto"/>
            <w:noWrap/>
            <w:vAlign w:val="bottom"/>
            <w:hideMark/>
          </w:tcPr>
          <w:p w14:paraId="15721220"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63</w:t>
            </w:r>
          </w:p>
        </w:tc>
      </w:tr>
      <w:tr w:rsidR="00695EC7" w:rsidRPr="00AC0CC1" w14:paraId="15721228" w14:textId="77777777" w:rsidTr="005B06AA">
        <w:trPr>
          <w:trHeight w:val="300"/>
        </w:trPr>
        <w:tc>
          <w:tcPr>
            <w:tcW w:w="2237" w:type="dxa"/>
            <w:tcBorders>
              <w:top w:val="nil"/>
              <w:bottom w:val="nil"/>
            </w:tcBorders>
            <w:shd w:val="clear" w:color="auto" w:fill="auto"/>
            <w:noWrap/>
            <w:vAlign w:val="bottom"/>
            <w:hideMark/>
          </w:tcPr>
          <w:p w14:paraId="15721222"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Imazapic</w:t>
            </w:r>
          </w:p>
        </w:tc>
        <w:tc>
          <w:tcPr>
            <w:tcW w:w="882" w:type="dxa"/>
            <w:tcBorders>
              <w:top w:val="nil"/>
              <w:bottom w:val="nil"/>
            </w:tcBorders>
          </w:tcPr>
          <w:p w14:paraId="15721223"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24"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w:t>
            </w:r>
          </w:p>
        </w:tc>
        <w:tc>
          <w:tcPr>
            <w:tcW w:w="1480" w:type="dxa"/>
            <w:tcBorders>
              <w:top w:val="nil"/>
              <w:bottom w:val="nil"/>
            </w:tcBorders>
            <w:shd w:val="clear" w:color="auto" w:fill="auto"/>
            <w:noWrap/>
            <w:vAlign w:val="bottom"/>
            <w:hideMark/>
          </w:tcPr>
          <w:p w14:paraId="15721225"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2.4</w:t>
            </w:r>
          </w:p>
        </w:tc>
        <w:tc>
          <w:tcPr>
            <w:tcW w:w="1480" w:type="dxa"/>
            <w:tcBorders>
              <w:top w:val="nil"/>
              <w:bottom w:val="nil"/>
            </w:tcBorders>
            <w:shd w:val="clear" w:color="auto" w:fill="auto"/>
            <w:noWrap/>
            <w:vAlign w:val="bottom"/>
            <w:hideMark/>
          </w:tcPr>
          <w:p w14:paraId="15721226"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2.0</w:t>
            </w:r>
          </w:p>
        </w:tc>
        <w:tc>
          <w:tcPr>
            <w:tcW w:w="1069" w:type="dxa"/>
            <w:tcBorders>
              <w:top w:val="nil"/>
              <w:bottom w:val="nil"/>
            </w:tcBorders>
            <w:shd w:val="clear" w:color="auto" w:fill="auto"/>
            <w:noWrap/>
            <w:vAlign w:val="bottom"/>
            <w:hideMark/>
          </w:tcPr>
          <w:p w14:paraId="15721227"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2.8</w:t>
            </w:r>
          </w:p>
        </w:tc>
      </w:tr>
      <w:tr w:rsidR="00695EC7" w:rsidRPr="00AC0CC1" w14:paraId="1572122F" w14:textId="77777777" w:rsidTr="005B06AA">
        <w:trPr>
          <w:trHeight w:val="300"/>
        </w:trPr>
        <w:tc>
          <w:tcPr>
            <w:tcW w:w="2237" w:type="dxa"/>
            <w:tcBorders>
              <w:top w:val="nil"/>
              <w:bottom w:val="nil"/>
            </w:tcBorders>
            <w:shd w:val="clear" w:color="auto" w:fill="auto"/>
            <w:noWrap/>
            <w:vAlign w:val="bottom"/>
            <w:hideMark/>
          </w:tcPr>
          <w:p w14:paraId="15721229"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Imidacloprid</w:t>
            </w:r>
          </w:p>
        </w:tc>
        <w:tc>
          <w:tcPr>
            <w:tcW w:w="882" w:type="dxa"/>
            <w:tcBorders>
              <w:top w:val="nil"/>
              <w:bottom w:val="nil"/>
            </w:tcBorders>
          </w:tcPr>
          <w:p w14:paraId="1572122A"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2B"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9</w:t>
            </w:r>
          </w:p>
        </w:tc>
        <w:tc>
          <w:tcPr>
            <w:tcW w:w="1480" w:type="dxa"/>
            <w:tcBorders>
              <w:top w:val="nil"/>
              <w:bottom w:val="nil"/>
            </w:tcBorders>
            <w:shd w:val="clear" w:color="auto" w:fill="auto"/>
            <w:noWrap/>
            <w:vAlign w:val="bottom"/>
            <w:hideMark/>
          </w:tcPr>
          <w:p w14:paraId="1572122C"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15</w:t>
            </w:r>
          </w:p>
        </w:tc>
        <w:tc>
          <w:tcPr>
            <w:tcW w:w="1480" w:type="dxa"/>
            <w:tcBorders>
              <w:top w:val="nil"/>
              <w:bottom w:val="nil"/>
            </w:tcBorders>
            <w:shd w:val="clear" w:color="auto" w:fill="auto"/>
            <w:noWrap/>
            <w:vAlign w:val="bottom"/>
            <w:hideMark/>
          </w:tcPr>
          <w:p w14:paraId="1572122D"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0.2</w:t>
            </w:r>
          </w:p>
        </w:tc>
        <w:tc>
          <w:tcPr>
            <w:tcW w:w="1069" w:type="dxa"/>
            <w:tcBorders>
              <w:top w:val="nil"/>
              <w:bottom w:val="nil"/>
            </w:tcBorders>
            <w:shd w:val="clear" w:color="auto" w:fill="auto"/>
            <w:noWrap/>
            <w:vAlign w:val="bottom"/>
            <w:hideMark/>
          </w:tcPr>
          <w:p w14:paraId="1572122E"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34</w:t>
            </w:r>
          </w:p>
        </w:tc>
      </w:tr>
      <w:tr w:rsidR="00695EC7" w:rsidRPr="00AC0CC1" w14:paraId="15721236" w14:textId="77777777" w:rsidTr="005B06AA">
        <w:trPr>
          <w:trHeight w:val="300"/>
        </w:trPr>
        <w:tc>
          <w:tcPr>
            <w:tcW w:w="2237" w:type="dxa"/>
            <w:tcBorders>
              <w:top w:val="nil"/>
              <w:bottom w:val="nil"/>
            </w:tcBorders>
            <w:shd w:val="clear" w:color="auto" w:fill="auto"/>
            <w:noWrap/>
            <w:vAlign w:val="bottom"/>
            <w:hideMark/>
          </w:tcPr>
          <w:p w14:paraId="15721230"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MCPA</w:t>
            </w:r>
          </w:p>
        </w:tc>
        <w:tc>
          <w:tcPr>
            <w:tcW w:w="882" w:type="dxa"/>
            <w:tcBorders>
              <w:top w:val="nil"/>
              <w:bottom w:val="nil"/>
            </w:tcBorders>
          </w:tcPr>
          <w:p w14:paraId="15721231"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32"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5</w:t>
            </w:r>
          </w:p>
        </w:tc>
        <w:tc>
          <w:tcPr>
            <w:tcW w:w="1480" w:type="dxa"/>
            <w:tcBorders>
              <w:top w:val="nil"/>
              <w:bottom w:val="nil"/>
            </w:tcBorders>
            <w:shd w:val="clear" w:color="auto" w:fill="auto"/>
            <w:noWrap/>
            <w:vAlign w:val="bottom"/>
            <w:hideMark/>
          </w:tcPr>
          <w:p w14:paraId="15721233"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16</w:t>
            </w:r>
          </w:p>
        </w:tc>
        <w:tc>
          <w:tcPr>
            <w:tcW w:w="1480" w:type="dxa"/>
            <w:tcBorders>
              <w:top w:val="nil"/>
              <w:bottom w:val="nil"/>
            </w:tcBorders>
            <w:shd w:val="clear" w:color="auto" w:fill="auto"/>
            <w:noWrap/>
            <w:vAlign w:val="bottom"/>
            <w:hideMark/>
          </w:tcPr>
          <w:p w14:paraId="15721234"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0.4</w:t>
            </w:r>
          </w:p>
        </w:tc>
        <w:tc>
          <w:tcPr>
            <w:tcW w:w="1069" w:type="dxa"/>
            <w:tcBorders>
              <w:top w:val="nil"/>
              <w:bottom w:val="nil"/>
            </w:tcBorders>
            <w:shd w:val="clear" w:color="auto" w:fill="auto"/>
            <w:noWrap/>
            <w:vAlign w:val="bottom"/>
            <w:hideMark/>
          </w:tcPr>
          <w:p w14:paraId="15721235"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48</w:t>
            </w:r>
          </w:p>
        </w:tc>
      </w:tr>
      <w:tr w:rsidR="00695EC7" w:rsidRPr="00AC0CC1" w14:paraId="1572123D" w14:textId="77777777" w:rsidTr="005B06AA">
        <w:trPr>
          <w:trHeight w:val="300"/>
        </w:trPr>
        <w:tc>
          <w:tcPr>
            <w:tcW w:w="2237" w:type="dxa"/>
            <w:tcBorders>
              <w:top w:val="nil"/>
              <w:bottom w:val="nil"/>
            </w:tcBorders>
            <w:shd w:val="clear" w:color="auto" w:fill="auto"/>
            <w:noWrap/>
            <w:vAlign w:val="bottom"/>
            <w:hideMark/>
          </w:tcPr>
          <w:p w14:paraId="15721237"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Metsulfuron methyl</w:t>
            </w:r>
          </w:p>
        </w:tc>
        <w:tc>
          <w:tcPr>
            <w:tcW w:w="882" w:type="dxa"/>
            <w:tcBorders>
              <w:top w:val="nil"/>
              <w:bottom w:val="nil"/>
            </w:tcBorders>
          </w:tcPr>
          <w:p w14:paraId="15721238"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39"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5</w:t>
            </w:r>
          </w:p>
        </w:tc>
        <w:tc>
          <w:tcPr>
            <w:tcW w:w="1480" w:type="dxa"/>
            <w:tcBorders>
              <w:top w:val="nil"/>
              <w:bottom w:val="nil"/>
            </w:tcBorders>
            <w:shd w:val="clear" w:color="auto" w:fill="auto"/>
            <w:noWrap/>
            <w:vAlign w:val="bottom"/>
            <w:hideMark/>
          </w:tcPr>
          <w:p w14:paraId="1572123A"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33</w:t>
            </w:r>
          </w:p>
        </w:tc>
        <w:tc>
          <w:tcPr>
            <w:tcW w:w="1480" w:type="dxa"/>
            <w:tcBorders>
              <w:top w:val="nil"/>
              <w:bottom w:val="nil"/>
            </w:tcBorders>
            <w:shd w:val="clear" w:color="auto" w:fill="auto"/>
            <w:noWrap/>
            <w:vAlign w:val="bottom"/>
            <w:hideMark/>
          </w:tcPr>
          <w:p w14:paraId="1572123B"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0.9</w:t>
            </w:r>
          </w:p>
        </w:tc>
        <w:tc>
          <w:tcPr>
            <w:tcW w:w="1069" w:type="dxa"/>
            <w:tcBorders>
              <w:top w:val="nil"/>
              <w:bottom w:val="nil"/>
            </w:tcBorders>
            <w:shd w:val="clear" w:color="auto" w:fill="auto"/>
            <w:noWrap/>
            <w:vAlign w:val="bottom"/>
            <w:hideMark/>
          </w:tcPr>
          <w:p w14:paraId="1572123C"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48</w:t>
            </w:r>
          </w:p>
        </w:tc>
      </w:tr>
      <w:tr w:rsidR="00695EC7" w:rsidRPr="00AC0CC1" w14:paraId="15721244" w14:textId="77777777" w:rsidTr="005B06AA">
        <w:trPr>
          <w:trHeight w:val="300"/>
        </w:trPr>
        <w:tc>
          <w:tcPr>
            <w:tcW w:w="2237" w:type="dxa"/>
            <w:tcBorders>
              <w:top w:val="nil"/>
              <w:bottom w:val="nil"/>
            </w:tcBorders>
            <w:shd w:val="clear" w:color="auto" w:fill="auto"/>
            <w:noWrap/>
            <w:vAlign w:val="bottom"/>
            <w:hideMark/>
          </w:tcPr>
          <w:p w14:paraId="1572123E"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Metolachlor</w:t>
            </w:r>
          </w:p>
        </w:tc>
        <w:tc>
          <w:tcPr>
            <w:tcW w:w="882" w:type="dxa"/>
            <w:tcBorders>
              <w:top w:val="nil"/>
              <w:bottom w:val="nil"/>
            </w:tcBorders>
          </w:tcPr>
          <w:p w14:paraId="1572123F"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40"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13</w:t>
            </w:r>
          </w:p>
        </w:tc>
        <w:tc>
          <w:tcPr>
            <w:tcW w:w="1480" w:type="dxa"/>
            <w:tcBorders>
              <w:top w:val="nil"/>
              <w:bottom w:val="nil"/>
            </w:tcBorders>
            <w:shd w:val="clear" w:color="auto" w:fill="auto"/>
            <w:noWrap/>
            <w:vAlign w:val="bottom"/>
            <w:hideMark/>
          </w:tcPr>
          <w:p w14:paraId="15721241"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17</w:t>
            </w:r>
          </w:p>
        </w:tc>
        <w:tc>
          <w:tcPr>
            <w:tcW w:w="1480" w:type="dxa"/>
            <w:tcBorders>
              <w:top w:val="nil"/>
              <w:bottom w:val="nil"/>
            </w:tcBorders>
            <w:shd w:val="clear" w:color="auto" w:fill="auto"/>
            <w:noWrap/>
            <w:vAlign w:val="bottom"/>
            <w:hideMark/>
          </w:tcPr>
          <w:p w14:paraId="15721242"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5.0</w:t>
            </w:r>
          </w:p>
        </w:tc>
        <w:tc>
          <w:tcPr>
            <w:tcW w:w="1069" w:type="dxa"/>
            <w:tcBorders>
              <w:top w:val="nil"/>
              <w:bottom w:val="nil"/>
            </w:tcBorders>
            <w:shd w:val="clear" w:color="auto" w:fill="auto"/>
            <w:noWrap/>
            <w:vAlign w:val="bottom"/>
            <w:hideMark/>
          </w:tcPr>
          <w:p w14:paraId="15721243"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48</w:t>
            </w:r>
          </w:p>
        </w:tc>
      </w:tr>
      <w:tr w:rsidR="00695EC7" w:rsidRPr="00AC0CC1" w14:paraId="1572124B" w14:textId="77777777" w:rsidTr="005B06AA">
        <w:trPr>
          <w:trHeight w:val="300"/>
        </w:trPr>
        <w:tc>
          <w:tcPr>
            <w:tcW w:w="2237" w:type="dxa"/>
            <w:tcBorders>
              <w:top w:val="nil"/>
              <w:bottom w:val="nil"/>
            </w:tcBorders>
            <w:shd w:val="clear" w:color="auto" w:fill="auto"/>
            <w:noWrap/>
            <w:vAlign w:val="bottom"/>
            <w:hideMark/>
          </w:tcPr>
          <w:p w14:paraId="15721245"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Metribuzin</w:t>
            </w:r>
          </w:p>
        </w:tc>
        <w:tc>
          <w:tcPr>
            <w:tcW w:w="882" w:type="dxa"/>
            <w:tcBorders>
              <w:top w:val="nil"/>
              <w:bottom w:val="nil"/>
            </w:tcBorders>
          </w:tcPr>
          <w:p w14:paraId="15721246"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47"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3</w:t>
            </w:r>
          </w:p>
        </w:tc>
        <w:tc>
          <w:tcPr>
            <w:tcW w:w="1480" w:type="dxa"/>
            <w:tcBorders>
              <w:top w:val="nil"/>
              <w:bottom w:val="nil"/>
            </w:tcBorders>
            <w:shd w:val="clear" w:color="auto" w:fill="auto"/>
            <w:noWrap/>
            <w:vAlign w:val="bottom"/>
            <w:hideMark/>
          </w:tcPr>
          <w:p w14:paraId="15721248"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10</w:t>
            </w:r>
          </w:p>
        </w:tc>
        <w:tc>
          <w:tcPr>
            <w:tcW w:w="1480" w:type="dxa"/>
            <w:tcBorders>
              <w:top w:val="nil"/>
              <w:bottom w:val="nil"/>
            </w:tcBorders>
            <w:shd w:val="clear" w:color="auto" w:fill="auto"/>
            <w:noWrap/>
            <w:vAlign w:val="bottom"/>
            <w:hideMark/>
          </w:tcPr>
          <w:p w14:paraId="15721249"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4.8</w:t>
            </w:r>
          </w:p>
        </w:tc>
        <w:tc>
          <w:tcPr>
            <w:tcW w:w="1069" w:type="dxa"/>
            <w:tcBorders>
              <w:top w:val="nil"/>
              <w:bottom w:val="nil"/>
            </w:tcBorders>
            <w:shd w:val="clear" w:color="auto" w:fill="auto"/>
            <w:noWrap/>
            <w:vAlign w:val="bottom"/>
            <w:hideMark/>
          </w:tcPr>
          <w:p w14:paraId="1572124A"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15</w:t>
            </w:r>
          </w:p>
        </w:tc>
      </w:tr>
      <w:tr w:rsidR="00695EC7" w:rsidRPr="00AC0CC1" w14:paraId="15721252" w14:textId="77777777" w:rsidTr="005B06AA">
        <w:trPr>
          <w:trHeight w:val="300"/>
        </w:trPr>
        <w:tc>
          <w:tcPr>
            <w:tcW w:w="2237" w:type="dxa"/>
            <w:tcBorders>
              <w:top w:val="nil"/>
              <w:bottom w:val="nil"/>
            </w:tcBorders>
            <w:shd w:val="clear" w:color="auto" w:fill="auto"/>
            <w:noWrap/>
            <w:vAlign w:val="bottom"/>
            <w:hideMark/>
          </w:tcPr>
          <w:p w14:paraId="1572124C" w14:textId="77777777" w:rsidR="00695EC7" w:rsidRPr="00AC0CC1" w:rsidRDefault="00695EC7" w:rsidP="00B0545B">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Prometryn</w:t>
            </w:r>
          </w:p>
        </w:tc>
        <w:tc>
          <w:tcPr>
            <w:tcW w:w="882" w:type="dxa"/>
            <w:tcBorders>
              <w:top w:val="nil"/>
              <w:bottom w:val="nil"/>
            </w:tcBorders>
          </w:tcPr>
          <w:p w14:paraId="1572124D" w14:textId="77777777" w:rsidR="00695EC7" w:rsidRPr="00AC0CC1" w:rsidRDefault="00695EC7" w:rsidP="00B0545B">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4E"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w:t>
            </w:r>
          </w:p>
        </w:tc>
        <w:tc>
          <w:tcPr>
            <w:tcW w:w="1480" w:type="dxa"/>
            <w:tcBorders>
              <w:top w:val="nil"/>
              <w:bottom w:val="nil"/>
            </w:tcBorders>
            <w:shd w:val="clear" w:color="auto" w:fill="auto"/>
            <w:noWrap/>
            <w:vAlign w:val="bottom"/>
            <w:hideMark/>
          </w:tcPr>
          <w:p w14:paraId="1572124F"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22</w:t>
            </w:r>
          </w:p>
        </w:tc>
        <w:tc>
          <w:tcPr>
            <w:tcW w:w="1480" w:type="dxa"/>
            <w:tcBorders>
              <w:top w:val="nil"/>
              <w:bottom w:val="nil"/>
            </w:tcBorders>
            <w:shd w:val="clear" w:color="auto" w:fill="auto"/>
            <w:noWrap/>
            <w:vAlign w:val="bottom"/>
            <w:hideMark/>
          </w:tcPr>
          <w:p w14:paraId="15721250"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22</w:t>
            </w:r>
          </w:p>
        </w:tc>
        <w:tc>
          <w:tcPr>
            <w:tcW w:w="1069" w:type="dxa"/>
            <w:tcBorders>
              <w:top w:val="nil"/>
              <w:bottom w:val="nil"/>
            </w:tcBorders>
            <w:shd w:val="clear" w:color="auto" w:fill="auto"/>
            <w:noWrap/>
            <w:vAlign w:val="bottom"/>
            <w:hideMark/>
          </w:tcPr>
          <w:p w14:paraId="15721251"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22</w:t>
            </w:r>
          </w:p>
        </w:tc>
      </w:tr>
      <w:tr w:rsidR="00695EC7" w:rsidRPr="00AC0CC1" w14:paraId="15721259" w14:textId="77777777" w:rsidTr="005B06AA">
        <w:trPr>
          <w:trHeight w:val="300"/>
        </w:trPr>
        <w:tc>
          <w:tcPr>
            <w:tcW w:w="2237" w:type="dxa"/>
            <w:tcBorders>
              <w:top w:val="nil"/>
              <w:bottom w:val="nil"/>
            </w:tcBorders>
            <w:shd w:val="clear" w:color="auto" w:fill="auto"/>
            <w:noWrap/>
            <w:vAlign w:val="bottom"/>
            <w:hideMark/>
          </w:tcPr>
          <w:p w14:paraId="15721253" w14:textId="77777777" w:rsidR="00695EC7" w:rsidRPr="00AC0CC1" w:rsidRDefault="00695EC7" w:rsidP="00341B1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Propazine</w:t>
            </w:r>
          </w:p>
        </w:tc>
        <w:tc>
          <w:tcPr>
            <w:tcW w:w="882" w:type="dxa"/>
            <w:tcBorders>
              <w:top w:val="nil"/>
              <w:bottom w:val="nil"/>
            </w:tcBorders>
          </w:tcPr>
          <w:p w14:paraId="15721254" w14:textId="77777777" w:rsidR="00695EC7" w:rsidRPr="00AC0CC1" w:rsidRDefault="00695EC7" w:rsidP="00341B1D">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55"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5</w:t>
            </w:r>
          </w:p>
        </w:tc>
        <w:tc>
          <w:tcPr>
            <w:tcW w:w="1480" w:type="dxa"/>
            <w:tcBorders>
              <w:top w:val="nil"/>
              <w:bottom w:val="nil"/>
            </w:tcBorders>
            <w:shd w:val="clear" w:color="auto" w:fill="auto"/>
            <w:noWrap/>
            <w:vAlign w:val="bottom"/>
            <w:hideMark/>
          </w:tcPr>
          <w:p w14:paraId="15721256"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11</w:t>
            </w:r>
          </w:p>
        </w:tc>
        <w:tc>
          <w:tcPr>
            <w:tcW w:w="1480" w:type="dxa"/>
            <w:tcBorders>
              <w:top w:val="nil"/>
              <w:bottom w:val="nil"/>
            </w:tcBorders>
            <w:shd w:val="clear" w:color="auto" w:fill="auto"/>
            <w:noWrap/>
            <w:vAlign w:val="bottom"/>
            <w:hideMark/>
          </w:tcPr>
          <w:p w14:paraId="15721257"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4.2</w:t>
            </w:r>
          </w:p>
        </w:tc>
        <w:tc>
          <w:tcPr>
            <w:tcW w:w="1069" w:type="dxa"/>
            <w:tcBorders>
              <w:top w:val="nil"/>
              <w:bottom w:val="nil"/>
            </w:tcBorders>
            <w:shd w:val="clear" w:color="auto" w:fill="auto"/>
            <w:noWrap/>
            <w:vAlign w:val="bottom"/>
            <w:hideMark/>
          </w:tcPr>
          <w:p w14:paraId="15721258" w14:textId="77777777" w:rsidR="00695EC7" w:rsidRPr="00AC0CC1" w:rsidRDefault="00695EC7" w:rsidP="00341B1D">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23</w:t>
            </w:r>
          </w:p>
        </w:tc>
      </w:tr>
      <w:tr w:rsidR="00695EC7" w:rsidRPr="00AC0CC1" w14:paraId="15721260" w14:textId="77777777" w:rsidTr="005B06AA">
        <w:trPr>
          <w:trHeight w:val="300"/>
        </w:trPr>
        <w:tc>
          <w:tcPr>
            <w:tcW w:w="2237" w:type="dxa"/>
            <w:tcBorders>
              <w:top w:val="nil"/>
              <w:bottom w:val="nil"/>
            </w:tcBorders>
            <w:shd w:val="clear" w:color="auto" w:fill="auto"/>
            <w:noWrap/>
            <w:vAlign w:val="bottom"/>
            <w:hideMark/>
          </w:tcPr>
          <w:p w14:paraId="1572125A" w14:textId="77777777" w:rsidR="00695EC7" w:rsidRPr="00AC0CC1" w:rsidRDefault="00695EC7" w:rsidP="00B0545B">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xml:space="preserve">Simazine </w:t>
            </w:r>
          </w:p>
        </w:tc>
        <w:tc>
          <w:tcPr>
            <w:tcW w:w="882" w:type="dxa"/>
            <w:tcBorders>
              <w:top w:val="nil"/>
              <w:bottom w:val="nil"/>
            </w:tcBorders>
          </w:tcPr>
          <w:p w14:paraId="1572125B" w14:textId="77777777" w:rsidR="00695EC7" w:rsidRPr="00AC0CC1" w:rsidRDefault="00695EC7" w:rsidP="00B0545B">
            <w:pPr>
              <w:jc w:val="center"/>
              <w:rPr>
                <w:rFonts w:asciiTheme="minorHAnsi" w:eastAsia="Times New Roman" w:hAnsiTheme="minorHAnsi" w:cstheme="minorHAnsi"/>
                <w:color w:val="000000"/>
                <w:lang w:val="en-AU" w:eastAsia="en-AU" w:bidi="ar-SA"/>
              </w:rPr>
            </w:pPr>
          </w:p>
        </w:tc>
        <w:tc>
          <w:tcPr>
            <w:tcW w:w="2112" w:type="dxa"/>
            <w:tcBorders>
              <w:top w:val="nil"/>
              <w:bottom w:val="nil"/>
            </w:tcBorders>
            <w:shd w:val="clear" w:color="auto" w:fill="auto"/>
            <w:noWrap/>
            <w:vAlign w:val="bottom"/>
            <w:hideMark/>
          </w:tcPr>
          <w:p w14:paraId="1572125C"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9</w:t>
            </w:r>
          </w:p>
        </w:tc>
        <w:tc>
          <w:tcPr>
            <w:tcW w:w="1480" w:type="dxa"/>
            <w:tcBorders>
              <w:top w:val="nil"/>
              <w:bottom w:val="nil"/>
            </w:tcBorders>
            <w:shd w:val="clear" w:color="auto" w:fill="auto"/>
            <w:noWrap/>
            <w:vAlign w:val="bottom"/>
            <w:hideMark/>
          </w:tcPr>
          <w:p w14:paraId="1572125D"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7.4</w:t>
            </w:r>
          </w:p>
        </w:tc>
        <w:tc>
          <w:tcPr>
            <w:tcW w:w="1480" w:type="dxa"/>
            <w:tcBorders>
              <w:top w:val="nil"/>
              <w:bottom w:val="nil"/>
            </w:tcBorders>
            <w:shd w:val="clear" w:color="auto" w:fill="auto"/>
            <w:noWrap/>
            <w:vAlign w:val="bottom"/>
            <w:hideMark/>
          </w:tcPr>
          <w:p w14:paraId="1572125E"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0.8</w:t>
            </w:r>
          </w:p>
        </w:tc>
        <w:tc>
          <w:tcPr>
            <w:tcW w:w="1069" w:type="dxa"/>
            <w:tcBorders>
              <w:top w:val="nil"/>
              <w:bottom w:val="nil"/>
            </w:tcBorders>
            <w:shd w:val="clear" w:color="auto" w:fill="auto"/>
            <w:noWrap/>
            <w:vAlign w:val="bottom"/>
            <w:hideMark/>
          </w:tcPr>
          <w:p w14:paraId="1572125F"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19</w:t>
            </w:r>
          </w:p>
        </w:tc>
      </w:tr>
      <w:tr w:rsidR="00695EC7" w:rsidRPr="00AC0CC1" w14:paraId="15721267" w14:textId="77777777" w:rsidTr="005B06AA">
        <w:trPr>
          <w:trHeight w:val="300"/>
        </w:trPr>
        <w:tc>
          <w:tcPr>
            <w:tcW w:w="2237" w:type="dxa"/>
            <w:tcBorders>
              <w:top w:val="nil"/>
            </w:tcBorders>
            <w:shd w:val="clear" w:color="auto" w:fill="auto"/>
            <w:noWrap/>
            <w:vAlign w:val="bottom"/>
            <w:hideMark/>
          </w:tcPr>
          <w:p w14:paraId="15721261" w14:textId="77777777" w:rsidR="00695EC7" w:rsidRPr="00AC0CC1" w:rsidRDefault="00695EC7" w:rsidP="00B0545B">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Tebuthiuron</w:t>
            </w:r>
          </w:p>
        </w:tc>
        <w:tc>
          <w:tcPr>
            <w:tcW w:w="882" w:type="dxa"/>
            <w:tcBorders>
              <w:top w:val="nil"/>
            </w:tcBorders>
          </w:tcPr>
          <w:p w14:paraId="15721262" w14:textId="77777777" w:rsidR="00695EC7" w:rsidRPr="00AC0CC1" w:rsidRDefault="00695EC7" w:rsidP="00B0545B">
            <w:pPr>
              <w:jc w:val="center"/>
              <w:rPr>
                <w:rFonts w:asciiTheme="minorHAnsi" w:eastAsia="Times New Roman" w:hAnsiTheme="minorHAnsi" w:cstheme="minorHAnsi"/>
                <w:color w:val="000000"/>
                <w:lang w:val="en-AU" w:eastAsia="en-AU" w:bidi="ar-SA"/>
              </w:rPr>
            </w:pPr>
          </w:p>
        </w:tc>
        <w:tc>
          <w:tcPr>
            <w:tcW w:w="2112" w:type="dxa"/>
            <w:tcBorders>
              <w:top w:val="nil"/>
            </w:tcBorders>
            <w:shd w:val="clear" w:color="auto" w:fill="auto"/>
            <w:noWrap/>
            <w:vAlign w:val="bottom"/>
            <w:hideMark/>
          </w:tcPr>
          <w:p w14:paraId="15721263"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10</w:t>
            </w:r>
          </w:p>
        </w:tc>
        <w:tc>
          <w:tcPr>
            <w:tcW w:w="1480" w:type="dxa"/>
            <w:tcBorders>
              <w:top w:val="nil"/>
            </w:tcBorders>
            <w:shd w:val="clear" w:color="auto" w:fill="auto"/>
            <w:noWrap/>
            <w:vAlign w:val="bottom"/>
            <w:hideMark/>
          </w:tcPr>
          <w:p w14:paraId="15721264"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14</w:t>
            </w:r>
          </w:p>
        </w:tc>
        <w:tc>
          <w:tcPr>
            <w:tcW w:w="1480" w:type="dxa"/>
            <w:tcBorders>
              <w:top w:val="nil"/>
            </w:tcBorders>
            <w:shd w:val="clear" w:color="auto" w:fill="auto"/>
            <w:noWrap/>
            <w:vAlign w:val="bottom"/>
            <w:hideMark/>
          </w:tcPr>
          <w:p w14:paraId="15721265"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1.1</w:t>
            </w:r>
          </w:p>
        </w:tc>
        <w:tc>
          <w:tcPr>
            <w:tcW w:w="1069" w:type="dxa"/>
            <w:tcBorders>
              <w:top w:val="nil"/>
            </w:tcBorders>
            <w:shd w:val="clear" w:color="auto" w:fill="auto"/>
            <w:noWrap/>
            <w:vAlign w:val="bottom"/>
            <w:hideMark/>
          </w:tcPr>
          <w:p w14:paraId="15721266"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43</w:t>
            </w:r>
          </w:p>
        </w:tc>
      </w:tr>
      <w:tr w:rsidR="00695EC7" w:rsidRPr="00AC0CC1" w14:paraId="1572126E" w14:textId="77777777" w:rsidTr="005B06AA">
        <w:trPr>
          <w:trHeight w:val="300"/>
        </w:trPr>
        <w:tc>
          <w:tcPr>
            <w:tcW w:w="2237" w:type="dxa"/>
            <w:tcBorders>
              <w:top w:val="nil"/>
              <w:bottom w:val="single" w:sz="4" w:space="0" w:color="auto"/>
            </w:tcBorders>
            <w:shd w:val="clear" w:color="auto" w:fill="auto"/>
            <w:noWrap/>
            <w:vAlign w:val="bottom"/>
            <w:hideMark/>
          </w:tcPr>
          <w:p w14:paraId="15721268" w14:textId="77777777" w:rsidR="00695EC7" w:rsidRPr="00AC0CC1" w:rsidRDefault="00695EC7" w:rsidP="00B0545B">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Tebuconazole</w:t>
            </w:r>
          </w:p>
        </w:tc>
        <w:tc>
          <w:tcPr>
            <w:tcW w:w="882" w:type="dxa"/>
            <w:tcBorders>
              <w:top w:val="nil"/>
              <w:bottom w:val="single" w:sz="4" w:space="0" w:color="auto"/>
            </w:tcBorders>
          </w:tcPr>
          <w:p w14:paraId="15721269" w14:textId="77777777" w:rsidR="00695EC7" w:rsidRPr="00AC0CC1" w:rsidRDefault="00695EC7" w:rsidP="00B0545B">
            <w:pPr>
              <w:jc w:val="center"/>
              <w:rPr>
                <w:rFonts w:asciiTheme="minorHAnsi" w:eastAsia="Times New Roman" w:hAnsiTheme="minorHAnsi" w:cstheme="minorHAnsi"/>
                <w:color w:val="000000"/>
                <w:lang w:val="en-AU" w:eastAsia="en-AU" w:bidi="ar-SA"/>
              </w:rPr>
            </w:pPr>
          </w:p>
        </w:tc>
        <w:tc>
          <w:tcPr>
            <w:tcW w:w="2112" w:type="dxa"/>
            <w:tcBorders>
              <w:top w:val="nil"/>
              <w:bottom w:val="single" w:sz="4" w:space="0" w:color="auto"/>
            </w:tcBorders>
            <w:shd w:val="clear" w:color="auto" w:fill="auto"/>
            <w:noWrap/>
            <w:vAlign w:val="bottom"/>
            <w:hideMark/>
          </w:tcPr>
          <w:p w14:paraId="1572126A"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1</w:t>
            </w:r>
          </w:p>
        </w:tc>
        <w:tc>
          <w:tcPr>
            <w:tcW w:w="1480" w:type="dxa"/>
            <w:tcBorders>
              <w:top w:val="nil"/>
              <w:bottom w:val="single" w:sz="4" w:space="0" w:color="auto"/>
            </w:tcBorders>
            <w:shd w:val="clear" w:color="auto" w:fill="auto"/>
            <w:noWrap/>
            <w:vAlign w:val="bottom"/>
            <w:hideMark/>
          </w:tcPr>
          <w:p w14:paraId="1572126B"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9.0</w:t>
            </w:r>
          </w:p>
        </w:tc>
        <w:tc>
          <w:tcPr>
            <w:tcW w:w="1480" w:type="dxa"/>
            <w:tcBorders>
              <w:top w:val="nil"/>
              <w:bottom w:val="single" w:sz="4" w:space="0" w:color="auto"/>
            </w:tcBorders>
            <w:shd w:val="clear" w:color="auto" w:fill="auto"/>
            <w:noWrap/>
            <w:vAlign w:val="bottom"/>
            <w:hideMark/>
          </w:tcPr>
          <w:p w14:paraId="1572126C"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9.0</w:t>
            </w:r>
          </w:p>
        </w:tc>
        <w:tc>
          <w:tcPr>
            <w:tcW w:w="1069" w:type="dxa"/>
            <w:tcBorders>
              <w:top w:val="nil"/>
              <w:bottom w:val="single" w:sz="4" w:space="0" w:color="auto"/>
            </w:tcBorders>
            <w:shd w:val="clear" w:color="auto" w:fill="auto"/>
            <w:noWrap/>
            <w:vAlign w:val="bottom"/>
            <w:hideMark/>
          </w:tcPr>
          <w:p w14:paraId="1572126D" w14:textId="77777777" w:rsidR="00695EC7" w:rsidRPr="00AC0CC1" w:rsidRDefault="00695EC7" w:rsidP="00B0545B">
            <w:pPr>
              <w:jc w:val="center"/>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9.0</w:t>
            </w:r>
          </w:p>
        </w:tc>
      </w:tr>
    </w:tbl>
    <w:p w14:paraId="1572126F" w14:textId="77777777" w:rsidR="00E31255" w:rsidRPr="00DF7B1D" w:rsidRDefault="005B06AA" w:rsidP="005B06AA">
      <w:pPr>
        <w:spacing w:line="276" w:lineRule="auto"/>
        <w:ind w:firstLine="709"/>
        <w:jc w:val="left"/>
        <w:rPr>
          <w:sz w:val="18"/>
        </w:rPr>
      </w:pPr>
      <w:r>
        <w:rPr>
          <w:sz w:val="18"/>
        </w:rPr>
        <w:t xml:space="preserve">Note: </w:t>
      </w:r>
      <w:r w:rsidR="00E31255">
        <w:rPr>
          <w:sz w:val="18"/>
        </w:rPr>
        <w:t>Only instances where a chemical was detected in both replicates have been included</w:t>
      </w:r>
    </w:p>
    <w:p w14:paraId="15721270" w14:textId="77777777" w:rsidR="00E31255" w:rsidRDefault="00E31255" w:rsidP="00015606">
      <w:pPr>
        <w:spacing w:line="276" w:lineRule="auto"/>
        <w:rPr>
          <w:lang w:val="en-AU"/>
        </w:rPr>
      </w:pPr>
    </w:p>
    <w:p w14:paraId="15721271" w14:textId="77777777" w:rsidR="0059608E" w:rsidRPr="008232E9" w:rsidRDefault="008232E9" w:rsidP="008232E9">
      <w:pPr>
        <w:rPr>
          <w:b/>
          <w:sz w:val="24"/>
        </w:rPr>
      </w:pPr>
      <w:bookmarkStart w:id="745" w:name="_Toc455069493"/>
      <w:bookmarkStart w:id="746" w:name="_Toc461457784"/>
      <w:bookmarkStart w:id="747" w:name="_Ref474330035"/>
      <w:bookmarkEnd w:id="745"/>
      <w:r>
        <w:rPr>
          <w:b/>
          <w:sz w:val="24"/>
        </w:rPr>
        <w:t>A-2.</w:t>
      </w:r>
      <w:r>
        <w:rPr>
          <w:b/>
          <w:sz w:val="24"/>
        </w:rPr>
        <w:tab/>
      </w:r>
      <w:r w:rsidR="00695EC7" w:rsidRPr="008232E9">
        <w:rPr>
          <w:b/>
          <w:sz w:val="24"/>
        </w:rPr>
        <w:t>T</w:t>
      </w:r>
      <w:r w:rsidR="006C60D9" w:rsidRPr="008232E9">
        <w:rPr>
          <w:b/>
          <w:sz w:val="24"/>
        </w:rPr>
        <w:t>arget chemicals</w:t>
      </w:r>
      <w:bookmarkStart w:id="748" w:name="_Toc455151803"/>
      <w:bookmarkEnd w:id="746"/>
      <w:bookmarkEnd w:id="747"/>
      <w:bookmarkEnd w:id="748"/>
    </w:p>
    <w:p w14:paraId="15721272" w14:textId="77777777" w:rsidR="001C45D0" w:rsidRPr="00357E3F" w:rsidRDefault="001C45D0" w:rsidP="00015606">
      <w:pPr>
        <w:spacing w:line="276" w:lineRule="auto"/>
      </w:pPr>
    </w:p>
    <w:p w14:paraId="15721273" w14:textId="77777777" w:rsidR="00E97A1B" w:rsidRPr="00BF6243" w:rsidRDefault="00695EC7" w:rsidP="00695EC7">
      <w:pPr>
        <w:pStyle w:val="Caption"/>
        <w:keepNext/>
        <w:spacing w:after="120"/>
      </w:pPr>
      <w:bookmarkStart w:id="749" w:name="_Ref480725485"/>
      <w:bookmarkStart w:id="750" w:name="_Toc502499807"/>
      <w:r>
        <w:t xml:space="preserve">Table </w:t>
      </w:r>
      <w:r w:rsidR="00C91BF5">
        <w:fldChar w:fldCharType="begin"/>
      </w:r>
      <w:r w:rsidR="008C60F9">
        <w:instrText xml:space="preserve"> STYLEREF 7 \s </w:instrText>
      </w:r>
      <w:r w:rsidR="00C91BF5">
        <w:fldChar w:fldCharType="separate"/>
      </w:r>
      <w:r w:rsidR="00D12276">
        <w:rPr>
          <w:noProof/>
        </w:rPr>
        <w:t>A</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2</w:t>
      </w:r>
      <w:r w:rsidR="00C91BF5">
        <w:fldChar w:fldCharType="end"/>
      </w:r>
      <w:bookmarkEnd w:id="749"/>
      <w:r w:rsidR="00747824">
        <w:rPr>
          <w:b w:val="0"/>
        </w:rPr>
        <w:t xml:space="preserve">: </w:t>
      </w:r>
      <w:r w:rsidR="001C45D0" w:rsidRPr="00747824">
        <w:rPr>
          <w:b w:val="0"/>
        </w:rPr>
        <w:t>QAEHS</w:t>
      </w:r>
      <w:r w:rsidR="00E97A1B" w:rsidRPr="00747824">
        <w:rPr>
          <w:b w:val="0"/>
        </w:rPr>
        <w:t xml:space="preserve"> LC</w:t>
      </w:r>
      <w:r w:rsidR="00330611">
        <w:rPr>
          <w:b w:val="0"/>
        </w:rPr>
        <w:t>-</w:t>
      </w:r>
      <w:r w:rsidR="00E97A1B" w:rsidRPr="00747824">
        <w:rPr>
          <w:b w:val="0"/>
        </w:rPr>
        <w:t>MS</w:t>
      </w:r>
      <w:r w:rsidR="00CA6794">
        <w:rPr>
          <w:b w:val="0"/>
        </w:rPr>
        <w:t>/MS</w:t>
      </w:r>
      <w:r w:rsidR="00E97A1B" w:rsidRPr="00747824">
        <w:rPr>
          <w:b w:val="0"/>
        </w:rPr>
        <w:t xml:space="preserve"> analyte list for positive and negative mode analysis</w:t>
      </w:r>
      <w:bookmarkEnd w:id="750"/>
    </w:p>
    <w:tbl>
      <w:tblPr>
        <w:tblW w:w="5954" w:type="dxa"/>
        <w:tblInd w:w="675" w:type="dxa"/>
        <w:tblLayout w:type="fixed"/>
        <w:tblLook w:val="04A0" w:firstRow="1" w:lastRow="0" w:firstColumn="1" w:lastColumn="0" w:noHBand="0" w:noVBand="1"/>
      </w:tblPr>
      <w:tblGrid>
        <w:gridCol w:w="2977"/>
        <w:gridCol w:w="2977"/>
      </w:tblGrid>
      <w:tr w:rsidR="00846C54" w:rsidRPr="00AC0CC1" w14:paraId="15721276" w14:textId="77777777" w:rsidTr="00955C32">
        <w:trPr>
          <w:trHeight w:val="300"/>
          <w:tblHeader/>
        </w:trPr>
        <w:tc>
          <w:tcPr>
            <w:tcW w:w="2977" w:type="dxa"/>
            <w:tcBorders>
              <w:top w:val="single" w:sz="4" w:space="0" w:color="auto"/>
              <w:bottom w:val="single" w:sz="4" w:space="0" w:color="auto"/>
            </w:tcBorders>
            <w:shd w:val="clear" w:color="auto" w:fill="F2F2F2" w:themeFill="background1" w:themeFillShade="F2"/>
            <w:noWrap/>
            <w:vAlign w:val="bottom"/>
            <w:hideMark/>
          </w:tcPr>
          <w:p w14:paraId="15721274" w14:textId="77777777" w:rsidR="00CA6794" w:rsidRPr="00AC0CC1" w:rsidRDefault="00CA6794" w:rsidP="00CA6794">
            <w:pPr>
              <w:ind w:left="39" w:hanging="39"/>
              <w:jc w:val="left"/>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Positive Ion Mode</w:t>
            </w:r>
          </w:p>
        </w:tc>
        <w:tc>
          <w:tcPr>
            <w:tcW w:w="2977" w:type="dxa"/>
            <w:tcBorders>
              <w:top w:val="single" w:sz="4" w:space="0" w:color="auto"/>
              <w:bottom w:val="single" w:sz="4" w:space="0" w:color="auto"/>
            </w:tcBorders>
            <w:shd w:val="clear" w:color="auto" w:fill="F2F2F2" w:themeFill="background1" w:themeFillShade="F2"/>
            <w:noWrap/>
            <w:vAlign w:val="bottom"/>
            <w:hideMark/>
          </w:tcPr>
          <w:p w14:paraId="15721275" w14:textId="77777777" w:rsidR="00CA6794" w:rsidRPr="00AC0CC1" w:rsidRDefault="00CA6794" w:rsidP="00257A4D">
            <w:pPr>
              <w:jc w:val="left"/>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Negative Ion Mode</w:t>
            </w:r>
          </w:p>
        </w:tc>
      </w:tr>
      <w:tr w:rsidR="00846C54" w:rsidRPr="00AC0CC1" w14:paraId="15721279" w14:textId="77777777" w:rsidTr="00955C32">
        <w:trPr>
          <w:trHeight w:val="300"/>
        </w:trPr>
        <w:tc>
          <w:tcPr>
            <w:tcW w:w="2977" w:type="dxa"/>
            <w:tcBorders>
              <w:top w:val="single" w:sz="4" w:space="0" w:color="auto"/>
            </w:tcBorders>
            <w:shd w:val="clear" w:color="000000" w:fill="FFFFFF"/>
            <w:noWrap/>
            <w:vAlign w:val="bottom"/>
            <w:hideMark/>
          </w:tcPr>
          <w:p w14:paraId="15721277"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Ametryn</w:t>
            </w:r>
          </w:p>
        </w:tc>
        <w:tc>
          <w:tcPr>
            <w:tcW w:w="2977" w:type="dxa"/>
            <w:tcBorders>
              <w:top w:val="single" w:sz="4" w:space="0" w:color="auto"/>
            </w:tcBorders>
            <w:shd w:val="clear" w:color="000000" w:fill="FFFFFF"/>
            <w:noWrap/>
            <w:vAlign w:val="bottom"/>
            <w:hideMark/>
          </w:tcPr>
          <w:p w14:paraId="15721278" w14:textId="77777777" w:rsidR="00CA6794" w:rsidRPr="00F0737C" w:rsidRDefault="00CA6794" w:rsidP="00257A4D">
            <w:pPr>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2,4-D</w:t>
            </w:r>
          </w:p>
        </w:tc>
      </w:tr>
      <w:tr w:rsidR="00846C54" w:rsidRPr="00AC0CC1" w14:paraId="1572127C" w14:textId="77777777" w:rsidTr="00955C32">
        <w:trPr>
          <w:trHeight w:val="300"/>
        </w:trPr>
        <w:tc>
          <w:tcPr>
            <w:tcW w:w="2977" w:type="dxa"/>
            <w:tcBorders>
              <w:top w:val="nil"/>
            </w:tcBorders>
            <w:shd w:val="clear" w:color="000000" w:fill="FFFFFF"/>
            <w:noWrap/>
            <w:vAlign w:val="bottom"/>
            <w:hideMark/>
          </w:tcPr>
          <w:p w14:paraId="1572127A"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Asulam</w:t>
            </w:r>
          </w:p>
        </w:tc>
        <w:tc>
          <w:tcPr>
            <w:tcW w:w="2977" w:type="dxa"/>
            <w:tcBorders>
              <w:top w:val="nil"/>
            </w:tcBorders>
            <w:shd w:val="clear" w:color="000000" w:fill="FFFFFF"/>
            <w:noWrap/>
            <w:vAlign w:val="bottom"/>
            <w:hideMark/>
          </w:tcPr>
          <w:p w14:paraId="1572127B" w14:textId="77777777" w:rsidR="00CA6794" w:rsidRPr="00F0737C" w:rsidRDefault="00CA6794" w:rsidP="00257A4D">
            <w:pPr>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2,4-DB</w:t>
            </w:r>
          </w:p>
        </w:tc>
      </w:tr>
      <w:tr w:rsidR="00846C54" w:rsidRPr="00AC0CC1" w14:paraId="1572127F" w14:textId="77777777" w:rsidTr="00955C32">
        <w:trPr>
          <w:trHeight w:val="300"/>
        </w:trPr>
        <w:tc>
          <w:tcPr>
            <w:tcW w:w="2977" w:type="dxa"/>
            <w:tcBorders>
              <w:top w:val="nil"/>
            </w:tcBorders>
            <w:shd w:val="clear" w:color="000000" w:fill="FFFFFF"/>
            <w:noWrap/>
            <w:vAlign w:val="bottom"/>
            <w:hideMark/>
          </w:tcPr>
          <w:p w14:paraId="1572127D"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Atrazine</w:t>
            </w:r>
          </w:p>
        </w:tc>
        <w:tc>
          <w:tcPr>
            <w:tcW w:w="2977" w:type="dxa"/>
            <w:tcBorders>
              <w:top w:val="nil"/>
            </w:tcBorders>
            <w:shd w:val="clear" w:color="000000" w:fill="FFFFFF"/>
            <w:noWrap/>
            <w:vAlign w:val="bottom"/>
            <w:hideMark/>
          </w:tcPr>
          <w:p w14:paraId="1572127E" w14:textId="77777777" w:rsidR="00CA6794" w:rsidRPr="00F0737C" w:rsidRDefault="00CA6794" w:rsidP="00257A4D">
            <w:pPr>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Fluroxypyr</w:t>
            </w:r>
          </w:p>
        </w:tc>
      </w:tr>
      <w:tr w:rsidR="00846C54" w:rsidRPr="00AC0CC1" w14:paraId="15721282" w14:textId="77777777" w:rsidTr="00955C32">
        <w:trPr>
          <w:trHeight w:val="300"/>
        </w:trPr>
        <w:tc>
          <w:tcPr>
            <w:tcW w:w="2977" w:type="dxa"/>
            <w:tcBorders>
              <w:top w:val="nil"/>
            </w:tcBorders>
            <w:shd w:val="clear" w:color="000000" w:fill="FFFFFF"/>
            <w:noWrap/>
            <w:vAlign w:val="bottom"/>
            <w:hideMark/>
          </w:tcPr>
          <w:p w14:paraId="15721280"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Bromacil</w:t>
            </w:r>
          </w:p>
        </w:tc>
        <w:tc>
          <w:tcPr>
            <w:tcW w:w="2977" w:type="dxa"/>
            <w:tcBorders>
              <w:top w:val="nil"/>
            </w:tcBorders>
            <w:shd w:val="clear" w:color="000000" w:fill="FFFFFF"/>
            <w:noWrap/>
            <w:vAlign w:val="bottom"/>
            <w:hideMark/>
          </w:tcPr>
          <w:p w14:paraId="15721281" w14:textId="77777777" w:rsidR="00CA6794" w:rsidRPr="00F0737C" w:rsidRDefault="00CA6794" w:rsidP="00257A4D">
            <w:pPr>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Haloxyfop</w:t>
            </w:r>
          </w:p>
        </w:tc>
      </w:tr>
      <w:tr w:rsidR="00846C54" w:rsidRPr="00AC0CC1" w14:paraId="15721285" w14:textId="77777777" w:rsidTr="00955C32">
        <w:trPr>
          <w:trHeight w:val="300"/>
        </w:trPr>
        <w:tc>
          <w:tcPr>
            <w:tcW w:w="2977" w:type="dxa"/>
            <w:tcBorders>
              <w:top w:val="nil"/>
            </w:tcBorders>
            <w:shd w:val="clear" w:color="000000" w:fill="FFFFFF"/>
            <w:noWrap/>
            <w:vAlign w:val="bottom"/>
            <w:hideMark/>
          </w:tcPr>
          <w:p w14:paraId="15721283"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Desethyl Atrazine</w:t>
            </w:r>
          </w:p>
        </w:tc>
        <w:tc>
          <w:tcPr>
            <w:tcW w:w="2977" w:type="dxa"/>
            <w:tcBorders>
              <w:top w:val="nil"/>
            </w:tcBorders>
            <w:shd w:val="clear" w:color="000000" w:fill="FFFFFF"/>
            <w:noWrap/>
            <w:vAlign w:val="bottom"/>
            <w:hideMark/>
          </w:tcPr>
          <w:p w14:paraId="15721284" w14:textId="77777777" w:rsidR="00CA6794" w:rsidRPr="00F0737C" w:rsidRDefault="00CA6794" w:rsidP="00257A4D">
            <w:pPr>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 </w:t>
            </w:r>
            <w:r w:rsidR="000B10BF" w:rsidRPr="00F0737C">
              <w:rPr>
                <w:rFonts w:asciiTheme="minorHAnsi" w:eastAsia="Times New Roman" w:hAnsiTheme="minorHAnsi" w:cstheme="minorHAnsi"/>
                <w:lang w:val="en-AU" w:eastAsia="en-AU" w:bidi="ar-SA"/>
              </w:rPr>
              <w:t>MCPA</w:t>
            </w:r>
          </w:p>
        </w:tc>
      </w:tr>
      <w:tr w:rsidR="00846C54" w:rsidRPr="00AC0CC1" w14:paraId="15721288" w14:textId="77777777" w:rsidTr="00955C32">
        <w:trPr>
          <w:trHeight w:val="300"/>
        </w:trPr>
        <w:tc>
          <w:tcPr>
            <w:tcW w:w="2977" w:type="dxa"/>
            <w:tcBorders>
              <w:top w:val="nil"/>
            </w:tcBorders>
            <w:shd w:val="clear" w:color="000000" w:fill="FFFFFF"/>
            <w:noWrap/>
            <w:vAlign w:val="bottom"/>
            <w:hideMark/>
          </w:tcPr>
          <w:p w14:paraId="15721286"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Desisopropyl Atrazine</w:t>
            </w:r>
          </w:p>
        </w:tc>
        <w:tc>
          <w:tcPr>
            <w:tcW w:w="2977" w:type="dxa"/>
            <w:tcBorders>
              <w:top w:val="nil"/>
            </w:tcBorders>
            <w:shd w:val="clear" w:color="000000" w:fill="FFFFFF"/>
            <w:noWrap/>
            <w:vAlign w:val="bottom"/>
            <w:hideMark/>
          </w:tcPr>
          <w:p w14:paraId="15721287"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8B" w14:textId="77777777" w:rsidTr="00955C32">
        <w:trPr>
          <w:trHeight w:val="300"/>
        </w:trPr>
        <w:tc>
          <w:tcPr>
            <w:tcW w:w="2977" w:type="dxa"/>
            <w:tcBorders>
              <w:top w:val="nil"/>
            </w:tcBorders>
            <w:shd w:val="clear" w:color="000000" w:fill="FFFFFF"/>
            <w:noWrap/>
            <w:vAlign w:val="bottom"/>
            <w:hideMark/>
          </w:tcPr>
          <w:p w14:paraId="15721289" w14:textId="77777777" w:rsidR="00CA6794" w:rsidRPr="00F0737C" w:rsidRDefault="00CA6794" w:rsidP="00F0737C">
            <w:pPr>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Diuron</w:t>
            </w:r>
          </w:p>
        </w:tc>
        <w:tc>
          <w:tcPr>
            <w:tcW w:w="2977" w:type="dxa"/>
            <w:tcBorders>
              <w:top w:val="nil"/>
            </w:tcBorders>
            <w:shd w:val="clear" w:color="000000" w:fill="FFFFFF"/>
            <w:noWrap/>
            <w:vAlign w:val="bottom"/>
            <w:hideMark/>
          </w:tcPr>
          <w:p w14:paraId="1572128A"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8E" w14:textId="77777777" w:rsidTr="00955C32">
        <w:trPr>
          <w:trHeight w:val="300"/>
        </w:trPr>
        <w:tc>
          <w:tcPr>
            <w:tcW w:w="2977" w:type="dxa"/>
            <w:tcBorders>
              <w:top w:val="nil"/>
            </w:tcBorders>
            <w:shd w:val="clear" w:color="000000" w:fill="FFFFFF"/>
            <w:noWrap/>
            <w:vAlign w:val="bottom"/>
            <w:hideMark/>
          </w:tcPr>
          <w:p w14:paraId="1572128C"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Fluazifop</w:t>
            </w:r>
          </w:p>
        </w:tc>
        <w:tc>
          <w:tcPr>
            <w:tcW w:w="2977" w:type="dxa"/>
            <w:tcBorders>
              <w:top w:val="nil"/>
            </w:tcBorders>
            <w:shd w:val="clear" w:color="000000" w:fill="FFFFFF"/>
            <w:noWrap/>
            <w:vAlign w:val="bottom"/>
            <w:hideMark/>
          </w:tcPr>
          <w:p w14:paraId="1572128D"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91" w14:textId="77777777" w:rsidTr="00955C32">
        <w:trPr>
          <w:trHeight w:val="300"/>
        </w:trPr>
        <w:tc>
          <w:tcPr>
            <w:tcW w:w="2977" w:type="dxa"/>
            <w:tcBorders>
              <w:top w:val="nil"/>
            </w:tcBorders>
            <w:shd w:val="clear" w:color="000000" w:fill="FFFFFF"/>
            <w:noWrap/>
            <w:vAlign w:val="bottom"/>
            <w:hideMark/>
          </w:tcPr>
          <w:p w14:paraId="1572128F"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Flu</w:t>
            </w:r>
            <w:r w:rsidR="00A04F09" w:rsidRPr="00F0737C">
              <w:rPr>
                <w:rFonts w:asciiTheme="minorHAnsi" w:eastAsia="Times New Roman" w:hAnsiTheme="minorHAnsi" w:cstheme="minorHAnsi"/>
                <w:lang w:val="en-AU" w:eastAsia="en-AU" w:bidi="ar-SA"/>
              </w:rPr>
              <w:t>o</w:t>
            </w:r>
            <w:r w:rsidRPr="00F0737C">
              <w:rPr>
                <w:rFonts w:asciiTheme="minorHAnsi" w:eastAsia="Times New Roman" w:hAnsiTheme="minorHAnsi" w:cstheme="minorHAnsi"/>
                <w:lang w:val="en-AU" w:eastAsia="en-AU" w:bidi="ar-SA"/>
              </w:rPr>
              <w:t>meturon</w:t>
            </w:r>
          </w:p>
        </w:tc>
        <w:tc>
          <w:tcPr>
            <w:tcW w:w="2977" w:type="dxa"/>
            <w:tcBorders>
              <w:top w:val="nil"/>
            </w:tcBorders>
            <w:shd w:val="clear" w:color="000000" w:fill="FFFFFF"/>
            <w:noWrap/>
            <w:vAlign w:val="bottom"/>
            <w:hideMark/>
          </w:tcPr>
          <w:p w14:paraId="15721290"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94" w14:textId="77777777" w:rsidTr="00955C32">
        <w:trPr>
          <w:trHeight w:val="300"/>
        </w:trPr>
        <w:tc>
          <w:tcPr>
            <w:tcW w:w="2977" w:type="dxa"/>
            <w:tcBorders>
              <w:top w:val="nil"/>
            </w:tcBorders>
            <w:shd w:val="clear" w:color="000000" w:fill="FFFFFF"/>
            <w:noWrap/>
            <w:vAlign w:val="bottom"/>
            <w:hideMark/>
          </w:tcPr>
          <w:p w14:paraId="15721292"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Hexazinone</w:t>
            </w:r>
          </w:p>
        </w:tc>
        <w:tc>
          <w:tcPr>
            <w:tcW w:w="2977" w:type="dxa"/>
            <w:tcBorders>
              <w:top w:val="nil"/>
            </w:tcBorders>
            <w:shd w:val="clear" w:color="000000" w:fill="FFFFFF"/>
            <w:noWrap/>
            <w:vAlign w:val="bottom"/>
            <w:hideMark/>
          </w:tcPr>
          <w:p w14:paraId="15721293"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97" w14:textId="77777777" w:rsidTr="00955C32">
        <w:trPr>
          <w:trHeight w:val="300"/>
        </w:trPr>
        <w:tc>
          <w:tcPr>
            <w:tcW w:w="2977" w:type="dxa"/>
            <w:tcBorders>
              <w:top w:val="nil"/>
            </w:tcBorders>
            <w:shd w:val="clear" w:color="000000" w:fill="FFFFFF"/>
            <w:noWrap/>
            <w:vAlign w:val="bottom"/>
            <w:hideMark/>
          </w:tcPr>
          <w:p w14:paraId="15721295"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Imazapic</w:t>
            </w:r>
          </w:p>
        </w:tc>
        <w:tc>
          <w:tcPr>
            <w:tcW w:w="2977" w:type="dxa"/>
            <w:tcBorders>
              <w:top w:val="nil"/>
            </w:tcBorders>
            <w:shd w:val="clear" w:color="000000" w:fill="FFFFFF"/>
            <w:noWrap/>
            <w:vAlign w:val="bottom"/>
            <w:hideMark/>
          </w:tcPr>
          <w:p w14:paraId="15721296"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9A" w14:textId="77777777" w:rsidTr="00955C32">
        <w:trPr>
          <w:trHeight w:val="300"/>
        </w:trPr>
        <w:tc>
          <w:tcPr>
            <w:tcW w:w="2977" w:type="dxa"/>
            <w:tcBorders>
              <w:top w:val="nil"/>
            </w:tcBorders>
            <w:shd w:val="clear" w:color="000000" w:fill="FFFFFF"/>
            <w:noWrap/>
            <w:vAlign w:val="bottom"/>
            <w:hideMark/>
          </w:tcPr>
          <w:p w14:paraId="15721298"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Imidacloprid</w:t>
            </w:r>
          </w:p>
        </w:tc>
        <w:tc>
          <w:tcPr>
            <w:tcW w:w="2977" w:type="dxa"/>
            <w:tcBorders>
              <w:top w:val="nil"/>
            </w:tcBorders>
            <w:shd w:val="clear" w:color="000000" w:fill="FFFFFF"/>
            <w:noWrap/>
            <w:vAlign w:val="bottom"/>
            <w:hideMark/>
          </w:tcPr>
          <w:p w14:paraId="15721299"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9D" w14:textId="77777777" w:rsidTr="00955C32">
        <w:trPr>
          <w:trHeight w:val="300"/>
        </w:trPr>
        <w:tc>
          <w:tcPr>
            <w:tcW w:w="2977" w:type="dxa"/>
            <w:tcBorders>
              <w:top w:val="nil"/>
            </w:tcBorders>
            <w:shd w:val="clear" w:color="000000" w:fill="FFFFFF"/>
            <w:noWrap/>
            <w:vAlign w:val="bottom"/>
            <w:hideMark/>
          </w:tcPr>
          <w:p w14:paraId="1572129B"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Metolachlor</w:t>
            </w:r>
          </w:p>
        </w:tc>
        <w:tc>
          <w:tcPr>
            <w:tcW w:w="2977" w:type="dxa"/>
            <w:tcBorders>
              <w:top w:val="nil"/>
            </w:tcBorders>
            <w:shd w:val="clear" w:color="000000" w:fill="FFFFFF"/>
            <w:noWrap/>
            <w:vAlign w:val="bottom"/>
            <w:hideMark/>
          </w:tcPr>
          <w:p w14:paraId="1572129C"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A0" w14:textId="77777777" w:rsidTr="00955C32">
        <w:trPr>
          <w:trHeight w:val="300"/>
        </w:trPr>
        <w:tc>
          <w:tcPr>
            <w:tcW w:w="2977" w:type="dxa"/>
            <w:tcBorders>
              <w:top w:val="nil"/>
            </w:tcBorders>
            <w:shd w:val="clear" w:color="000000" w:fill="FFFFFF"/>
            <w:noWrap/>
            <w:vAlign w:val="bottom"/>
            <w:hideMark/>
          </w:tcPr>
          <w:p w14:paraId="1572129E" w14:textId="77777777" w:rsidR="00CA6794" w:rsidRPr="00F0737C" w:rsidRDefault="00CA6794" w:rsidP="00DE44E2">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Metribuzin</w:t>
            </w:r>
          </w:p>
        </w:tc>
        <w:tc>
          <w:tcPr>
            <w:tcW w:w="2977" w:type="dxa"/>
            <w:tcBorders>
              <w:top w:val="nil"/>
            </w:tcBorders>
            <w:shd w:val="clear" w:color="000000" w:fill="FFFFFF"/>
            <w:noWrap/>
            <w:vAlign w:val="bottom"/>
            <w:hideMark/>
          </w:tcPr>
          <w:p w14:paraId="1572129F"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A3" w14:textId="77777777" w:rsidTr="00955C32">
        <w:trPr>
          <w:trHeight w:val="300"/>
        </w:trPr>
        <w:tc>
          <w:tcPr>
            <w:tcW w:w="2977" w:type="dxa"/>
            <w:tcBorders>
              <w:top w:val="nil"/>
            </w:tcBorders>
            <w:shd w:val="clear" w:color="000000" w:fill="FFFFFF"/>
            <w:noWrap/>
            <w:vAlign w:val="bottom"/>
            <w:hideMark/>
          </w:tcPr>
          <w:p w14:paraId="157212A1"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Metsulfuron-methyl</w:t>
            </w:r>
          </w:p>
        </w:tc>
        <w:tc>
          <w:tcPr>
            <w:tcW w:w="2977" w:type="dxa"/>
            <w:tcBorders>
              <w:top w:val="nil"/>
            </w:tcBorders>
            <w:shd w:val="clear" w:color="000000" w:fill="FFFFFF"/>
            <w:noWrap/>
            <w:vAlign w:val="bottom"/>
            <w:hideMark/>
          </w:tcPr>
          <w:p w14:paraId="157212A2"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A6" w14:textId="77777777" w:rsidTr="00955C32">
        <w:trPr>
          <w:trHeight w:val="300"/>
        </w:trPr>
        <w:tc>
          <w:tcPr>
            <w:tcW w:w="2977" w:type="dxa"/>
            <w:tcBorders>
              <w:top w:val="nil"/>
            </w:tcBorders>
            <w:shd w:val="clear" w:color="000000" w:fill="FFFFFF"/>
            <w:noWrap/>
            <w:vAlign w:val="bottom"/>
            <w:hideMark/>
          </w:tcPr>
          <w:p w14:paraId="157212A4"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Prometryn</w:t>
            </w:r>
          </w:p>
        </w:tc>
        <w:tc>
          <w:tcPr>
            <w:tcW w:w="2977" w:type="dxa"/>
            <w:tcBorders>
              <w:top w:val="nil"/>
            </w:tcBorders>
            <w:shd w:val="clear" w:color="000000" w:fill="FFFFFF"/>
            <w:noWrap/>
            <w:vAlign w:val="bottom"/>
            <w:hideMark/>
          </w:tcPr>
          <w:p w14:paraId="157212A5"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A9" w14:textId="77777777" w:rsidTr="00955C32">
        <w:trPr>
          <w:trHeight w:val="300"/>
        </w:trPr>
        <w:tc>
          <w:tcPr>
            <w:tcW w:w="2977" w:type="dxa"/>
            <w:tcBorders>
              <w:top w:val="nil"/>
            </w:tcBorders>
            <w:shd w:val="clear" w:color="000000" w:fill="FFFFFF"/>
            <w:noWrap/>
            <w:vAlign w:val="bottom"/>
            <w:hideMark/>
          </w:tcPr>
          <w:p w14:paraId="157212A7"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Propazine</w:t>
            </w:r>
          </w:p>
        </w:tc>
        <w:tc>
          <w:tcPr>
            <w:tcW w:w="2977" w:type="dxa"/>
            <w:tcBorders>
              <w:top w:val="nil"/>
            </w:tcBorders>
            <w:shd w:val="clear" w:color="000000" w:fill="FFFFFF"/>
            <w:noWrap/>
            <w:vAlign w:val="bottom"/>
            <w:hideMark/>
          </w:tcPr>
          <w:p w14:paraId="157212A8"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AC" w14:textId="77777777" w:rsidTr="00955C32">
        <w:trPr>
          <w:trHeight w:val="300"/>
        </w:trPr>
        <w:tc>
          <w:tcPr>
            <w:tcW w:w="2977" w:type="dxa"/>
            <w:tcBorders>
              <w:top w:val="nil"/>
            </w:tcBorders>
            <w:shd w:val="clear" w:color="000000" w:fill="FFFFFF"/>
            <w:noWrap/>
            <w:vAlign w:val="bottom"/>
            <w:hideMark/>
          </w:tcPr>
          <w:p w14:paraId="157212AA"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Simazine</w:t>
            </w:r>
          </w:p>
        </w:tc>
        <w:tc>
          <w:tcPr>
            <w:tcW w:w="2977" w:type="dxa"/>
            <w:tcBorders>
              <w:top w:val="nil"/>
            </w:tcBorders>
            <w:shd w:val="clear" w:color="000000" w:fill="FFFFFF"/>
            <w:noWrap/>
            <w:vAlign w:val="bottom"/>
            <w:hideMark/>
          </w:tcPr>
          <w:p w14:paraId="157212AB"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AF" w14:textId="77777777" w:rsidTr="00955C32">
        <w:trPr>
          <w:trHeight w:val="300"/>
        </w:trPr>
        <w:tc>
          <w:tcPr>
            <w:tcW w:w="2977" w:type="dxa"/>
            <w:tcBorders>
              <w:top w:val="nil"/>
            </w:tcBorders>
            <w:shd w:val="clear" w:color="000000" w:fill="FFFFFF"/>
            <w:noWrap/>
            <w:vAlign w:val="bottom"/>
            <w:hideMark/>
          </w:tcPr>
          <w:p w14:paraId="157212AD"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Tebuconazole</w:t>
            </w:r>
          </w:p>
        </w:tc>
        <w:tc>
          <w:tcPr>
            <w:tcW w:w="2977" w:type="dxa"/>
            <w:tcBorders>
              <w:top w:val="nil"/>
            </w:tcBorders>
            <w:shd w:val="clear" w:color="000000" w:fill="FFFFFF"/>
            <w:noWrap/>
            <w:vAlign w:val="bottom"/>
            <w:hideMark/>
          </w:tcPr>
          <w:p w14:paraId="157212AE"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B2" w14:textId="77777777" w:rsidTr="00DE44E2">
        <w:trPr>
          <w:trHeight w:val="300"/>
        </w:trPr>
        <w:tc>
          <w:tcPr>
            <w:tcW w:w="2977" w:type="dxa"/>
            <w:tcBorders>
              <w:top w:val="nil"/>
            </w:tcBorders>
            <w:shd w:val="clear" w:color="000000" w:fill="FFFFFF"/>
            <w:noWrap/>
            <w:vAlign w:val="bottom"/>
            <w:hideMark/>
          </w:tcPr>
          <w:p w14:paraId="157212B0"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Tebuthiuron</w:t>
            </w:r>
          </w:p>
        </w:tc>
        <w:tc>
          <w:tcPr>
            <w:tcW w:w="2977" w:type="dxa"/>
            <w:tcBorders>
              <w:top w:val="nil"/>
            </w:tcBorders>
            <w:shd w:val="clear" w:color="000000" w:fill="FFFFFF"/>
            <w:noWrap/>
            <w:vAlign w:val="bottom"/>
            <w:hideMark/>
          </w:tcPr>
          <w:p w14:paraId="157212B1"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57212B5" w14:textId="77777777" w:rsidTr="00DE44E2">
        <w:trPr>
          <w:trHeight w:val="300"/>
        </w:trPr>
        <w:tc>
          <w:tcPr>
            <w:tcW w:w="2977" w:type="dxa"/>
            <w:tcBorders>
              <w:top w:val="nil"/>
              <w:bottom w:val="single" w:sz="4" w:space="0" w:color="auto"/>
            </w:tcBorders>
            <w:shd w:val="clear" w:color="000000" w:fill="FFFFFF"/>
            <w:noWrap/>
            <w:vAlign w:val="bottom"/>
            <w:hideMark/>
          </w:tcPr>
          <w:p w14:paraId="157212B3" w14:textId="77777777" w:rsidR="00CA6794" w:rsidRPr="00F0737C" w:rsidRDefault="00CA6794" w:rsidP="00CA6794">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Terbutryn</w:t>
            </w:r>
          </w:p>
        </w:tc>
        <w:tc>
          <w:tcPr>
            <w:tcW w:w="2977" w:type="dxa"/>
            <w:tcBorders>
              <w:top w:val="nil"/>
              <w:bottom w:val="single" w:sz="4" w:space="0" w:color="auto"/>
            </w:tcBorders>
            <w:shd w:val="clear" w:color="000000" w:fill="FFFFFF"/>
            <w:noWrap/>
            <w:vAlign w:val="bottom"/>
            <w:hideMark/>
          </w:tcPr>
          <w:p w14:paraId="157212B4" w14:textId="77777777" w:rsidR="00CA6794" w:rsidRPr="00AC0CC1" w:rsidRDefault="00CA6794" w:rsidP="00257A4D">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bookmarkEnd w:id="551"/>
    </w:tbl>
    <w:p w14:paraId="157212B6" w14:textId="77777777" w:rsidR="0059608E" w:rsidRPr="00747824" w:rsidRDefault="0059608E" w:rsidP="00015606">
      <w:pPr>
        <w:pStyle w:val="Caption"/>
        <w:keepNext/>
        <w:spacing w:line="276" w:lineRule="auto"/>
        <w:rPr>
          <w:b w:val="0"/>
        </w:rPr>
      </w:pPr>
    </w:p>
    <w:p w14:paraId="157212B7" w14:textId="77777777" w:rsidR="00F5153B" w:rsidRPr="00747824" w:rsidRDefault="00695EC7" w:rsidP="00695EC7">
      <w:pPr>
        <w:pStyle w:val="Caption"/>
        <w:spacing w:after="120"/>
        <w:rPr>
          <w:b w:val="0"/>
        </w:rPr>
      </w:pPr>
      <w:bookmarkStart w:id="751" w:name="_Ref480725509"/>
      <w:bookmarkStart w:id="752" w:name="_Toc502499808"/>
      <w:r>
        <w:t xml:space="preserve">Table </w:t>
      </w:r>
      <w:r w:rsidR="00C91BF5">
        <w:fldChar w:fldCharType="begin"/>
      </w:r>
      <w:r w:rsidR="008C60F9">
        <w:instrText xml:space="preserve"> STYLEREF 7 \s </w:instrText>
      </w:r>
      <w:r w:rsidR="00C91BF5">
        <w:fldChar w:fldCharType="separate"/>
      </w:r>
      <w:r w:rsidR="00D12276">
        <w:rPr>
          <w:noProof/>
        </w:rPr>
        <w:t>A</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3</w:t>
      </w:r>
      <w:r w:rsidR="00C91BF5">
        <w:fldChar w:fldCharType="end"/>
      </w:r>
      <w:bookmarkEnd w:id="751"/>
      <w:r>
        <w:t xml:space="preserve">: </w:t>
      </w:r>
      <w:r w:rsidR="001C45D0" w:rsidRPr="00747824">
        <w:rPr>
          <w:b w:val="0"/>
        </w:rPr>
        <w:t>QAEHS</w:t>
      </w:r>
      <w:r w:rsidR="00F5153B" w:rsidRPr="00747824">
        <w:rPr>
          <w:b w:val="0"/>
        </w:rPr>
        <w:t xml:space="preserve"> GC</w:t>
      </w:r>
      <w:r w:rsidR="00330611">
        <w:rPr>
          <w:b w:val="0"/>
        </w:rPr>
        <w:t>-</w:t>
      </w:r>
      <w:r w:rsidR="00F5153B" w:rsidRPr="00747824">
        <w:rPr>
          <w:b w:val="0"/>
        </w:rPr>
        <w:t>MS analyte list for PDMS extracts</w:t>
      </w:r>
      <w:bookmarkEnd w:id="752"/>
    </w:p>
    <w:tbl>
      <w:tblPr>
        <w:tblW w:w="5954" w:type="dxa"/>
        <w:tblInd w:w="675" w:type="dxa"/>
        <w:tblBorders>
          <w:top w:val="single" w:sz="4" w:space="0" w:color="auto"/>
          <w:bottom w:val="single" w:sz="4" w:space="0" w:color="auto"/>
          <w:insideV w:val="single" w:sz="4" w:space="0" w:color="auto"/>
        </w:tblBorders>
        <w:tblLook w:val="04A0" w:firstRow="1" w:lastRow="0" w:firstColumn="1" w:lastColumn="0" w:noHBand="0" w:noVBand="1"/>
      </w:tblPr>
      <w:tblGrid>
        <w:gridCol w:w="5954"/>
      </w:tblGrid>
      <w:tr w:rsidR="00955C32" w:rsidRPr="00955C32" w14:paraId="157212B9" w14:textId="77777777" w:rsidTr="008324EB">
        <w:trPr>
          <w:trHeight w:val="300"/>
        </w:trPr>
        <w:tc>
          <w:tcPr>
            <w:tcW w:w="5954" w:type="dxa"/>
            <w:tcBorders>
              <w:top w:val="single" w:sz="4" w:space="0" w:color="auto"/>
              <w:bottom w:val="single" w:sz="4" w:space="0" w:color="auto"/>
            </w:tcBorders>
            <w:shd w:val="clear" w:color="auto" w:fill="F2F2F2" w:themeFill="background1" w:themeFillShade="F2"/>
            <w:noWrap/>
            <w:vAlign w:val="bottom"/>
          </w:tcPr>
          <w:p w14:paraId="157212B8" w14:textId="77777777" w:rsidR="00955C32" w:rsidRPr="00955C32" w:rsidRDefault="00955C32" w:rsidP="003A1210">
            <w:pPr>
              <w:jc w:val="left"/>
              <w:rPr>
                <w:rFonts w:asciiTheme="minorHAnsi" w:eastAsia="Times New Roman" w:hAnsiTheme="minorHAnsi" w:cstheme="minorHAnsi"/>
                <w:b/>
                <w:color w:val="000000"/>
                <w:lang w:val="en-AU" w:eastAsia="en-AU" w:bidi="ar-SA"/>
              </w:rPr>
            </w:pPr>
            <w:r w:rsidRPr="00955C32">
              <w:rPr>
                <w:rFonts w:asciiTheme="minorHAnsi" w:eastAsia="Times New Roman" w:hAnsiTheme="minorHAnsi" w:cstheme="minorHAnsi"/>
                <w:b/>
                <w:color w:val="000000"/>
                <w:lang w:val="en-AU" w:eastAsia="en-AU" w:bidi="ar-SA"/>
              </w:rPr>
              <w:t>Pesticide</w:t>
            </w:r>
          </w:p>
        </w:tc>
      </w:tr>
      <w:tr w:rsidR="003A1210" w:rsidRPr="00AC0CC1" w14:paraId="157212BB" w14:textId="77777777" w:rsidTr="008324EB">
        <w:trPr>
          <w:trHeight w:val="300"/>
        </w:trPr>
        <w:tc>
          <w:tcPr>
            <w:tcW w:w="5954" w:type="dxa"/>
            <w:tcBorders>
              <w:top w:val="single" w:sz="4" w:space="0" w:color="auto"/>
            </w:tcBorders>
            <w:shd w:val="clear" w:color="000000" w:fill="FFFFFF"/>
            <w:noWrap/>
            <w:vAlign w:val="bottom"/>
            <w:hideMark/>
          </w:tcPr>
          <w:p w14:paraId="157212BA" w14:textId="77777777" w:rsidR="003A1210" w:rsidRPr="00AC0CC1" w:rsidRDefault="003A1210" w:rsidP="003A1210">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Chlorpyifos</w:t>
            </w:r>
          </w:p>
        </w:tc>
      </w:tr>
      <w:tr w:rsidR="003A1210" w:rsidRPr="00AC0CC1" w14:paraId="157212BD" w14:textId="77777777" w:rsidTr="008324EB">
        <w:trPr>
          <w:trHeight w:val="300"/>
        </w:trPr>
        <w:tc>
          <w:tcPr>
            <w:tcW w:w="5954" w:type="dxa"/>
            <w:shd w:val="clear" w:color="000000" w:fill="FFFFFF"/>
            <w:noWrap/>
            <w:vAlign w:val="bottom"/>
            <w:hideMark/>
          </w:tcPr>
          <w:p w14:paraId="157212BC" w14:textId="77777777" w:rsidR="003A1210" w:rsidRPr="00AC0CC1" w:rsidRDefault="003A1210" w:rsidP="003A1210">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Pendimethalin</w:t>
            </w:r>
          </w:p>
        </w:tc>
      </w:tr>
      <w:tr w:rsidR="003A1210" w:rsidRPr="00AC0CC1" w14:paraId="157212BF" w14:textId="77777777" w:rsidTr="008324EB">
        <w:trPr>
          <w:trHeight w:val="300"/>
        </w:trPr>
        <w:tc>
          <w:tcPr>
            <w:tcW w:w="5954" w:type="dxa"/>
            <w:shd w:val="clear" w:color="000000" w:fill="FFFFFF"/>
            <w:noWrap/>
            <w:vAlign w:val="bottom"/>
            <w:hideMark/>
          </w:tcPr>
          <w:p w14:paraId="157212BE" w14:textId="77777777" w:rsidR="003A1210" w:rsidRPr="00AC0CC1" w:rsidRDefault="003A1210" w:rsidP="003A1210">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Propazine</w:t>
            </w:r>
          </w:p>
        </w:tc>
      </w:tr>
      <w:tr w:rsidR="003A1210" w:rsidRPr="00AC0CC1" w14:paraId="157212C1" w14:textId="77777777" w:rsidTr="008324EB">
        <w:trPr>
          <w:trHeight w:val="300"/>
        </w:trPr>
        <w:tc>
          <w:tcPr>
            <w:tcW w:w="5954" w:type="dxa"/>
            <w:shd w:val="clear" w:color="000000" w:fill="FFFFFF"/>
            <w:noWrap/>
            <w:vAlign w:val="bottom"/>
            <w:hideMark/>
          </w:tcPr>
          <w:p w14:paraId="157212C0" w14:textId="025F0979" w:rsidR="003A1210" w:rsidRPr="00AC0CC1" w:rsidRDefault="003A1210" w:rsidP="003A1210">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Propiconazole</w:t>
            </w:r>
          </w:p>
        </w:tc>
      </w:tr>
      <w:tr w:rsidR="003A1210" w:rsidRPr="00AC0CC1" w14:paraId="157212C3" w14:textId="77777777" w:rsidTr="008324EB">
        <w:trPr>
          <w:trHeight w:val="300"/>
        </w:trPr>
        <w:tc>
          <w:tcPr>
            <w:tcW w:w="5954" w:type="dxa"/>
            <w:shd w:val="clear" w:color="000000" w:fill="FFFFFF"/>
            <w:noWrap/>
            <w:vAlign w:val="bottom"/>
            <w:hideMark/>
          </w:tcPr>
          <w:p w14:paraId="157212C2" w14:textId="77777777" w:rsidR="003A1210" w:rsidRPr="00AC0CC1" w:rsidRDefault="003A1210" w:rsidP="003A1210">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Trifluralin</w:t>
            </w:r>
          </w:p>
        </w:tc>
      </w:tr>
    </w:tbl>
    <w:p w14:paraId="157212C4" w14:textId="7A47BF3D" w:rsidR="0059608E" w:rsidRPr="005B0F3D" w:rsidRDefault="0059608E" w:rsidP="008324EB">
      <w:pPr>
        <w:spacing w:line="276" w:lineRule="auto"/>
        <w:ind w:left="709" w:right="3663" w:hanging="142"/>
        <w:jc w:val="left"/>
        <w:rPr>
          <w:sz w:val="14"/>
        </w:rPr>
      </w:pPr>
    </w:p>
    <w:p w14:paraId="157212C5" w14:textId="77777777" w:rsidR="0086437B" w:rsidRDefault="0086437B" w:rsidP="00015606">
      <w:pPr>
        <w:pStyle w:val="Caption"/>
        <w:keepNext/>
        <w:spacing w:line="276" w:lineRule="auto"/>
        <w:jc w:val="center"/>
      </w:pPr>
    </w:p>
    <w:p w14:paraId="157212C6" w14:textId="77777777" w:rsidR="00F5153B" w:rsidRPr="00D706B9" w:rsidRDefault="00695EC7" w:rsidP="00D706B9">
      <w:pPr>
        <w:pStyle w:val="Caption"/>
        <w:spacing w:after="120"/>
        <w:rPr>
          <w:b w:val="0"/>
        </w:rPr>
      </w:pPr>
      <w:bookmarkStart w:id="753" w:name="_Ref480726503"/>
      <w:bookmarkStart w:id="754" w:name="_Toc502499809"/>
      <w:r w:rsidRPr="00D706B9">
        <w:t xml:space="preserve">Table </w:t>
      </w:r>
      <w:r w:rsidR="00C91BF5" w:rsidRPr="00D706B9">
        <w:fldChar w:fldCharType="begin"/>
      </w:r>
      <w:r w:rsidR="008C60F9" w:rsidRPr="00D706B9">
        <w:instrText xml:space="preserve"> STYLEREF 7 \s </w:instrText>
      </w:r>
      <w:r w:rsidR="00C91BF5" w:rsidRPr="00D706B9">
        <w:fldChar w:fldCharType="separate"/>
      </w:r>
      <w:r w:rsidR="00D12276">
        <w:rPr>
          <w:noProof/>
        </w:rPr>
        <w:t>A</w:t>
      </w:r>
      <w:r w:rsidR="00C91BF5" w:rsidRPr="00D706B9">
        <w:fldChar w:fldCharType="end"/>
      </w:r>
      <w:r w:rsidR="008C60F9" w:rsidRPr="00D706B9">
        <w:noBreakHyphen/>
      </w:r>
      <w:r w:rsidR="00C91BF5" w:rsidRPr="00D706B9">
        <w:fldChar w:fldCharType="begin"/>
      </w:r>
      <w:r w:rsidR="008C60F9" w:rsidRPr="00D706B9">
        <w:instrText xml:space="preserve"> SEQ Table_Apx \* ARABIC \s 7 </w:instrText>
      </w:r>
      <w:r w:rsidR="00C91BF5" w:rsidRPr="00D706B9">
        <w:fldChar w:fldCharType="separate"/>
      </w:r>
      <w:r w:rsidR="00D12276">
        <w:rPr>
          <w:noProof/>
        </w:rPr>
        <w:t>4</w:t>
      </w:r>
      <w:r w:rsidR="00C91BF5" w:rsidRPr="00D706B9">
        <w:fldChar w:fldCharType="end"/>
      </w:r>
      <w:bookmarkEnd w:id="753"/>
      <w:r w:rsidR="00840E64" w:rsidRPr="00D706B9">
        <w:t>:</w:t>
      </w:r>
      <w:r w:rsidR="00840E64" w:rsidRPr="00D706B9">
        <w:rPr>
          <w:b w:val="0"/>
        </w:rPr>
        <w:t xml:space="preserve"> P</w:t>
      </w:r>
      <w:r w:rsidR="00F5153B" w:rsidRPr="00D706B9">
        <w:rPr>
          <w:b w:val="0"/>
        </w:rPr>
        <w:t xml:space="preserve">roposed priority pesticides and herbicides specified under the MMP (proposed </w:t>
      </w:r>
      <w:r w:rsidR="00245DC4" w:rsidRPr="00D706B9">
        <w:rPr>
          <w:b w:val="0"/>
        </w:rPr>
        <w:t>by</w:t>
      </w:r>
      <w:r w:rsidR="00F5153B" w:rsidRPr="00D706B9">
        <w:rPr>
          <w:b w:val="0"/>
        </w:rPr>
        <w:t xml:space="preserve"> PWG 18 Aug</w:t>
      </w:r>
      <w:r w:rsidR="0086437B" w:rsidRPr="00D706B9">
        <w:rPr>
          <w:b w:val="0"/>
        </w:rPr>
        <w:t>ust</w:t>
      </w:r>
      <w:r w:rsidR="00F5153B" w:rsidRPr="00D706B9">
        <w:rPr>
          <w:b w:val="0"/>
        </w:rPr>
        <w:t xml:space="preserve"> 2015)</w:t>
      </w:r>
      <w:r w:rsidR="00D706B9" w:rsidRPr="00D706B9">
        <w:rPr>
          <w:b w:val="0"/>
        </w:rPr>
        <w:t xml:space="preserve"> and other pesticides of interest for potential inclusion in monitoring and reporting activities (feedback from the Paddock to the Reef program)</w:t>
      </w:r>
      <w:r w:rsidR="00245DC4" w:rsidRPr="00D706B9">
        <w:rPr>
          <w:b w:val="0"/>
        </w:rPr>
        <w:t xml:space="preserve">. </w:t>
      </w:r>
      <w:r w:rsidR="00D706B9" w:rsidRPr="00D706B9">
        <w:rPr>
          <w:b w:val="0"/>
        </w:rPr>
        <w:t>I</w:t>
      </w:r>
      <w:r w:rsidR="00245DC4" w:rsidRPr="00D706B9">
        <w:rPr>
          <w:b w:val="0"/>
        </w:rPr>
        <w:t>nstrument limit of detection (LOD) and limit of reporting (LO</w:t>
      </w:r>
      <w:r w:rsidR="00D706B9">
        <w:rPr>
          <w:b w:val="0"/>
        </w:rPr>
        <w:t>R</w:t>
      </w:r>
      <w:r w:rsidR="00245DC4" w:rsidRPr="00D706B9">
        <w:rPr>
          <w:b w:val="0"/>
        </w:rPr>
        <w:t>) are given (</w:t>
      </w:r>
      <w:r w:rsidR="00245DC4" w:rsidRPr="00D706B9">
        <w:rPr>
          <w:rFonts w:ascii="Symbol" w:hAnsi="Symbol"/>
          <w:b w:val="0"/>
        </w:rPr>
        <w:t></w:t>
      </w:r>
      <w:r w:rsidR="00245DC4" w:rsidRPr="00D706B9">
        <w:rPr>
          <w:b w:val="0"/>
        </w:rPr>
        <w:t>g L</w:t>
      </w:r>
      <w:r w:rsidR="00D706B9" w:rsidRPr="00D706B9">
        <w:rPr>
          <w:b w:val="0"/>
          <w:vertAlign w:val="superscript"/>
        </w:rPr>
        <w:t>-1</w:t>
      </w:r>
      <w:r w:rsidR="00245DC4" w:rsidRPr="00D706B9">
        <w:rPr>
          <w:b w:val="0"/>
        </w:rPr>
        <w:t>), where available.</w:t>
      </w:r>
      <w:bookmarkEnd w:id="754"/>
    </w:p>
    <w:tbl>
      <w:tblPr>
        <w:tblW w:w="10488" w:type="dxa"/>
        <w:tblInd w:w="113"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2405"/>
        <w:gridCol w:w="4536"/>
        <w:gridCol w:w="1239"/>
        <w:gridCol w:w="749"/>
        <w:gridCol w:w="20"/>
        <w:gridCol w:w="688"/>
        <w:gridCol w:w="81"/>
        <w:gridCol w:w="770"/>
      </w:tblGrid>
      <w:tr w:rsidR="00D706B9" w:rsidRPr="00245DC4" w14:paraId="157212CC" w14:textId="77777777" w:rsidTr="00780FEA">
        <w:trPr>
          <w:trHeight w:val="296"/>
          <w:tblHeader/>
        </w:trPr>
        <w:tc>
          <w:tcPr>
            <w:tcW w:w="2405" w:type="dxa"/>
            <w:vMerge w:val="restart"/>
            <w:shd w:val="clear" w:color="auto" w:fill="F2F2F2" w:themeFill="background1" w:themeFillShade="F2"/>
            <w:vAlign w:val="center"/>
            <w:hideMark/>
          </w:tcPr>
          <w:p w14:paraId="157212C7" w14:textId="77777777" w:rsidR="00D706B9" w:rsidRPr="00245DC4" w:rsidRDefault="00D706B9" w:rsidP="00955C32">
            <w:pPr>
              <w:jc w:val="left"/>
              <w:rPr>
                <w:rFonts w:asciiTheme="minorHAnsi" w:eastAsia="Times New Roman" w:hAnsiTheme="minorHAnsi" w:cstheme="minorHAnsi"/>
                <w:b/>
                <w:bCs/>
                <w:color w:val="000000"/>
                <w:lang w:val="en-AU" w:eastAsia="en-AU" w:bidi="ar-SA"/>
              </w:rPr>
            </w:pPr>
            <w:r w:rsidRPr="00245DC4">
              <w:rPr>
                <w:rFonts w:asciiTheme="minorHAnsi" w:eastAsia="Times New Roman" w:hAnsiTheme="minorHAnsi" w:cstheme="minorHAnsi"/>
                <w:b/>
                <w:bCs/>
                <w:color w:val="000000"/>
                <w:lang w:val="en-AU" w:eastAsia="en-AU" w:bidi="ar-SA"/>
              </w:rPr>
              <w:t>Chemical</w:t>
            </w:r>
          </w:p>
        </w:tc>
        <w:tc>
          <w:tcPr>
            <w:tcW w:w="4536" w:type="dxa"/>
            <w:vMerge w:val="restart"/>
            <w:shd w:val="clear" w:color="auto" w:fill="F2F2F2" w:themeFill="background1" w:themeFillShade="F2"/>
            <w:vAlign w:val="center"/>
            <w:hideMark/>
          </w:tcPr>
          <w:p w14:paraId="157212C8" w14:textId="77777777" w:rsidR="00D706B9" w:rsidRPr="00245DC4" w:rsidRDefault="00D706B9" w:rsidP="00955C32">
            <w:pPr>
              <w:jc w:val="left"/>
              <w:rPr>
                <w:rFonts w:ascii="Calibri" w:eastAsia="Times New Roman" w:hAnsi="Calibri" w:cs="Calibri"/>
                <w:b/>
                <w:bCs/>
                <w:color w:val="000000"/>
                <w:lang w:val="en-AU" w:eastAsia="en-AU" w:bidi="ar-SA"/>
              </w:rPr>
            </w:pPr>
            <w:r w:rsidRPr="00245DC4">
              <w:rPr>
                <w:rFonts w:ascii="Calibri" w:eastAsia="Times New Roman" w:hAnsi="Calibri" w:cs="Calibri"/>
                <w:b/>
                <w:bCs/>
                <w:color w:val="000000"/>
                <w:lang w:val="en-AU" w:eastAsia="en-AU" w:bidi="ar-SA"/>
              </w:rPr>
              <w:t>Description</w:t>
            </w:r>
          </w:p>
        </w:tc>
        <w:tc>
          <w:tcPr>
            <w:tcW w:w="1239" w:type="dxa"/>
            <w:vMerge w:val="restart"/>
            <w:shd w:val="clear" w:color="auto" w:fill="F2F2F2" w:themeFill="background1" w:themeFillShade="F2"/>
          </w:tcPr>
          <w:p w14:paraId="157212C9" w14:textId="77777777" w:rsidR="00D706B9" w:rsidRDefault="00D706B9" w:rsidP="00955C32">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Priority or of interest</w:t>
            </w:r>
          </w:p>
        </w:tc>
        <w:tc>
          <w:tcPr>
            <w:tcW w:w="1457" w:type="dxa"/>
            <w:gridSpan w:val="3"/>
            <w:tcBorders>
              <w:bottom w:val="single" w:sz="4" w:space="0" w:color="auto"/>
            </w:tcBorders>
            <w:shd w:val="clear" w:color="auto" w:fill="F2F2F2" w:themeFill="background1" w:themeFillShade="F2"/>
            <w:vAlign w:val="center"/>
            <w:hideMark/>
          </w:tcPr>
          <w:p w14:paraId="157212CA" w14:textId="77777777" w:rsidR="00D706B9" w:rsidRDefault="00D706B9" w:rsidP="00955C32">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LC-MS/MS</w:t>
            </w:r>
            <w:r w:rsidRPr="00245DC4">
              <w:rPr>
                <w:rFonts w:ascii="Calibri" w:eastAsia="Times New Roman" w:hAnsi="Calibri" w:cs="Calibri"/>
                <w:b/>
                <w:bCs/>
                <w:color w:val="000000"/>
                <w:lang w:val="en-AU" w:eastAsia="en-AU" w:bidi="ar-SA"/>
              </w:rPr>
              <w:t xml:space="preserve"> </w:t>
            </w:r>
          </w:p>
        </w:tc>
        <w:tc>
          <w:tcPr>
            <w:tcW w:w="851" w:type="dxa"/>
            <w:gridSpan w:val="2"/>
            <w:tcBorders>
              <w:bottom w:val="single" w:sz="4" w:space="0" w:color="auto"/>
            </w:tcBorders>
            <w:shd w:val="clear" w:color="auto" w:fill="F2F2F2" w:themeFill="background1" w:themeFillShade="F2"/>
            <w:vAlign w:val="center"/>
          </w:tcPr>
          <w:p w14:paraId="157212CB" w14:textId="77777777" w:rsidR="00D706B9" w:rsidRPr="00245DC4" w:rsidRDefault="00D706B9" w:rsidP="00955C32">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GC-MS</w:t>
            </w:r>
          </w:p>
        </w:tc>
      </w:tr>
      <w:tr w:rsidR="00D706B9" w:rsidRPr="00245DC4" w14:paraId="157212D3" w14:textId="77777777" w:rsidTr="00780FEA">
        <w:trPr>
          <w:trHeight w:val="274"/>
          <w:tblHeader/>
        </w:trPr>
        <w:tc>
          <w:tcPr>
            <w:tcW w:w="2405" w:type="dxa"/>
            <w:vMerge/>
            <w:tcBorders>
              <w:bottom w:val="single" w:sz="4" w:space="0" w:color="auto"/>
            </w:tcBorders>
            <w:shd w:val="clear" w:color="auto" w:fill="F2F2F2" w:themeFill="background1" w:themeFillShade="F2"/>
            <w:vAlign w:val="center"/>
          </w:tcPr>
          <w:p w14:paraId="157212CD" w14:textId="77777777" w:rsidR="00D706B9" w:rsidRPr="00245DC4" w:rsidRDefault="00D706B9" w:rsidP="00955C32">
            <w:pPr>
              <w:jc w:val="left"/>
              <w:rPr>
                <w:rFonts w:asciiTheme="minorHAnsi" w:eastAsia="Times New Roman" w:hAnsiTheme="minorHAnsi" w:cstheme="minorHAnsi"/>
                <w:b/>
                <w:bCs/>
                <w:color w:val="000000"/>
                <w:lang w:val="en-AU" w:eastAsia="en-AU" w:bidi="ar-SA"/>
              </w:rPr>
            </w:pPr>
          </w:p>
        </w:tc>
        <w:tc>
          <w:tcPr>
            <w:tcW w:w="4536" w:type="dxa"/>
            <w:vMerge/>
            <w:tcBorders>
              <w:bottom w:val="single" w:sz="4" w:space="0" w:color="auto"/>
            </w:tcBorders>
            <w:shd w:val="clear" w:color="auto" w:fill="F2F2F2" w:themeFill="background1" w:themeFillShade="F2"/>
            <w:vAlign w:val="center"/>
          </w:tcPr>
          <w:p w14:paraId="157212CE" w14:textId="77777777" w:rsidR="00D706B9" w:rsidRPr="00245DC4" w:rsidRDefault="00D706B9" w:rsidP="00955C32">
            <w:pPr>
              <w:jc w:val="left"/>
              <w:rPr>
                <w:rFonts w:ascii="Calibri" w:eastAsia="Times New Roman" w:hAnsi="Calibri" w:cs="Calibri"/>
                <w:b/>
                <w:bCs/>
                <w:color w:val="000000"/>
                <w:lang w:val="en-AU" w:eastAsia="en-AU" w:bidi="ar-SA"/>
              </w:rPr>
            </w:pPr>
          </w:p>
        </w:tc>
        <w:tc>
          <w:tcPr>
            <w:tcW w:w="1239" w:type="dxa"/>
            <w:vMerge/>
            <w:tcBorders>
              <w:bottom w:val="single" w:sz="4" w:space="0" w:color="auto"/>
            </w:tcBorders>
            <w:shd w:val="clear" w:color="auto" w:fill="F2F2F2" w:themeFill="background1" w:themeFillShade="F2"/>
          </w:tcPr>
          <w:p w14:paraId="157212CF" w14:textId="77777777" w:rsidR="00D706B9" w:rsidRPr="00245DC4" w:rsidRDefault="00D706B9" w:rsidP="00955C32">
            <w:pPr>
              <w:jc w:val="center"/>
              <w:rPr>
                <w:rFonts w:ascii="Calibri" w:eastAsia="Times New Roman" w:hAnsi="Calibri" w:cs="Calibri"/>
                <w:b/>
                <w:bCs/>
                <w:color w:val="000000"/>
                <w:lang w:val="en-AU" w:eastAsia="en-AU" w:bidi="ar-SA"/>
              </w:rPr>
            </w:pPr>
          </w:p>
        </w:tc>
        <w:tc>
          <w:tcPr>
            <w:tcW w:w="749" w:type="dxa"/>
            <w:tcBorders>
              <w:bottom w:val="single" w:sz="4" w:space="0" w:color="auto"/>
            </w:tcBorders>
            <w:shd w:val="clear" w:color="auto" w:fill="F2F2F2" w:themeFill="background1" w:themeFillShade="F2"/>
            <w:vAlign w:val="center"/>
          </w:tcPr>
          <w:p w14:paraId="157212D0" w14:textId="77777777" w:rsidR="00D706B9" w:rsidRDefault="00D706B9" w:rsidP="00955C32">
            <w:pPr>
              <w:jc w:val="center"/>
              <w:rPr>
                <w:rFonts w:ascii="Calibri" w:eastAsia="Times New Roman" w:hAnsi="Calibri" w:cs="Calibri"/>
                <w:b/>
                <w:bCs/>
                <w:color w:val="000000"/>
                <w:lang w:val="en-AU" w:eastAsia="en-AU" w:bidi="ar-SA"/>
              </w:rPr>
            </w:pPr>
            <w:r w:rsidRPr="00245DC4">
              <w:rPr>
                <w:rFonts w:ascii="Calibri" w:eastAsia="Times New Roman" w:hAnsi="Calibri" w:cs="Calibri"/>
                <w:b/>
                <w:bCs/>
                <w:color w:val="000000"/>
                <w:lang w:val="en-AU" w:eastAsia="en-AU" w:bidi="ar-SA"/>
              </w:rPr>
              <w:t>LOD</w:t>
            </w:r>
          </w:p>
        </w:tc>
        <w:tc>
          <w:tcPr>
            <w:tcW w:w="708" w:type="dxa"/>
            <w:gridSpan w:val="2"/>
            <w:tcBorders>
              <w:bottom w:val="single" w:sz="4" w:space="0" w:color="auto"/>
            </w:tcBorders>
            <w:shd w:val="clear" w:color="auto" w:fill="F2F2F2" w:themeFill="background1" w:themeFillShade="F2"/>
            <w:vAlign w:val="center"/>
          </w:tcPr>
          <w:p w14:paraId="157212D1" w14:textId="77777777" w:rsidR="00D706B9" w:rsidRDefault="00D706B9" w:rsidP="00955C32">
            <w:pPr>
              <w:jc w:val="center"/>
              <w:rPr>
                <w:rFonts w:ascii="Calibri" w:eastAsia="Times New Roman" w:hAnsi="Calibri" w:cs="Calibri"/>
                <w:b/>
                <w:bCs/>
                <w:color w:val="000000"/>
                <w:lang w:val="en-AU" w:eastAsia="en-AU" w:bidi="ar-SA"/>
              </w:rPr>
            </w:pPr>
            <w:r w:rsidRPr="00245DC4">
              <w:rPr>
                <w:rFonts w:ascii="Calibri" w:eastAsia="Times New Roman" w:hAnsi="Calibri" w:cs="Calibri"/>
                <w:b/>
                <w:bCs/>
                <w:color w:val="000000"/>
                <w:lang w:val="en-AU" w:eastAsia="en-AU" w:bidi="ar-SA"/>
              </w:rPr>
              <w:t>LOR</w:t>
            </w:r>
          </w:p>
        </w:tc>
        <w:tc>
          <w:tcPr>
            <w:tcW w:w="851" w:type="dxa"/>
            <w:gridSpan w:val="2"/>
            <w:tcBorders>
              <w:bottom w:val="single" w:sz="4" w:space="0" w:color="auto"/>
            </w:tcBorders>
            <w:shd w:val="clear" w:color="auto" w:fill="F2F2F2" w:themeFill="background1" w:themeFillShade="F2"/>
            <w:vAlign w:val="center"/>
          </w:tcPr>
          <w:p w14:paraId="157212D2" w14:textId="77777777" w:rsidR="00D706B9" w:rsidRDefault="00D706B9" w:rsidP="00955C32">
            <w:pPr>
              <w:jc w:val="center"/>
              <w:rPr>
                <w:rFonts w:ascii="Calibri" w:eastAsia="Times New Roman" w:hAnsi="Calibri" w:cs="Calibri"/>
                <w:b/>
                <w:bCs/>
                <w:color w:val="000000"/>
                <w:lang w:val="en-AU" w:eastAsia="en-AU" w:bidi="ar-SA"/>
              </w:rPr>
            </w:pPr>
            <w:r>
              <w:rPr>
                <w:rFonts w:ascii="Calibri" w:eastAsia="Times New Roman" w:hAnsi="Calibri" w:cs="Calibri"/>
                <w:b/>
                <w:bCs/>
                <w:color w:val="000000"/>
                <w:lang w:val="en-AU" w:eastAsia="en-AU" w:bidi="ar-SA"/>
              </w:rPr>
              <w:t>LOR</w:t>
            </w:r>
          </w:p>
        </w:tc>
      </w:tr>
      <w:tr w:rsidR="00D706B9" w:rsidRPr="00245DC4" w14:paraId="157212DA" w14:textId="77777777" w:rsidTr="00780FEA">
        <w:trPr>
          <w:trHeight w:val="375"/>
        </w:trPr>
        <w:tc>
          <w:tcPr>
            <w:tcW w:w="2405" w:type="dxa"/>
            <w:tcBorders>
              <w:bottom w:val="nil"/>
            </w:tcBorders>
            <w:shd w:val="clear" w:color="auto" w:fill="DBE5F1" w:themeFill="accent1" w:themeFillTint="33"/>
            <w:noWrap/>
            <w:vAlign w:val="center"/>
            <w:hideMark/>
          </w:tcPr>
          <w:p w14:paraId="157212D4" w14:textId="39A9DBF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2,4-D</w:t>
            </w:r>
          </w:p>
        </w:tc>
        <w:tc>
          <w:tcPr>
            <w:tcW w:w="4536" w:type="dxa"/>
            <w:tcBorders>
              <w:bottom w:val="nil"/>
            </w:tcBorders>
            <w:shd w:val="clear" w:color="auto" w:fill="auto"/>
            <w:noWrap/>
            <w:vAlign w:val="center"/>
            <w:hideMark/>
          </w:tcPr>
          <w:p w14:paraId="157212D5"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Phenoxy-carboxylic-acid herbicide</w:t>
            </w:r>
          </w:p>
        </w:tc>
        <w:tc>
          <w:tcPr>
            <w:tcW w:w="1239" w:type="dxa"/>
            <w:tcBorders>
              <w:bottom w:val="nil"/>
            </w:tcBorders>
            <w:vAlign w:val="center"/>
          </w:tcPr>
          <w:p w14:paraId="157212D6"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bottom w:val="nil"/>
            </w:tcBorders>
            <w:shd w:val="clear" w:color="auto" w:fill="auto"/>
            <w:noWrap/>
            <w:vAlign w:val="center"/>
            <w:hideMark/>
          </w:tcPr>
          <w:p w14:paraId="157212D7"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0.03</w:t>
            </w:r>
          </w:p>
        </w:tc>
        <w:tc>
          <w:tcPr>
            <w:tcW w:w="769" w:type="dxa"/>
            <w:gridSpan w:val="2"/>
            <w:tcBorders>
              <w:bottom w:val="nil"/>
            </w:tcBorders>
            <w:shd w:val="clear" w:color="auto" w:fill="auto"/>
            <w:noWrap/>
            <w:vAlign w:val="center"/>
            <w:hideMark/>
          </w:tcPr>
          <w:p w14:paraId="157212D8"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bottom w:val="nil"/>
            </w:tcBorders>
            <w:shd w:val="clear" w:color="000000" w:fill="FFFFFF"/>
            <w:noWrap/>
            <w:vAlign w:val="center"/>
            <w:hideMark/>
          </w:tcPr>
          <w:p w14:paraId="157212D9" w14:textId="77777777" w:rsidR="00D706B9" w:rsidRPr="00245DC4" w:rsidRDefault="00D706B9" w:rsidP="00955C32">
            <w:pPr>
              <w:jc w:val="center"/>
              <w:rPr>
                <w:rFonts w:ascii="Calibri" w:eastAsia="Times New Roman" w:hAnsi="Calibri" w:cs="Calibri"/>
                <w:color w:val="000000"/>
                <w:lang w:val="en-AU" w:eastAsia="en-AU" w:bidi="ar-SA"/>
              </w:rPr>
            </w:pPr>
          </w:p>
        </w:tc>
      </w:tr>
      <w:tr w:rsidR="006C730C" w:rsidRPr="00245DC4" w14:paraId="157212E1" w14:textId="77777777" w:rsidTr="00780FEA">
        <w:trPr>
          <w:trHeight w:val="375"/>
        </w:trPr>
        <w:tc>
          <w:tcPr>
            <w:tcW w:w="2405" w:type="dxa"/>
            <w:tcBorders>
              <w:top w:val="nil"/>
              <w:bottom w:val="nil"/>
              <w:right w:val="nil"/>
            </w:tcBorders>
            <w:shd w:val="clear" w:color="auto" w:fill="auto"/>
            <w:noWrap/>
            <w:vAlign w:val="center"/>
            <w:hideMark/>
          </w:tcPr>
          <w:p w14:paraId="157212DB"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5006A3">
              <w:rPr>
                <w:rFonts w:asciiTheme="minorHAnsi" w:eastAsia="Times New Roman" w:hAnsiTheme="minorHAnsi" w:cstheme="minorHAnsi"/>
                <w:color w:val="000000"/>
                <w:lang w:val="en-AU" w:eastAsia="en-AU" w:bidi="ar-SA"/>
              </w:rPr>
              <w:t>2,4-DB</w:t>
            </w:r>
          </w:p>
        </w:tc>
        <w:tc>
          <w:tcPr>
            <w:tcW w:w="4536" w:type="dxa"/>
            <w:tcBorders>
              <w:top w:val="nil"/>
              <w:left w:val="nil"/>
              <w:bottom w:val="nil"/>
              <w:right w:val="nil"/>
            </w:tcBorders>
            <w:shd w:val="clear" w:color="auto" w:fill="auto"/>
            <w:noWrap/>
            <w:vAlign w:val="center"/>
            <w:hideMark/>
          </w:tcPr>
          <w:p w14:paraId="157212DC" w14:textId="77777777" w:rsidR="006C730C" w:rsidRPr="00245DC4" w:rsidRDefault="006C730C" w:rsidP="006C730C">
            <w:pPr>
              <w:jc w:val="left"/>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Phenoxy-carboxylic-acid herbicide</w:t>
            </w:r>
          </w:p>
        </w:tc>
        <w:tc>
          <w:tcPr>
            <w:tcW w:w="1239" w:type="dxa"/>
            <w:tcBorders>
              <w:top w:val="nil"/>
              <w:left w:val="nil"/>
              <w:bottom w:val="nil"/>
              <w:right w:val="nil"/>
            </w:tcBorders>
            <w:shd w:val="clear" w:color="auto" w:fill="auto"/>
            <w:vAlign w:val="center"/>
          </w:tcPr>
          <w:p w14:paraId="157212DD" w14:textId="77777777" w:rsidR="006C730C"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Of interest</w:t>
            </w:r>
          </w:p>
        </w:tc>
        <w:tc>
          <w:tcPr>
            <w:tcW w:w="769" w:type="dxa"/>
            <w:gridSpan w:val="2"/>
            <w:tcBorders>
              <w:top w:val="nil"/>
              <w:left w:val="nil"/>
              <w:bottom w:val="nil"/>
              <w:right w:val="nil"/>
            </w:tcBorders>
            <w:shd w:val="clear" w:color="auto" w:fill="auto"/>
            <w:noWrap/>
            <w:vAlign w:val="center"/>
            <w:hideMark/>
          </w:tcPr>
          <w:p w14:paraId="157212DE" w14:textId="77777777" w:rsidR="006C730C" w:rsidRPr="00245DC4"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5.0</w:t>
            </w:r>
          </w:p>
        </w:tc>
        <w:tc>
          <w:tcPr>
            <w:tcW w:w="769" w:type="dxa"/>
            <w:gridSpan w:val="2"/>
            <w:tcBorders>
              <w:top w:val="nil"/>
              <w:left w:val="nil"/>
              <w:bottom w:val="nil"/>
              <w:right w:val="nil"/>
            </w:tcBorders>
            <w:shd w:val="clear" w:color="auto" w:fill="auto"/>
            <w:noWrap/>
            <w:vAlign w:val="center"/>
            <w:hideMark/>
          </w:tcPr>
          <w:p w14:paraId="157212DF" w14:textId="77777777" w:rsidR="006C730C" w:rsidRPr="00245DC4"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15</w:t>
            </w:r>
          </w:p>
        </w:tc>
        <w:tc>
          <w:tcPr>
            <w:tcW w:w="770" w:type="dxa"/>
            <w:tcBorders>
              <w:top w:val="nil"/>
              <w:left w:val="nil"/>
              <w:bottom w:val="nil"/>
            </w:tcBorders>
            <w:shd w:val="clear" w:color="auto" w:fill="auto"/>
            <w:noWrap/>
            <w:vAlign w:val="center"/>
            <w:hideMark/>
          </w:tcPr>
          <w:p w14:paraId="157212E0" w14:textId="77777777" w:rsidR="006C730C" w:rsidRDefault="006C730C" w:rsidP="006C730C">
            <w:pPr>
              <w:jc w:val="center"/>
              <w:rPr>
                <w:rFonts w:ascii="Calibri" w:eastAsia="Times New Roman" w:hAnsi="Calibri" w:cs="Calibri"/>
                <w:color w:val="000000"/>
                <w:lang w:val="en-AU" w:eastAsia="en-AU" w:bidi="ar-SA"/>
              </w:rPr>
            </w:pPr>
          </w:p>
        </w:tc>
      </w:tr>
      <w:tr w:rsidR="006C730C" w:rsidRPr="00245DC4" w14:paraId="157212E8" w14:textId="77777777" w:rsidTr="00780FEA">
        <w:trPr>
          <w:trHeight w:val="375"/>
        </w:trPr>
        <w:tc>
          <w:tcPr>
            <w:tcW w:w="2405" w:type="dxa"/>
            <w:tcBorders>
              <w:top w:val="nil"/>
              <w:bottom w:val="nil"/>
              <w:right w:val="nil"/>
            </w:tcBorders>
            <w:shd w:val="clear" w:color="auto" w:fill="auto"/>
            <w:noWrap/>
            <w:vAlign w:val="center"/>
            <w:hideMark/>
          </w:tcPr>
          <w:p w14:paraId="157212E2"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5006A3">
              <w:rPr>
                <w:rFonts w:asciiTheme="minorHAnsi" w:eastAsia="Times New Roman" w:hAnsiTheme="minorHAnsi" w:cstheme="minorHAnsi"/>
                <w:color w:val="000000"/>
                <w:lang w:val="en-AU" w:eastAsia="en-AU" w:bidi="ar-SA"/>
              </w:rPr>
              <w:t>Aciflurofen*</w:t>
            </w:r>
          </w:p>
        </w:tc>
        <w:tc>
          <w:tcPr>
            <w:tcW w:w="4536" w:type="dxa"/>
            <w:tcBorders>
              <w:top w:val="nil"/>
              <w:left w:val="nil"/>
              <w:bottom w:val="nil"/>
              <w:right w:val="nil"/>
            </w:tcBorders>
            <w:shd w:val="clear" w:color="auto" w:fill="auto"/>
            <w:noWrap/>
            <w:vAlign w:val="center"/>
            <w:hideMark/>
          </w:tcPr>
          <w:p w14:paraId="157212E3" w14:textId="77777777" w:rsidR="006C730C" w:rsidRPr="00245DC4" w:rsidRDefault="00780FEA" w:rsidP="006C730C">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Herbicide: c</w:t>
            </w:r>
            <w:r w:rsidR="006C730C" w:rsidRPr="006C730C">
              <w:rPr>
                <w:rFonts w:ascii="Calibri" w:eastAsia="Times New Roman" w:hAnsi="Calibri" w:cs="Calibri"/>
                <w:color w:val="000000"/>
                <w:lang w:val="en-AU" w:eastAsia="en-AU" w:bidi="ar-SA"/>
              </w:rPr>
              <w:t>ell membrane disruptor</w:t>
            </w:r>
          </w:p>
        </w:tc>
        <w:tc>
          <w:tcPr>
            <w:tcW w:w="1239" w:type="dxa"/>
            <w:tcBorders>
              <w:top w:val="nil"/>
              <w:left w:val="nil"/>
              <w:bottom w:val="nil"/>
              <w:right w:val="nil"/>
            </w:tcBorders>
            <w:shd w:val="clear" w:color="auto" w:fill="auto"/>
            <w:vAlign w:val="center"/>
          </w:tcPr>
          <w:p w14:paraId="157212E4" w14:textId="77777777" w:rsidR="006C730C"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Of interest</w:t>
            </w:r>
          </w:p>
        </w:tc>
        <w:tc>
          <w:tcPr>
            <w:tcW w:w="769" w:type="dxa"/>
            <w:gridSpan w:val="2"/>
            <w:tcBorders>
              <w:top w:val="nil"/>
              <w:left w:val="nil"/>
              <w:bottom w:val="nil"/>
              <w:right w:val="nil"/>
            </w:tcBorders>
            <w:shd w:val="clear" w:color="auto" w:fill="auto"/>
            <w:noWrap/>
            <w:vAlign w:val="center"/>
            <w:hideMark/>
          </w:tcPr>
          <w:p w14:paraId="157212E5" w14:textId="77777777" w:rsidR="006C730C" w:rsidRPr="00245DC4"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 </w:t>
            </w:r>
          </w:p>
        </w:tc>
        <w:tc>
          <w:tcPr>
            <w:tcW w:w="769" w:type="dxa"/>
            <w:gridSpan w:val="2"/>
            <w:tcBorders>
              <w:top w:val="nil"/>
              <w:left w:val="nil"/>
              <w:bottom w:val="nil"/>
              <w:right w:val="nil"/>
            </w:tcBorders>
            <w:shd w:val="clear" w:color="auto" w:fill="auto"/>
            <w:noWrap/>
            <w:vAlign w:val="center"/>
            <w:hideMark/>
          </w:tcPr>
          <w:p w14:paraId="157212E6" w14:textId="77777777" w:rsidR="006C730C" w:rsidRPr="00245DC4"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 </w:t>
            </w:r>
          </w:p>
        </w:tc>
        <w:tc>
          <w:tcPr>
            <w:tcW w:w="770" w:type="dxa"/>
            <w:tcBorders>
              <w:top w:val="nil"/>
              <w:left w:val="nil"/>
              <w:bottom w:val="nil"/>
            </w:tcBorders>
            <w:shd w:val="clear" w:color="auto" w:fill="auto"/>
            <w:noWrap/>
            <w:vAlign w:val="center"/>
            <w:hideMark/>
          </w:tcPr>
          <w:p w14:paraId="157212E7" w14:textId="77777777" w:rsidR="006C730C" w:rsidRDefault="006C730C" w:rsidP="006C730C">
            <w:pPr>
              <w:jc w:val="center"/>
              <w:rPr>
                <w:rFonts w:ascii="Calibri" w:eastAsia="Times New Roman" w:hAnsi="Calibri" w:cs="Calibri"/>
                <w:color w:val="000000"/>
                <w:lang w:val="en-AU" w:eastAsia="en-AU" w:bidi="ar-SA"/>
              </w:rPr>
            </w:pPr>
          </w:p>
        </w:tc>
      </w:tr>
      <w:tr w:rsidR="00D706B9" w:rsidRPr="00245DC4" w14:paraId="157212EF"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2E9"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Ametryn</w:t>
            </w:r>
          </w:p>
        </w:tc>
        <w:tc>
          <w:tcPr>
            <w:tcW w:w="4536" w:type="dxa"/>
            <w:tcBorders>
              <w:top w:val="nil"/>
              <w:bottom w:val="nil"/>
            </w:tcBorders>
            <w:shd w:val="clear" w:color="auto" w:fill="auto"/>
            <w:vAlign w:val="center"/>
            <w:hideMark/>
          </w:tcPr>
          <w:p w14:paraId="157212EA"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PSII herbicide</w:t>
            </w:r>
            <w:r w:rsidR="00780FEA" w:rsidRPr="00245DC4">
              <w:rPr>
                <w:rFonts w:ascii="Calibri" w:eastAsia="Times New Roman" w:hAnsi="Calibri" w:cs="Calibri"/>
                <w:color w:val="000000"/>
                <w:lang w:val="en-AU" w:eastAsia="en-AU" w:bidi="ar-SA"/>
              </w:rPr>
              <w:t xml:space="preserve"> </w:t>
            </w:r>
            <w:r w:rsidR="00780FEA">
              <w:rPr>
                <w:rFonts w:ascii="Calibri" w:eastAsia="Times New Roman" w:hAnsi="Calibri" w:cs="Calibri"/>
                <w:color w:val="000000"/>
                <w:lang w:val="en-AU" w:eastAsia="en-AU" w:bidi="ar-SA"/>
              </w:rPr>
              <w:t>–</w:t>
            </w:r>
            <w:r w:rsidR="00780FEA" w:rsidRPr="00245DC4">
              <w:rPr>
                <w:rFonts w:ascii="Calibri" w:eastAsia="Times New Roman" w:hAnsi="Calibri" w:cs="Calibri"/>
                <w:color w:val="000000"/>
                <w:lang w:val="en-AU" w:eastAsia="en-AU" w:bidi="ar-SA"/>
              </w:rPr>
              <w:t xml:space="preserve"> </w:t>
            </w:r>
            <w:r w:rsidRPr="00245DC4">
              <w:rPr>
                <w:rFonts w:ascii="Calibri" w:eastAsia="Times New Roman" w:hAnsi="Calibri" w:cs="Calibri"/>
                <w:color w:val="000000"/>
                <w:lang w:val="en-AU" w:eastAsia="en-AU" w:bidi="ar-SA"/>
              </w:rPr>
              <w:t>methylthiotriazine</w:t>
            </w:r>
          </w:p>
        </w:tc>
        <w:tc>
          <w:tcPr>
            <w:tcW w:w="1239" w:type="dxa"/>
            <w:tcBorders>
              <w:top w:val="nil"/>
              <w:bottom w:val="nil"/>
            </w:tcBorders>
            <w:vAlign w:val="center"/>
          </w:tcPr>
          <w:p w14:paraId="157212EB"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2EC"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0.56</w:t>
            </w:r>
          </w:p>
        </w:tc>
        <w:tc>
          <w:tcPr>
            <w:tcW w:w="769" w:type="dxa"/>
            <w:gridSpan w:val="2"/>
            <w:tcBorders>
              <w:top w:val="nil"/>
              <w:bottom w:val="nil"/>
            </w:tcBorders>
            <w:shd w:val="clear" w:color="auto" w:fill="auto"/>
            <w:noWrap/>
            <w:vAlign w:val="center"/>
            <w:hideMark/>
          </w:tcPr>
          <w:p w14:paraId="157212ED"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1.69</w:t>
            </w:r>
          </w:p>
        </w:tc>
        <w:tc>
          <w:tcPr>
            <w:tcW w:w="770" w:type="dxa"/>
            <w:tcBorders>
              <w:top w:val="nil"/>
              <w:bottom w:val="nil"/>
            </w:tcBorders>
            <w:shd w:val="clear" w:color="000000" w:fill="FFFFFF"/>
            <w:noWrap/>
            <w:vAlign w:val="center"/>
            <w:hideMark/>
          </w:tcPr>
          <w:p w14:paraId="157212EE" w14:textId="77777777" w:rsidR="00D706B9" w:rsidRPr="00245DC4" w:rsidRDefault="00D706B9" w:rsidP="00955C32">
            <w:pPr>
              <w:jc w:val="center"/>
              <w:rPr>
                <w:rFonts w:ascii="Calibri" w:eastAsia="Times New Roman" w:hAnsi="Calibri" w:cs="Calibri"/>
                <w:color w:val="000000"/>
                <w:lang w:val="en-AU" w:eastAsia="en-AU" w:bidi="ar-SA"/>
              </w:rPr>
            </w:pPr>
          </w:p>
        </w:tc>
      </w:tr>
      <w:tr w:rsidR="006C730C" w:rsidRPr="00245DC4" w14:paraId="157212F6" w14:textId="77777777" w:rsidTr="00A93A2A">
        <w:trPr>
          <w:trHeight w:val="375"/>
        </w:trPr>
        <w:tc>
          <w:tcPr>
            <w:tcW w:w="2405" w:type="dxa"/>
            <w:tcBorders>
              <w:top w:val="nil"/>
              <w:bottom w:val="nil"/>
              <w:right w:val="nil"/>
            </w:tcBorders>
            <w:shd w:val="clear" w:color="auto" w:fill="auto"/>
            <w:noWrap/>
            <w:vAlign w:val="center"/>
            <w:hideMark/>
          </w:tcPr>
          <w:p w14:paraId="157212F0"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5006A3">
              <w:rPr>
                <w:rFonts w:asciiTheme="minorHAnsi" w:eastAsia="Times New Roman" w:hAnsiTheme="minorHAnsi" w:cstheme="minorHAnsi"/>
                <w:color w:val="000000"/>
                <w:lang w:val="en-AU" w:eastAsia="en-AU" w:bidi="ar-SA"/>
              </w:rPr>
              <w:t>Asulam</w:t>
            </w:r>
          </w:p>
        </w:tc>
        <w:tc>
          <w:tcPr>
            <w:tcW w:w="4536" w:type="dxa"/>
            <w:tcBorders>
              <w:top w:val="nil"/>
              <w:left w:val="nil"/>
              <w:bottom w:val="nil"/>
              <w:right w:val="nil"/>
            </w:tcBorders>
            <w:shd w:val="clear" w:color="auto" w:fill="auto"/>
            <w:vAlign w:val="center"/>
            <w:hideMark/>
          </w:tcPr>
          <w:p w14:paraId="157212F1" w14:textId="77777777" w:rsidR="006C730C" w:rsidRPr="00245DC4" w:rsidRDefault="00780FEA" w:rsidP="006C730C">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Herbicide: i</w:t>
            </w:r>
            <w:r w:rsidR="006C730C" w:rsidRPr="006C730C">
              <w:rPr>
                <w:rFonts w:ascii="Calibri" w:eastAsia="Times New Roman" w:hAnsi="Calibri" w:cs="Calibri"/>
                <w:color w:val="000000"/>
                <w:lang w:val="en-AU" w:eastAsia="en-AU" w:bidi="ar-SA"/>
              </w:rPr>
              <w:t>nhibition of DHP – carbamate</w:t>
            </w:r>
          </w:p>
        </w:tc>
        <w:tc>
          <w:tcPr>
            <w:tcW w:w="1239" w:type="dxa"/>
            <w:tcBorders>
              <w:top w:val="nil"/>
              <w:left w:val="nil"/>
              <w:bottom w:val="nil"/>
              <w:right w:val="nil"/>
            </w:tcBorders>
            <w:vAlign w:val="center"/>
          </w:tcPr>
          <w:p w14:paraId="157212F2" w14:textId="77777777" w:rsidR="006C730C"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Of interest</w:t>
            </w:r>
          </w:p>
        </w:tc>
        <w:tc>
          <w:tcPr>
            <w:tcW w:w="769" w:type="dxa"/>
            <w:gridSpan w:val="2"/>
            <w:tcBorders>
              <w:top w:val="nil"/>
              <w:left w:val="nil"/>
              <w:bottom w:val="nil"/>
              <w:right w:val="nil"/>
            </w:tcBorders>
            <w:shd w:val="clear" w:color="auto" w:fill="auto"/>
            <w:noWrap/>
            <w:vAlign w:val="center"/>
          </w:tcPr>
          <w:p w14:paraId="157212F3" w14:textId="2226BAFF" w:rsidR="006C730C" w:rsidRPr="00245DC4" w:rsidRDefault="006C730C" w:rsidP="006C730C">
            <w:pPr>
              <w:jc w:val="center"/>
              <w:rPr>
                <w:rFonts w:ascii="Calibri" w:eastAsia="Times New Roman" w:hAnsi="Calibri" w:cs="Calibri"/>
                <w:color w:val="000000"/>
                <w:lang w:val="en-AU" w:eastAsia="en-AU" w:bidi="ar-SA"/>
              </w:rPr>
            </w:pPr>
          </w:p>
        </w:tc>
        <w:tc>
          <w:tcPr>
            <w:tcW w:w="769" w:type="dxa"/>
            <w:gridSpan w:val="2"/>
            <w:tcBorders>
              <w:top w:val="nil"/>
              <w:left w:val="nil"/>
              <w:bottom w:val="nil"/>
              <w:right w:val="nil"/>
            </w:tcBorders>
            <w:shd w:val="clear" w:color="auto" w:fill="auto"/>
            <w:noWrap/>
            <w:vAlign w:val="center"/>
          </w:tcPr>
          <w:p w14:paraId="157212F4" w14:textId="701CF66E" w:rsidR="006C730C" w:rsidRPr="00245DC4" w:rsidRDefault="006C730C" w:rsidP="006C730C">
            <w:pPr>
              <w:jc w:val="center"/>
              <w:rPr>
                <w:rFonts w:ascii="Calibri" w:eastAsia="Times New Roman" w:hAnsi="Calibri" w:cs="Calibri"/>
                <w:color w:val="000000"/>
                <w:lang w:val="en-AU" w:eastAsia="en-AU" w:bidi="ar-SA"/>
              </w:rPr>
            </w:pPr>
          </w:p>
        </w:tc>
        <w:tc>
          <w:tcPr>
            <w:tcW w:w="770" w:type="dxa"/>
            <w:tcBorders>
              <w:top w:val="nil"/>
              <w:left w:val="nil"/>
              <w:bottom w:val="nil"/>
            </w:tcBorders>
            <w:shd w:val="clear" w:color="000000" w:fill="FFFFFF"/>
            <w:noWrap/>
            <w:vAlign w:val="center"/>
            <w:hideMark/>
          </w:tcPr>
          <w:p w14:paraId="157212F5" w14:textId="77777777" w:rsidR="006C730C" w:rsidRDefault="006C730C" w:rsidP="006C730C">
            <w:pPr>
              <w:jc w:val="center"/>
              <w:rPr>
                <w:rFonts w:ascii="Calibri" w:eastAsia="Times New Roman" w:hAnsi="Calibri" w:cs="Calibri"/>
                <w:color w:val="000000"/>
                <w:lang w:val="en-AU" w:eastAsia="en-AU" w:bidi="ar-SA"/>
              </w:rPr>
            </w:pPr>
          </w:p>
        </w:tc>
      </w:tr>
      <w:tr w:rsidR="00D706B9" w:rsidRPr="00245DC4" w14:paraId="157212FD"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2F7"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Atrazine</w:t>
            </w:r>
          </w:p>
        </w:tc>
        <w:tc>
          <w:tcPr>
            <w:tcW w:w="4536" w:type="dxa"/>
            <w:tcBorders>
              <w:top w:val="nil"/>
              <w:bottom w:val="nil"/>
            </w:tcBorders>
            <w:shd w:val="clear" w:color="auto" w:fill="auto"/>
            <w:vAlign w:val="center"/>
            <w:hideMark/>
          </w:tcPr>
          <w:p w14:paraId="157212F8"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PSII herbicide</w:t>
            </w:r>
            <w:r w:rsidR="00780FEA" w:rsidRPr="00245DC4">
              <w:rPr>
                <w:rFonts w:ascii="Calibri" w:eastAsia="Times New Roman" w:hAnsi="Calibri" w:cs="Calibri"/>
                <w:color w:val="000000"/>
                <w:lang w:val="en-AU" w:eastAsia="en-AU" w:bidi="ar-SA"/>
              </w:rPr>
              <w:t xml:space="preserve"> </w:t>
            </w:r>
            <w:r w:rsidR="00780FEA">
              <w:rPr>
                <w:rFonts w:ascii="Calibri" w:eastAsia="Times New Roman" w:hAnsi="Calibri" w:cs="Calibri"/>
                <w:color w:val="000000"/>
                <w:lang w:val="en-AU" w:eastAsia="en-AU" w:bidi="ar-SA"/>
              </w:rPr>
              <w:t>–</w:t>
            </w:r>
            <w:r w:rsidR="00780FEA" w:rsidRPr="00245DC4">
              <w:rPr>
                <w:rFonts w:ascii="Calibri" w:eastAsia="Times New Roman" w:hAnsi="Calibri" w:cs="Calibri"/>
                <w:color w:val="000000"/>
                <w:lang w:val="en-AU" w:eastAsia="en-AU" w:bidi="ar-SA"/>
              </w:rPr>
              <w:t xml:space="preserve"> </w:t>
            </w:r>
            <w:r w:rsidRPr="00245DC4">
              <w:rPr>
                <w:rFonts w:ascii="Calibri" w:eastAsia="Times New Roman" w:hAnsi="Calibri" w:cs="Calibri"/>
                <w:color w:val="000000"/>
                <w:lang w:val="en-AU" w:eastAsia="en-AU" w:bidi="ar-SA"/>
              </w:rPr>
              <w:t>chlorotriazine</w:t>
            </w:r>
          </w:p>
        </w:tc>
        <w:tc>
          <w:tcPr>
            <w:tcW w:w="1239" w:type="dxa"/>
            <w:tcBorders>
              <w:top w:val="nil"/>
              <w:bottom w:val="nil"/>
            </w:tcBorders>
            <w:vAlign w:val="center"/>
          </w:tcPr>
          <w:p w14:paraId="157212F9"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2FA"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0.05</w:t>
            </w:r>
          </w:p>
        </w:tc>
        <w:tc>
          <w:tcPr>
            <w:tcW w:w="769" w:type="dxa"/>
            <w:gridSpan w:val="2"/>
            <w:tcBorders>
              <w:top w:val="nil"/>
              <w:bottom w:val="nil"/>
            </w:tcBorders>
            <w:shd w:val="clear" w:color="auto" w:fill="auto"/>
            <w:noWrap/>
            <w:vAlign w:val="center"/>
            <w:hideMark/>
          </w:tcPr>
          <w:p w14:paraId="157212FB"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0.15</w:t>
            </w:r>
          </w:p>
        </w:tc>
        <w:tc>
          <w:tcPr>
            <w:tcW w:w="770" w:type="dxa"/>
            <w:tcBorders>
              <w:top w:val="nil"/>
              <w:bottom w:val="nil"/>
            </w:tcBorders>
            <w:shd w:val="clear" w:color="000000" w:fill="FFFFFF"/>
            <w:noWrap/>
            <w:vAlign w:val="center"/>
            <w:hideMark/>
          </w:tcPr>
          <w:p w14:paraId="157212FC"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04" w14:textId="77777777" w:rsidTr="00780FEA">
        <w:trPr>
          <w:trHeight w:val="375"/>
        </w:trPr>
        <w:tc>
          <w:tcPr>
            <w:tcW w:w="2405" w:type="dxa"/>
            <w:tcBorders>
              <w:top w:val="nil"/>
              <w:bottom w:val="nil"/>
            </w:tcBorders>
            <w:shd w:val="clear" w:color="000000" w:fill="FFFFFF"/>
            <w:noWrap/>
            <w:vAlign w:val="center"/>
            <w:hideMark/>
          </w:tcPr>
          <w:p w14:paraId="157212FE" w14:textId="77777777" w:rsidR="00D706B9" w:rsidRPr="00245DC4" w:rsidRDefault="00D706B9" w:rsidP="00955C32">
            <w:pPr>
              <w:jc w:val="left"/>
              <w:rPr>
                <w:rFonts w:asciiTheme="minorHAnsi" w:eastAsia="Times New Roman" w:hAnsiTheme="minorHAnsi" w:cstheme="minorHAnsi"/>
                <w:color w:val="C00000"/>
                <w:lang w:val="en-AU" w:eastAsia="en-AU" w:bidi="ar-SA"/>
              </w:rPr>
            </w:pPr>
            <w:r w:rsidRPr="00245DC4">
              <w:rPr>
                <w:rFonts w:asciiTheme="minorHAnsi" w:eastAsia="Times New Roman" w:hAnsiTheme="minorHAnsi" w:cstheme="minorHAnsi"/>
                <w:color w:val="C00000"/>
                <w:lang w:val="en-AU" w:eastAsia="en-AU" w:bidi="ar-SA"/>
              </w:rPr>
              <w:t xml:space="preserve">Atrazine </w:t>
            </w:r>
            <w:r>
              <w:rPr>
                <w:rFonts w:asciiTheme="minorHAnsi" w:eastAsia="Times New Roman" w:hAnsiTheme="minorHAnsi" w:cstheme="minorHAnsi"/>
                <w:color w:val="C00000"/>
                <w:lang w:val="en-AU" w:eastAsia="en-AU" w:bidi="ar-SA"/>
              </w:rPr>
              <w:t>–</w:t>
            </w:r>
            <w:r w:rsidRPr="00245DC4">
              <w:rPr>
                <w:rFonts w:asciiTheme="minorHAnsi" w:eastAsia="Times New Roman" w:hAnsiTheme="minorHAnsi" w:cstheme="minorHAnsi"/>
                <w:color w:val="C00000"/>
                <w:lang w:val="en-AU" w:eastAsia="en-AU" w:bidi="ar-SA"/>
              </w:rPr>
              <w:t xml:space="preserve"> </w:t>
            </w:r>
            <w:r>
              <w:rPr>
                <w:rFonts w:asciiTheme="minorHAnsi" w:eastAsia="Times New Roman" w:hAnsiTheme="minorHAnsi" w:cstheme="minorHAnsi"/>
                <w:color w:val="C00000"/>
                <w:lang w:val="en-AU" w:eastAsia="en-AU" w:bidi="ar-SA"/>
              </w:rPr>
              <w:t>d</w:t>
            </w:r>
            <w:r w:rsidRPr="00245DC4">
              <w:rPr>
                <w:rFonts w:asciiTheme="minorHAnsi" w:eastAsia="Times New Roman" w:hAnsiTheme="minorHAnsi" w:cstheme="minorHAnsi"/>
                <w:color w:val="C00000"/>
                <w:lang w:val="en-AU" w:eastAsia="en-AU" w:bidi="ar-SA"/>
              </w:rPr>
              <w:t>esethyl</w:t>
            </w:r>
          </w:p>
        </w:tc>
        <w:tc>
          <w:tcPr>
            <w:tcW w:w="4536" w:type="dxa"/>
            <w:tcBorders>
              <w:top w:val="nil"/>
              <w:bottom w:val="nil"/>
            </w:tcBorders>
            <w:shd w:val="clear" w:color="auto" w:fill="auto"/>
            <w:vAlign w:val="center"/>
            <w:hideMark/>
          </w:tcPr>
          <w:p w14:paraId="157212FF"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PSII herbicide breakdown product (also active)</w:t>
            </w:r>
          </w:p>
        </w:tc>
        <w:tc>
          <w:tcPr>
            <w:tcW w:w="1239" w:type="dxa"/>
            <w:tcBorders>
              <w:top w:val="nil"/>
              <w:bottom w:val="nil"/>
            </w:tcBorders>
            <w:vAlign w:val="center"/>
          </w:tcPr>
          <w:p w14:paraId="15721300"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01"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0.005</w:t>
            </w:r>
          </w:p>
        </w:tc>
        <w:tc>
          <w:tcPr>
            <w:tcW w:w="769" w:type="dxa"/>
            <w:gridSpan w:val="2"/>
            <w:tcBorders>
              <w:top w:val="nil"/>
              <w:bottom w:val="nil"/>
            </w:tcBorders>
            <w:shd w:val="clear" w:color="auto" w:fill="auto"/>
            <w:noWrap/>
            <w:vAlign w:val="center"/>
            <w:hideMark/>
          </w:tcPr>
          <w:p w14:paraId="15721302"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top w:val="nil"/>
              <w:bottom w:val="nil"/>
            </w:tcBorders>
            <w:shd w:val="clear" w:color="000000" w:fill="FFFFFF"/>
            <w:noWrap/>
            <w:vAlign w:val="center"/>
            <w:hideMark/>
          </w:tcPr>
          <w:p w14:paraId="15721303"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0B" w14:textId="77777777" w:rsidTr="00780FEA">
        <w:trPr>
          <w:trHeight w:val="375"/>
        </w:trPr>
        <w:tc>
          <w:tcPr>
            <w:tcW w:w="2405" w:type="dxa"/>
            <w:tcBorders>
              <w:top w:val="nil"/>
              <w:bottom w:val="nil"/>
            </w:tcBorders>
            <w:shd w:val="clear" w:color="000000" w:fill="FFFFFF"/>
            <w:noWrap/>
            <w:vAlign w:val="center"/>
            <w:hideMark/>
          </w:tcPr>
          <w:p w14:paraId="15721305" w14:textId="77777777" w:rsidR="00D706B9" w:rsidRPr="00245DC4" w:rsidRDefault="00D706B9" w:rsidP="00955C32">
            <w:pPr>
              <w:jc w:val="left"/>
              <w:rPr>
                <w:rFonts w:asciiTheme="minorHAnsi" w:eastAsia="Times New Roman" w:hAnsiTheme="minorHAnsi" w:cstheme="minorHAnsi"/>
                <w:color w:val="C00000"/>
                <w:lang w:val="en-AU" w:eastAsia="en-AU" w:bidi="ar-SA"/>
              </w:rPr>
            </w:pPr>
            <w:r w:rsidRPr="00245DC4">
              <w:rPr>
                <w:rFonts w:asciiTheme="minorHAnsi" w:eastAsia="Times New Roman" w:hAnsiTheme="minorHAnsi" w:cstheme="minorHAnsi"/>
                <w:color w:val="C00000"/>
                <w:lang w:val="en-AU" w:eastAsia="en-AU" w:bidi="ar-SA"/>
              </w:rPr>
              <w:t xml:space="preserve">Atrazine </w:t>
            </w:r>
            <w:r>
              <w:rPr>
                <w:rFonts w:asciiTheme="minorHAnsi" w:eastAsia="Times New Roman" w:hAnsiTheme="minorHAnsi" w:cstheme="minorHAnsi"/>
                <w:color w:val="C00000"/>
                <w:lang w:val="en-AU" w:eastAsia="en-AU" w:bidi="ar-SA"/>
              </w:rPr>
              <w:t>–</w:t>
            </w:r>
            <w:r w:rsidRPr="00245DC4">
              <w:rPr>
                <w:rFonts w:asciiTheme="minorHAnsi" w:eastAsia="Times New Roman" w:hAnsiTheme="minorHAnsi" w:cstheme="minorHAnsi"/>
                <w:color w:val="C00000"/>
                <w:lang w:val="en-AU" w:eastAsia="en-AU" w:bidi="ar-SA"/>
              </w:rPr>
              <w:t xml:space="preserve"> </w:t>
            </w:r>
            <w:r>
              <w:rPr>
                <w:rFonts w:asciiTheme="minorHAnsi" w:eastAsia="Times New Roman" w:hAnsiTheme="minorHAnsi" w:cstheme="minorHAnsi"/>
                <w:color w:val="C00000"/>
                <w:lang w:val="en-AU" w:eastAsia="en-AU" w:bidi="ar-SA"/>
              </w:rPr>
              <w:t>d</w:t>
            </w:r>
            <w:r w:rsidRPr="00245DC4">
              <w:rPr>
                <w:rFonts w:asciiTheme="minorHAnsi" w:eastAsia="Times New Roman" w:hAnsiTheme="minorHAnsi" w:cstheme="minorHAnsi"/>
                <w:color w:val="C00000"/>
                <w:lang w:val="en-AU" w:eastAsia="en-AU" w:bidi="ar-SA"/>
              </w:rPr>
              <w:t>esisopropyl</w:t>
            </w:r>
          </w:p>
        </w:tc>
        <w:tc>
          <w:tcPr>
            <w:tcW w:w="4536" w:type="dxa"/>
            <w:tcBorders>
              <w:top w:val="nil"/>
              <w:bottom w:val="nil"/>
            </w:tcBorders>
            <w:shd w:val="clear" w:color="auto" w:fill="auto"/>
            <w:vAlign w:val="center"/>
            <w:hideMark/>
          </w:tcPr>
          <w:p w14:paraId="15721306"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PSII herbicide breakdown product (also active)</w:t>
            </w:r>
          </w:p>
        </w:tc>
        <w:tc>
          <w:tcPr>
            <w:tcW w:w="1239" w:type="dxa"/>
            <w:tcBorders>
              <w:top w:val="nil"/>
              <w:bottom w:val="nil"/>
            </w:tcBorders>
            <w:vAlign w:val="center"/>
          </w:tcPr>
          <w:p w14:paraId="15721307"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08"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0.02</w:t>
            </w:r>
          </w:p>
        </w:tc>
        <w:tc>
          <w:tcPr>
            <w:tcW w:w="769" w:type="dxa"/>
            <w:gridSpan w:val="2"/>
            <w:tcBorders>
              <w:top w:val="nil"/>
              <w:bottom w:val="nil"/>
            </w:tcBorders>
            <w:shd w:val="clear" w:color="auto" w:fill="auto"/>
            <w:noWrap/>
            <w:vAlign w:val="center"/>
            <w:hideMark/>
          </w:tcPr>
          <w:p w14:paraId="15721309"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top w:val="nil"/>
              <w:bottom w:val="nil"/>
            </w:tcBorders>
            <w:shd w:val="clear" w:color="000000" w:fill="FFFFFF"/>
            <w:noWrap/>
            <w:vAlign w:val="center"/>
            <w:hideMark/>
          </w:tcPr>
          <w:p w14:paraId="1572130A" w14:textId="77777777" w:rsidR="00D706B9" w:rsidRPr="00245DC4" w:rsidRDefault="00D706B9" w:rsidP="00955C32">
            <w:pPr>
              <w:jc w:val="center"/>
              <w:rPr>
                <w:rFonts w:ascii="Calibri" w:eastAsia="Times New Roman" w:hAnsi="Calibri" w:cs="Calibri"/>
                <w:color w:val="000000"/>
                <w:lang w:val="en-AU" w:eastAsia="en-AU" w:bidi="ar-SA"/>
              </w:rPr>
            </w:pPr>
          </w:p>
        </w:tc>
      </w:tr>
      <w:tr w:rsidR="006C730C" w:rsidRPr="00245DC4" w14:paraId="15721312" w14:textId="77777777" w:rsidTr="00780FEA">
        <w:trPr>
          <w:trHeight w:val="375"/>
        </w:trPr>
        <w:tc>
          <w:tcPr>
            <w:tcW w:w="2405" w:type="dxa"/>
            <w:tcBorders>
              <w:top w:val="nil"/>
              <w:bottom w:val="nil"/>
              <w:right w:val="nil"/>
            </w:tcBorders>
            <w:shd w:val="clear" w:color="000000" w:fill="FFFFFF"/>
            <w:noWrap/>
            <w:vAlign w:val="center"/>
            <w:hideMark/>
          </w:tcPr>
          <w:p w14:paraId="1572130C" w14:textId="77777777" w:rsidR="006C730C" w:rsidRPr="006C730C" w:rsidRDefault="006C730C" w:rsidP="006C730C">
            <w:pPr>
              <w:jc w:val="left"/>
              <w:rPr>
                <w:rFonts w:asciiTheme="minorHAnsi" w:eastAsia="Times New Roman" w:hAnsiTheme="minorHAnsi" w:cstheme="minorHAnsi"/>
                <w:color w:val="C00000"/>
                <w:lang w:val="en-AU" w:eastAsia="en-AU" w:bidi="ar-SA"/>
              </w:rPr>
            </w:pPr>
            <w:r w:rsidRPr="006C730C">
              <w:rPr>
                <w:rFonts w:asciiTheme="minorHAnsi" w:eastAsia="Times New Roman" w:hAnsiTheme="minorHAnsi" w:cstheme="minorHAnsi"/>
                <w:lang w:val="en-AU" w:eastAsia="en-AU" w:bidi="ar-SA"/>
              </w:rPr>
              <w:t>Bromacil</w:t>
            </w:r>
          </w:p>
        </w:tc>
        <w:tc>
          <w:tcPr>
            <w:tcW w:w="4536" w:type="dxa"/>
            <w:tcBorders>
              <w:top w:val="nil"/>
              <w:left w:val="nil"/>
              <w:bottom w:val="nil"/>
              <w:right w:val="nil"/>
            </w:tcBorders>
            <w:shd w:val="clear" w:color="auto" w:fill="auto"/>
            <w:vAlign w:val="center"/>
            <w:hideMark/>
          </w:tcPr>
          <w:p w14:paraId="1572130D" w14:textId="77777777" w:rsidR="006C730C" w:rsidRPr="00245DC4" w:rsidRDefault="006C730C" w:rsidP="006C730C">
            <w:pPr>
              <w:jc w:val="left"/>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PSII herbicide – uracil</w:t>
            </w:r>
          </w:p>
        </w:tc>
        <w:tc>
          <w:tcPr>
            <w:tcW w:w="1239" w:type="dxa"/>
            <w:tcBorders>
              <w:top w:val="nil"/>
              <w:left w:val="nil"/>
              <w:bottom w:val="nil"/>
              <w:right w:val="nil"/>
            </w:tcBorders>
            <w:vAlign w:val="center"/>
          </w:tcPr>
          <w:p w14:paraId="1572130E" w14:textId="77777777" w:rsidR="006C730C"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Of interest</w:t>
            </w:r>
          </w:p>
        </w:tc>
        <w:tc>
          <w:tcPr>
            <w:tcW w:w="769" w:type="dxa"/>
            <w:gridSpan w:val="2"/>
            <w:tcBorders>
              <w:top w:val="nil"/>
              <w:left w:val="nil"/>
              <w:bottom w:val="nil"/>
              <w:right w:val="nil"/>
            </w:tcBorders>
            <w:shd w:val="clear" w:color="auto" w:fill="auto"/>
            <w:noWrap/>
            <w:vAlign w:val="center"/>
            <w:hideMark/>
          </w:tcPr>
          <w:p w14:paraId="1572130F" w14:textId="77777777" w:rsidR="006C730C" w:rsidRPr="00245DC4"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0.02</w:t>
            </w:r>
          </w:p>
        </w:tc>
        <w:tc>
          <w:tcPr>
            <w:tcW w:w="769" w:type="dxa"/>
            <w:gridSpan w:val="2"/>
            <w:tcBorders>
              <w:top w:val="nil"/>
              <w:left w:val="nil"/>
              <w:bottom w:val="nil"/>
              <w:right w:val="nil"/>
            </w:tcBorders>
            <w:shd w:val="clear" w:color="auto" w:fill="auto"/>
            <w:noWrap/>
            <w:vAlign w:val="center"/>
            <w:hideMark/>
          </w:tcPr>
          <w:p w14:paraId="15721310" w14:textId="77777777" w:rsidR="006C730C" w:rsidRPr="00245DC4"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0.10</w:t>
            </w:r>
          </w:p>
        </w:tc>
        <w:tc>
          <w:tcPr>
            <w:tcW w:w="770" w:type="dxa"/>
            <w:tcBorders>
              <w:top w:val="nil"/>
              <w:left w:val="nil"/>
              <w:bottom w:val="nil"/>
            </w:tcBorders>
            <w:shd w:val="clear" w:color="000000" w:fill="FFFFFF"/>
            <w:noWrap/>
            <w:vAlign w:val="center"/>
            <w:hideMark/>
          </w:tcPr>
          <w:p w14:paraId="15721311" w14:textId="77777777" w:rsidR="006C730C" w:rsidRDefault="006C730C" w:rsidP="006C730C">
            <w:pPr>
              <w:jc w:val="center"/>
              <w:rPr>
                <w:rFonts w:ascii="Calibri" w:eastAsia="Times New Roman" w:hAnsi="Calibri" w:cs="Calibri"/>
                <w:color w:val="000000"/>
                <w:lang w:val="en-AU" w:eastAsia="en-AU" w:bidi="ar-SA"/>
              </w:rPr>
            </w:pPr>
          </w:p>
        </w:tc>
      </w:tr>
      <w:tr w:rsidR="00D706B9" w:rsidRPr="00245DC4" w14:paraId="15721319" w14:textId="77777777" w:rsidTr="00780FEA">
        <w:trPr>
          <w:trHeight w:val="375"/>
        </w:trPr>
        <w:tc>
          <w:tcPr>
            <w:tcW w:w="2405" w:type="dxa"/>
            <w:tcBorders>
              <w:top w:val="nil"/>
              <w:bottom w:val="nil"/>
            </w:tcBorders>
            <w:shd w:val="clear" w:color="000000" w:fill="FFFFFF"/>
            <w:noWrap/>
            <w:vAlign w:val="center"/>
            <w:hideMark/>
          </w:tcPr>
          <w:p w14:paraId="15721313"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Chlorothalonil*</w:t>
            </w:r>
          </w:p>
        </w:tc>
        <w:tc>
          <w:tcPr>
            <w:tcW w:w="4536" w:type="dxa"/>
            <w:tcBorders>
              <w:top w:val="nil"/>
              <w:bottom w:val="nil"/>
            </w:tcBorders>
            <w:shd w:val="clear" w:color="auto" w:fill="auto"/>
            <w:noWrap/>
            <w:vAlign w:val="center"/>
            <w:hideMark/>
          </w:tcPr>
          <w:p w14:paraId="15721314"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Organochlorine fungicide</w:t>
            </w:r>
          </w:p>
        </w:tc>
        <w:tc>
          <w:tcPr>
            <w:tcW w:w="1239" w:type="dxa"/>
            <w:tcBorders>
              <w:top w:val="nil"/>
              <w:bottom w:val="nil"/>
            </w:tcBorders>
            <w:vAlign w:val="center"/>
          </w:tcPr>
          <w:p w14:paraId="15721315"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16" w14:textId="77777777" w:rsidR="00D706B9" w:rsidRPr="00245DC4" w:rsidRDefault="00D706B9" w:rsidP="00955C32">
            <w:pPr>
              <w:jc w:val="center"/>
              <w:rPr>
                <w:rFonts w:ascii="Calibri" w:eastAsia="Times New Roman" w:hAnsi="Calibri" w:cs="Calibri"/>
                <w:color w:val="000000"/>
                <w:lang w:val="en-AU" w:eastAsia="en-AU" w:bidi="ar-SA"/>
              </w:rPr>
            </w:pPr>
          </w:p>
        </w:tc>
        <w:tc>
          <w:tcPr>
            <w:tcW w:w="769" w:type="dxa"/>
            <w:gridSpan w:val="2"/>
            <w:tcBorders>
              <w:top w:val="nil"/>
              <w:bottom w:val="nil"/>
            </w:tcBorders>
            <w:shd w:val="clear" w:color="auto" w:fill="auto"/>
            <w:noWrap/>
            <w:vAlign w:val="center"/>
            <w:hideMark/>
          </w:tcPr>
          <w:p w14:paraId="15721317" w14:textId="77777777" w:rsidR="00D706B9" w:rsidRPr="00245DC4" w:rsidRDefault="00D706B9" w:rsidP="00955C32">
            <w:pPr>
              <w:jc w:val="center"/>
              <w:rPr>
                <w:rFonts w:ascii="Calibri" w:eastAsia="Times New Roman" w:hAnsi="Calibri" w:cs="Calibri"/>
                <w:color w:val="000000"/>
                <w:lang w:val="en-AU" w:eastAsia="en-AU" w:bidi="ar-SA"/>
              </w:rPr>
            </w:pPr>
          </w:p>
        </w:tc>
        <w:tc>
          <w:tcPr>
            <w:tcW w:w="770" w:type="dxa"/>
            <w:tcBorders>
              <w:top w:val="nil"/>
              <w:bottom w:val="nil"/>
            </w:tcBorders>
            <w:shd w:val="clear" w:color="000000" w:fill="FFFFFF"/>
            <w:noWrap/>
            <w:vAlign w:val="center"/>
            <w:hideMark/>
          </w:tcPr>
          <w:p w14:paraId="15721318"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20" w14:textId="77777777" w:rsidTr="00780FEA">
        <w:trPr>
          <w:trHeight w:val="375"/>
        </w:trPr>
        <w:tc>
          <w:tcPr>
            <w:tcW w:w="2405" w:type="dxa"/>
            <w:tcBorders>
              <w:top w:val="nil"/>
              <w:bottom w:val="nil"/>
            </w:tcBorders>
            <w:shd w:val="clear" w:color="000000" w:fill="FFFFFF"/>
            <w:noWrap/>
            <w:vAlign w:val="center"/>
            <w:hideMark/>
          </w:tcPr>
          <w:p w14:paraId="1572131A"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Chlorpyrifos</w:t>
            </w:r>
          </w:p>
        </w:tc>
        <w:tc>
          <w:tcPr>
            <w:tcW w:w="4536" w:type="dxa"/>
            <w:tcBorders>
              <w:top w:val="nil"/>
              <w:bottom w:val="nil"/>
            </w:tcBorders>
            <w:shd w:val="clear" w:color="auto" w:fill="auto"/>
            <w:vAlign w:val="center"/>
            <w:hideMark/>
          </w:tcPr>
          <w:p w14:paraId="1572131B"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Organophosphate insecticide</w:t>
            </w:r>
          </w:p>
        </w:tc>
        <w:tc>
          <w:tcPr>
            <w:tcW w:w="1239" w:type="dxa"/>
            <w:tcBorders>
              <w:top w:val="nil"/>
              <w:bottom w:val="nil"/>
            </w:tcBorders>
            <w:vAlign w:val="center"/>
          </w:tcPr>
          <w:p w14:paraId="1572131C"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1D" w14:textId="77777777" w:rsidR="00D706B9" w:rsidRPr="00245DC4" w:rsidRDefault="00D706B9" w:rsidP="00955C32">
            <w:pPr>
              <w:jc w:val="center"/>
              <w:rPr>
                <w:rFonts w:ascii="Calibri" w:eastAsia="Times New Roman" w:hAnsi="Calibri" w:cs="Calibri"/>
                <w:color w:val="000000"/>
                <w:lang w:val="en-AU" w:eastAsia="en-AU" w:bidi="ar-SA"/>
              </w:rPr>
            </w:pPr>
          </w:p>
        </w:tc>
        <w:tc>
          <w:tcPr>
            <w:tcW w:w="769" w:type="dxa"/>
            <w:gridSpan w:val="2"/>
            <w:tcBorders>
              <w:top w:val="nil"/>
              <w:bottom w:val="nil"/>
            </w:tcBorders>
            <w:shd w:val="clear" w:color="auto" w:fill="auto"/>
            <w:noWrap/>
            <w:vAlign w:val="center"/>
            <w:hideMark/>
          </w:tcPr>
          <w:p w14:paraId="1572131E" w14:textId="77777777" w:rsidR="00D706B9" w:rsidRPr="00245DC4" w:rsidRDefault="00D706B9" w:rsidP="00955C32">
            <w:pPr>
              <w:jc w:val="center"/>
              <w:rPr>
                <w:rFonts w:ascii="Calibri" w:eastAsia="Times New Roman" w:hAnsi="Calibri" w:cs="Calibri"/>
                <w:color w:val="000000"/>
                <w:lang w:val="en-AU" w:eastAsia="en-AU" w:bidi="ar-SA"/>
              </w:rPr>
            </w:pPr>
          </w:p>
        </w:tc>
        <w:tc>
          <w:tcPr>
            <w:tcW w:w="770" w:type="dxa"/>
            <w:tcBorders>
              <w:top w:val="nil"/>
              <w:bottom w:val="nil"/>
            </w:tcBorders>
            <w:shd w:val="clear" w:color="000000" w:fill="FFFFFF"/>
            <w:noWrap/>
            <w:vAlign w:val="center"/>
            <w:hideMark/>
          </w:tcPr>
          <w:p w14:paraId="1572131F" w14:textId="77777777" w:rsidR="00D706B9" w:rsidRPr="00245DC4" w:rsidRDefault="00D706B9" w:rsidP="00955C3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0.5</w:t>
            </w:r>
          </w:p>
        </w:tc>
      </w:tr>
      <w:tr w:rsidR="006C730C" w:rsidRPr="00245DC4" w14:paraId="15721327" w14:textId="77777777" w:rsidTr="00780FEA">
        <w:trPr>
          <w:trHeight w:val="375"/>
        </w:trPr>
        <w:tc>
          <w:tcPr>
            <w:tcW w:w="2405" w:type="dxa"/>
            <w:tcBorders>
              <w:top w:val="nil"/>
              <w:bottom w:val="nil"/>
              <w:right w:val="nil"/>
            </w:tcBorders>
            <w:shd w:val="clear" w:color="000000" w:fill="FFFFFF"/>
            <w:noWrap/>
            <w:vAlign w:val="center"/>
            <w:hideMark/>
          </w:tcPr>
          <w:p w14:paraId="15721321"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766888">
              <w:rPr>
                <w:rFonts w:asciiTheme="minorHAnsi" w:eastAsia="Times New Roman" w:hAnsiTheme="minorHAnsi" w:cstheme="minorHAnsi"/>
                <w:color w:val="000000"/>
                <w:lang w:val="en-AU" w:eastAsia="en-AU" w:bidi="ar-SA"/>
              </w:rPr>
              <w:t>Diazinon*</w:t>
            </w:r>
          </w:p>
        </w:tc>
        <w:tc>
          <w:tcPr>
            <w:tcW w:w="4536" w:type="dxa"/>
            <w:tcBorders>
              <w:top w:val="nil"/>
              <w:left w:val="nil"/>
              <w:bottom w:val="nil"/>
              <w:right w:val="nil"/>
            </w:tcBorders>
            <w:shd w:val="clear" w:color="auto" w:fill="auto"/>
            <w:vAlign w:val="center"/>
            <w:hideMark/>
          </w:tcPr>
          <w:p w14:paraId="15721322" w14:textId="77777777" w:rsidR="006C730C" w:rsidRPr="00245DC4" w:rsidRDefault="006C730C" w:rsidP="006C730C">
            <w:pPr>
              <w:jc w:val="left"/>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I</w:t>
            </w:r>
            <w:r w:rsidR="00780FEA">
              <w:rPr>
                <w:rFonts w:ascii="Calibri" w:eastAsia="Times New Roman" w:hAnsi="Calibri" w:cs="Calibri"/>
                <w:color w:val="000000"/>
                <w:lang w:val="en-AU" w:eastAsia="en-AU" w:bidi="ar-SA"/>
              </w:rPr>
              <w:t>nsecticide: i</w:t>
            </w:r>
            <w:r w:rsidRPr="006C730C">
              <w:rPr>
                <w:rFonts w:ascii="Calibri" w:eastAsia="Times New Roman" w:hAnsi="Calibri" w:cs="Calibri"/>
                <w:color w:val="000000"/>
                <w:lang w:val="en-AU" w:eastAsia="en-AU" w:bidi="ar-SA"/>
              </w:rPr>
              <w:t>nhibits acetylcholinesterase</w:t>
            </w:r>
          </w:p>
        </w:tc>
        <w:tc>
          <w:tcPr>
            <w:tcW w:w="1239" w:type="dxa"/>
            <w:tcBorders>
              <w:top w:val="nil"/>
              <w:left w:val="nil"/>
              <w:bottom w:val="nil"/>
              <w:right w:val="nil"/>
            </w:tcBorders>
            <w:vAlign w:val="center"/>
          </w:tcPr>
          <w:p w14:paraId="15721323" w14:textId="77777777" w:rsidR="006C730C"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Of interest</w:t>
            </w:r>
          </w:p>
        </w:tc>
        <w:tc>
          <w:tcPr>
            <w:tcW w:w="769" w:type="dxa"/>
            <w:gridSpan w:val="2"/>
            <w:tcBorders>
              <w:top w:val="nil"/>
              <w:left w:val="nil"/>
              <w:bottom w:val="nil"/>
              <w:right w:val="nil"/>
            </w:tcBorders>
            <w:shd w:val="clear" w:color="auto" w:fill="auto"/>
            <w:noWrap/>
            <w:vAlign w:val="center"/>
            <w:hideMark/>
          </w:tcPr>
          <w:p w14:paraId="15721324" w14:textId="77777777" w:rsidR="006C730C" w:rsidRPr="00245DC4" w:rsidRDefault="006C730C" w:rsidP="006C730C">
            <w:pPr>
              <w:jc w:val="center"/>
              <w:rPr>
                <w:rFonts w:ascii="Calibri" w:eastAsia="Times New Roman" w:hAnsi="Calibri" w:cs="Calibri"/>
                <w:color w:val="000000"/>
                <w:lang w:val="en-AU" w:eastAsia="en-AU" w:bidi="ar-SA"/>
              </w:rPr>
            </w:pPr>
          </w:p>
        </w:tc>
        <w:tc>
          <w:tcPr>
            <w:tcW w:w="769" w:type="dxa"/>
            <w:gridSpan w:val="2"/>
            <w:tcBorders>
              <w:top w:val="nil"/>
              <w:left w:val="nil"/>
              <w:bottom w:val="nil"/>
              <w:right w:val="nil"/>
            </w:tcBorders>
            <w:shd w:val="clear" w:color="auto" w:fill="auto"/>
            <w:noWrap/>
            <w:vAlign w:val="center"/>
            <w:hideMark/>
          </w:tcPr>
          <w:p w14:paraId="15721325" w14:textId="77777777" w:rsidR="006C730C" w:rsidRPr="00245DC4" w:rsidRDefault="006C730C" w:rsidP="006C730C">
            <w:pPr>
              <w:jc w:val="center"/>
              <w:rPr>
                <w:rFonts w:ascii="Calibri" w:eastAsia="Times New Roman" w:hAnsi="Calibri" w:cs="Calibri"/>
                <w:color w:val="000000"/>
                <w:lang w:val="en-AU" w:eastAsia="en-AU" w:bidi="ar-SA"/>
              </w:rPr>
            </w:pPr>
          </w:p>
        </w:tc>
        <w:tc>
          <w:tcPr>
            <w:tcW w:w="770" w:type="dxa"/>
            <w:tcBorders>
              <w:top w:val="nil"/>
              <w:left w:val="nil"/>
              <w:bottom w:val="nil"/>
            </w:tcBorders>
            <w:shd w:val="clear" w:color="000000" w:fill="FFFFFF"/>
            <w:noWrap/>
            <w:vAlign w:val="center"/>
            <w:hideMark/>
          </w:tcPr>
          <w:p w14:paraId="15721326" w14:textId="77777777" w:rsidR="006C730C" w:rsidRDefault="006C730C" w:rsidP="006C730C">
            <w:pPr>
              <w:jc w:val="center"/>
              <w:rPr>
                <w:rFonts w:ascii="Calibri" w:eastAsia="Times New Roman" w:hAnsi="Calibri" w:cs="Calibri"/>
                <w:color w:val="000000"/>
                <w:lang w:val="en-AU" w:eastAsia="en-AU" w:bidi="ar-SA"/>
              </w:rPr>
            </w:pPr>
          </w:p>
        </w:tc>
      </w:tr>
      <w:tr w:rsidR="00D706B9" w:rsidRPr="00245DC4" w14:paraId="1572132E"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28"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Diuron</w:t>
            </w:r>
          </w:p>
        </w:tc>
        <w:tc>
          <w:tcPr>
            <w:tcW w:w="4536" w:type="dxa"/>
            <w:tcBorders>
              <w:top w:val="nil"/>
              <w:bottom w:val="nil"/>
            </w:tcBorders>
            <w:shd w:val="clear" w:color="auto" w:fill="auto"/>
            <w:vAlign w:val="center"/>
            <w:hideMark/>
          </w:tcPr>
          <w:p w14:paraId="15721329"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 xml:space="preserve">PSII herbicide </w:t>
            </w:r>
            <w:r>
              <w:rPr>
                <w:rFonts w:ascii="Calibri" w:eastAsia="Times New Roman" w:hAnsi="Calibri" w:cs="Calibri"/>
                <w:color w:val="000000"/>
                <w:lang w:val="en-AU" w:eastAsia="en-AU" w:bidi="ar-SA"/>
              </w:rPr>
              <w:t>–</w:t>
            </w:r>
            <w:r w:rsidRPr="00245DC4">
              <w:rPr>
                <w:rFonts w:ascii="Calibri" w:eastAsia="Times New Roman" w:hAnsi="Calibri" w:cs="Calibri"/>
                <w:color w:val="000000"/>
                <w:lang w:val="en-AU" w:eastAsia="en-AU" w:bidi="ar-SA"/>
              </w:rPr>
              <w:t xml:space="preserve"> pheynylurea</w:t>
            </w:r>
          </w:p>
        </w:tc>
        <w:tc>
          <w:tcPr>
            <w:tcW w:w="1239" w:type="dxa"/>
            <w:tcBorders>
              <w:top w:val="nil"/>
              <w:bottom w:val="nil"/>
            </w:tcBorders>
            <w:vAlign w:val="center"/>
          </w:tcPr>
          <w:p w14:paraId="1572132A"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2B"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0.02</w:t>
            </w:r>
          </w:p>
        </w:tc>
        <w:tc>
          <w:tcPr>
            <w:tcW w:w="769" w:type="dxa"/>
            <w:gridSpan w:val="2"/>
            <w:tcBorders>
              <w:top w:val="nil"/>
              <w:bottom w:val="nil"/>
            </w:tcBorders>
            <w:shd w:val="clear" w:color="auto" w:fill="auto"/>
            <w:noWrap/>
            <w:vAlign w:val="center"/>
            <w:hideMark/>
          </w:tcPr>
          <w:p w14:paraId="1572132C"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top w:val="nil"/>
              <w:bottom w:val="nil"/>
            </w:tcBorders>
            <w:shd w:val="clear" w:color="000000" w:fill="FFFFFF"/>
            <w:noWrap/>
            <w:vAlign w:val="center"/>
            <w:hideMark/>
          </w:tcPr>
          <w:p w14:paraId="1572132D" w14:textId="77777777" w:rsidR="00D706B9" w:rsidRPr="00245DC4" w:rsidRDefault="00D706B9" w:rsidP="00955C32">
            <w:pPr>
              <w:jc w:val="center"/>
              <w:rPr>
                <w:rFonts w:ascii="Calibri" w:eastAsia="Times New Roman" w:hAnsi="Calibri" w:cs="Calibri"/>
                <w:color w:val="000000"/>
                <w:lang w:val="en-AU" w:eastAsia="en-AU" w:bidi="ar-SA"/>
              </w:rPr>
            </w:pPr>
          </w:p>
        </w:tc>
      </w:tr>
      <w:tr w:rsidR="006C730C" w:rsidRPr="00245DC4" w14:paraId="15721335" w14:textId="77777777" w:rsidTr="00780FEA">
        <w:trPr>
          <w:trHeight w:val="375"/>
        </w:trPr>
        <w:tc>
          <w:tcPr>
            <w:tcW w:w="2405" w:type="dxa"/>
            <w:tcBorders>
              <w:top w:val="nil"/>
              <w:bottom w:val="nil"/>
              <w:right w:val="nil"/>
            </w:tcBorders>
            <w:shd w:val="clear" w:color="auto" w:fill="auto"/>
            <w:noWrap/>
            <w:vAlign w:val="center"/>
            <w:hideMark/>
          </w:tcPr>
          <w:p w14:paraId="1572132F" w14:textId="77777777" w:rsidR="006C730C" w:rsidRPr="006C730C" w:rsidRDefault="006C730C" w:rsidP="006C730C">
            <w:pPr>
              <w:jc w:val="left"/>
              <w:rPr>
                <w:rFonts w:asciiTheme="minorHAnsi" w:eastAsia="Times New Roman" w:hAnsiTheme="minorHAnsi" w:cstheme="minorHAnsi"/>
                <w:color w:val="000000"/>
                <w:sz w:val="21"/>
                <w:szCs w:val="21"/>
                <w:lang w:val="en-AU" w:eastAsia="en-AU" w:bidi="ar-SA"/>
              </w:rPr>
            </w:pPr>
            <w:r w:rsidRPr="006C730C">
              <w:rPr>
                <w:rFonts w:asciiTheme="minorHAnsi" w:eastAsia="Times New Roman" w:hAnsiTheme="minorHAnsi" w:cstheme="minorHAnsi"/>
                <w:color w:val="000000"/>
                <w:sz w:val="21"/>
                <w:szCs w:val="21"/>
                <w:lang w:val="en-AU" w:eastAsia="en-AU" w:bidi="ar-SA"/>
              </w:rPr>
              <w:t>Ethametsulfuron methyl*</w:t>
            </w:r>
          </w:p>
        </w:tc>
        <w:tc>
          <w:tcPr>
            <w:tcW w:w="4536" w:type="dxa"/>
            <w:tcBorders>
              <w:top w:val="nil"/>
              <w:left w:val="nil"/>
              <w:bottom w:val="nil"/>
              <w:right w:val="nil"/>
            </w:tcBorders>
            <w:shd w:val="clear" w:color="auto" w:fill="auto"/>
            <w:vAlign w:val="center"/>
            <w:hideMark/>
          </w:tcPr>
          <w:p w14:paraId="15721330" w14:textId="77777777" w:rsidR="006C730C" w:rsidRPr="00245DC4" w:rsidRDefault="00780FEA" w:rsidP="00780FEA">
            <w:pPr>
              <w:ind w:right="-106"/>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 xml:space="preserve">Herbicide: </w:t>
            </w:r>
            <w:r w:rsidRPr="006C730C">
              <w:rPr>
                <w:rFonts w:ascii="Calibri" w:eastAsia="Times New Roman" w:hAnsi="Calibri" w:cs="Calibri"/>
                <w:color w:val="000000"/>
                <w:lang w:val="en-AU" w:eastAsia="en-AU" w:bidi="ar-SA"/>
              </w:rPr>
              <w:t xml:space="preserve">acetolactate synthase </w:t>
            </w:r>
            <w:r>
              <w:rPr>
                <w:rFonts w:ascii="Calibri" w:eastAsia="Times New Roman" w:hAnsi="Calibri" w:cs="Calibri"/>
                <w:color w:val="000000"/>
                <w:lang w:val="en-AU" w:eastAsia="en-AU" w:bidi="ar-SA"/>
              </w:rPr>
              <w:t>(</w:t>
            </w:r>
            <w:r w:rsidRPr="006C730C">
              <w:rPr>
                <w:rFonts w:ascii="Calibri" w:eastAsia="Times New Roman" w:hAnsi="Calibri" w:cs="Calibri"/>
                <w:color w:val="000000"/>
                <w:lang w:val="en-AU" w:eastAsia="en-AU" w:bidi="ar-SA"/>
              </w:rPr>
              <w:t>ALS</w:t>
            </w:r>
            <w:r>
              <w:rPr>
                <w:rFonts w:ascii="Calibri" w:eastAsia="Times New Roman" w:hAnsi="Calibri" w:cs="Calibri"/>
                <w:color w:val="000000"/>
                <w:lang w:val="en-AU" w:eastAsia="en-AU" w:bidi="ar-SA"/>
              </w:rPr>
              <w:t>) inhibition</w:t>
            </w:r>
          </w:p>
        </w:tc>
        <w:tc>
          <w:tcPr>
            <w:tcW w:w="1239" w:type="dxa"/>
            <w:tcBorders>
              <w:top w:val="nil"/>
              <w:left w:val="nil"/>
              <w:bottom w:val="nil"/>
              <w:right w:val="nil"/>
            </w:tcBorders>
            <w:vAlign w:val="center"/>
          </w:tcPr>
          <w:p w14:paraId="15721331" w14:textId="77777777" w:rsidR="006C730C"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Of interest</w:t>
            </w:r>
          </w:p>
        </w:tc>
        <w:tc>
          <w:tcPr>
            <w:tcW w:w="769" w:type="dxa"/>
            <w:gridSpan w:val="2"/>
            <w:tcBorders>
              <w:top w:val="nil"/>
              <w:left w:val="nil"/>
              <w:bottom w:val="nil"/>
              <w:right w:val="nil"/>
            </w:tcBorders>
            <w:shd w:val="clear" w:color="auto" w:fill="auto"/>
            <w:noWrap/>
            <w:vAlign w:val="center"/>
            <w:hideMark/>
          </w:tcPr>
          <w:p w14:paraId="15721332" w14:textId="77777777" w:rsidR="006C730C" w:rsidRPr="00245DC4" w:rsidRDefault="006C730C" w:rsidP="006C730C">
            <w:pPr>
              <w:jc w:val="center"/>
              <w:rPr>
                <w:rFonts w:ascii="Calibri" w:eastAsia="Times New Roman" w:hAnsi="Calibri" w:cs="Calibri"/>
                <w:color w:val="000000"/>
                <w:lang w:val="en-AU" w:eastAsia="en-AU" w:bidi="ar-SA"/>
              </w:rPr>
            </w:pPr>
          </w:p>
        </w:tc>
        <w:tc>
          <w:tcPr>
            <w:tcW w:w="769" w:type="dxa"/>
            <w:gridSpan w:val="2"/>
            <w:tcBorders>
              <w:top w:val="nil"/>
              <w:left w:val="nil"/>
              <w:bottom w:val="nil"/>
              <w:right w:val="nil"/>
            </w:tcBorders>
            <w:shd w:val="clear" w:color="auto" w:fill="auto"/>
            <w:noWrap/>
            <w:vAlign w:val="center"/>
            <w:hideMark/>
          </w:tcPr>
          <w:p w14:paraId="15721333" w14:textId="77777777" w:rsidR="006C730C" w:rsidRPr="00245DC4" w:rsidRDefault="006C730C" w:rsidP="006C730C">
            <w:pPr>
              <w:jc w:val="center"/>
              <w:rPr>
                <w:rFonts w:ascii="Calibri" w:eastAsia="Times New Roman" w:hAnsi="Calibri" w:cs="Calibri"/>
                <w:color w:val="000000"/>
                <w:lang w:val="en-AU" w:eastAsia="en-AU" w:bidi="ar-SA"/>
              </w:rPr>
            </w:pPr>
          </w:p>
        </w:tc>
        <w:tc>
          <w:tcPr>
            <w:tcW w:w="770" w:type="dxa"/>
            <w:tcBorders>
              <w:top w:val="nil"/>
              <w:left w:val="nil"/>
              <w:bottom w:val="nil"/>
            </w:tcBorders>
            <w:shd w:val="clear" w:color="000000" w:fill="FFFFFF"/>
            <w:noWrap/>
            <w:vAlign w:val="center"/>
            <w:hideMark/>
          </w:tcPr>
          <w:p w14:paraId="15721334" w14:textId="77777777" w:rsidR="006C730C" w:rsidRDefault="006C730C" w:rsidP="006C730C">
            <w:pPr>
              <w:jc w:val="center"/>
              <w:rPr>
                <w:rFonts w:ascii="Calibri" w:eastAsia="Times New Roman" w:hAnsi="Calibri" w:cs="Calibri"/>
                <w:color w:val="000000"/>
                <w:lang w:val="en-AU" w:eastAsia="en-AU" w:bidi="ar-SA"/>
              </w:rPr>
            </w:pPr>
          </w:p>
        </w:tc>
      </w:tr>
      <w:tr w:rsidR="006C730C" w:rsidRPr="00245DC4" w14:paraId="1572133C" w14:textId="77777777" w:rsidTr="00780FEA">
        <w:trPr>
          <w:trHeight w:val="375"/>
        </w:trPr>
        <w:tc>
          <w:tcPr>
            <w:tcW w:w="2405" w:type="dxa"/>
            <w:tcBorders>
              <w:top w:val="nil"/>
              <w:bottom w:val="nil"/>
              <w:right w:val="nil"/>
            </w:tcBorders>
            <w:shd w:val="clear" w:color="auto" w:fill="auto"/>
            <w:noWrap/>
            <w:vAlign w:val="center"/>
            <w:hideMark/>
          </w:tcPr>
          <w:p w14:paraId="15721336"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Fipronil*</w:t>
            </w:r>
          </w:p>
        </w:tc>
        <w:tc>
          <w:tcPr>
            <w:tcW w:w="4536" w:type="dxa"/>
            <w:tcBorders>
              <w:top w:val="nil"/>
              <w:left w:val="nil"/>
              <w:bottom w:val="nil"/>
              <w:right w:val="nil"/>
            </w:tcBorders>
            <w:shd w:val="clear" w:color="auto" w:fill="auto"/>
            <w:vAlign w:val="center"/>
            <w:hideMark/>
          </w:tcPr>
          <w:p w14:paraId="15721337" w14:textId="77777777" w:rsidR="006C730C" w:rsidRPr="00245DC4" w:rsidRDefault="006C730C" w:rsidP="006C730C">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w:t>
            </w:r>
            <w:r w:rsidRPr="00245DC4">
              <w:rPr>
                <w:rFonts w:ascii="Calibri" w:eastAsia="Times New Roman" w:hAnsi="Calibri" w:cs="Calibri"/>
                <w:color w:val="000000"/>
                <w:lang w:val="en-AU" w:eastAsia="en-AU" w:bidi="ar-SA"/>
              </w:rPr>
              <w:t>henylpyrazole insecticide</w:t>
            </w:r>
          </w:p>
        </w:tc>
        <w:tc>
          <w:tcPr>
            <w:tcW w:w="1239" w:type="dxa"/>
            <w:tcBorders>
              <w:top w:val="nil"/>
              <w:left w:val="nil"/>
              <w:bottom w:val="nil"/>
              <w:right w:val="nil"/>
            </w:tcBorders>
            <w:vAlign w:val="center"/>
          </w:tcPr>
          <w:p w14:paraId="15721338" w14:textId="77777777" w:rsidR="006C730C" w:rsidRPr="00245DC4" w:rsidRDefault="006C730C"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left w:val="nil"/>
              <w:bottom w:val="nil"/>
              <w:right w:val="nil"/>
            </w:tcBorders>
            <w:shd w:val="clear" w:color="auto" w:fill="auto"/>
            <w:noWrap/>
            <w:vAlign w:val="center"/>
            <w:hideMark/>
          </w:tcPr>
          <w:p w14:paraId="15721339" w14:textId="77777777" w:rsidR="006C730C" w:rsidRPr="00245DC4" w:rsidRDefault="006C730C" w:rsidP="006C730C">
            <w:pPr>
              <w:jc w:val="center"/>
              <w:rPr>
                <w:rFonts w:ascii="Calibri" w:eastAsia="Times New Roman" w:hAnsi="Calibri" w:cs="Calibri"/>
                <w:color w:val="000000"/>
                <w:lang w:val="en-AU" w:eastAsia="en-AU" w:bidi="ar-SA"/>
              </w:rPr>
            </w:pPr>
          </w:p>
        </w:tc>
        <w:tc>
          <w:tcPr>
            <w:tcW w:w="769" w:type="dxa"/>
            <w:gridSpan w:val="2"/>
            <w:tcBorders>
              <w:top w:val="nil"/>
              <w:left w:val="nil"/>
              <w:bottom w:val="nil"/>
              <w:right w:val="nil"/>
            </w:tcBorders>
            <w:shd w:val="clear" w:color="auto" w:fill="auto"/>
            <w:noWrap/>
            <w:vAlign w:val="center"/>
            <w:hideMark/>
          </w:tcPr>
          <w:p w14:paraId="1572133A" w14:textId="77777777" w:rsidR="006C730C" w:rsidRPr="00245DC4" w:rsidRDefault="006C730C" w:rsidP="006C730C">
            <w:pPr>
              <w:jc w:val="center"/>
              <w:rPr>
                <w:rFonts w:ascii="Calibri" w:eastAsia="Times New Roman" w:hAnsi="Calibri" w:cs="Calibri"/>
                <w:color w:val="000000"/>
                <w:lang w:val="en-AU" w:eastAsia="en-AU" w:bidi="ar-SA"/>
              </w:rPr>
            </w:pPr>
          </w:p>
        </w:tc>
        <w:tc>
          <w:tcPr>
            <w:tcW w:w="770" w:type="dxa"/>
            <w:tcBorders>
              <w:top w:val="nil"/>
              <w:left w:val="nil"/>
              <w:bottom w:val="nil"/>
            </w:tcBorders>
            <w:shd w:val="clear" w:color="000000" w:fill="FFFFFF"/>
            <w:noWrap/>
            <w:vAlign w:val="center"/>
            <w:hideMark/>
          </w:tcPr>
          <w:p w14:paraId="1572133B" w14:textId="77777777" w:rsidR="006C730C" w:rsidRPr="00245DC4" w:rsidRDefault="006C730C" w:rsidP="006C730C">
            <w:pPr>
              <w:jc w:val="center"/>
              <w:rPr>
                <w:rFonts w:ascii="Calibri" w:eastAsia="Times New Roman" w:hAnsi="Calibri" w:cs="Calibri"/>
                <w:color w:val="000000"/>
                <w:lang w:val="en-AU" w:eastAsia="en-AU" w:bidi="ar-SA"/>
              </w:rPr>
            </w:pPr>
          </w:p>
        </w:tc>
      </w:tr>
      <w:tr w:rsidR="006C730C" w:rsidRPr="00245DC4" w14:paraId="15721343" w14:textId="77777777" w:rsidTr="00780FEA">
        <w:trPr>
          <w:trHeight w:val="375"/>
        </w:trPr>
        <w:tc>
          <w:tcPr>
            <w:tcW w:w="2405" w:type="dxa"/>
            <w:tcBorders>
              <w:top w:val="nil"/>
              <w:bottom w:val="nil"/>
              <w:right w:val="nil"/>
            </w:tcBorders>
            <w:shd w:val="clear" w:color="auto" w:fill="auto"/>
            <w:noWrap/>
            <w:vAlign w:val="center"/>
            <w:hideMark/>
          </w:tcPr>
          <w:p w14:paraId="1572133D"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5006A3">
              <w:rPr>
                <w:rFonts w:asciiTheme="minorHAnsi" w:eastAsia="Times New Roman" w:hAnsiTheme="minorHAnsi" w:cstheme="minorHAnsi"/>
                <w:color w:val="000000"/>
                <w:lang w:val="en-AU" w:eastAsia="en-AU" w:bidi="ar-SA"/>
              </w:rPr>
              <w:t>Fluazifop</w:t>
            </w:r>
          </w:p>
        </w:tc>
        <w:tc>
          <w:tcPr>
            <w:tcW w:w="4536" w:type="dxa"/>
            <w:tcBorders>
              <w:top w:val="nil"/>
              <w:left w:val="nil"/>
              <w:bottom w:val="nil"/>
              <w:right w:val="nil"/>
            </w:tcBorders>
            <w:shd w:val="clear" w:color="auto" w:fill="auto"/>
            <w:vAlign w:val="center"/>
            <w:hideMark/>
          </w:tcPr>
          <w:p w14:paraId="1572133E" w14:textId="77777777" w:rsidR="006C730C" w:rsidRPr="00245DC4" w:rsidRDefault="00780FEA" w:rsidP="006C730C">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Herbicide: i</w:t>
            </w:r>
            <w:r w:rsidR="006C730C" w:rsidRPr="006C730C">
              <w:rPr>
                <w:rFonts w:ascii="Calibri" w:eastAsia="Times New Roman" w:hAnsi="Calibri" w:cs="Calibri"/>
                <w:color w:val="000000"/>
                <w:lang w:val="en-AU" w:eastAsia="en-AU" w:bidi="ar-SA"/>
              </w:rPr>
              <w:t>nhibition of acetyl CoA carboxylase</w:t>
            </w:r>
          </w:p>
        </w:tc>
        <w:tc>
          <w:tcPr>
            <w:tcW w:w="1239" w:type="dxa"/>
            <w:tcBorders>
              <w:top w:val="nil"/>
              <w:left w:val="nil"/>
              <w:bottom w:val="nil"/>
              <w:right w:val="nil"/>
            </w:tcBorders>
            <w:vAlign w:val="center"/>
          </w:tcPr>
          <w:p w14:paraId="1572133F" w14:textId="77777777" w:rsidR="006C730C"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Of interest</w:t>
            </w:r>
          </w:p>
        </w:tc>
        <w:tc>
          <w:tcPr>
            <w:tcW w:w="769" w:type="dxa"/>
            <w:gridSpan w:val="2"/>
            <w:tcBorders>
              <w:top w:val="nil"/>
              <w:left w:val="nil"/>
              <w:bottom w:val="nil"/>
              <w:right w:val="nil"/>
            </w:tcBorders>
            <w:shd w:val="clear" w:color="auto" w:fill="auto"/>
            <w:noWrap/>
            <w:vAlign w:val="center"/>
            <w:hideMark/>
          </w:tcPr>
          <w:p w14:paraId="15721340" w14:textId="77777777" w:rsidR="006C730C" w:rsidRPr="00703101" w:rsidRDefault="006C730C" w:rsidP="006C730C">
            <w:pPr>
              <w:jc w:val="center"/>
              <w:rPr>
                <w:rFonts w:ascii="Calibri" w:eastAsia="Times New Roman" w:hAnsi="Calibri" w:cs="Calibri"/>
                <w:color w:val="000000"/>
                <w:lang w:val="en-AU" w:eastAsia="en-AU" w:bidi="ar-SA"/>
              </w:rPr>
            </w:pPr>
            <w:r w:rsidRPr="00703101">
              <w:rPr>
                <w:rFonts w:ascii="Calibri" w:eastAsia="Times New Roman" w:hAnsi="Calibri" w:cs="Calibri"/>
                <w:color w:val="000000"/>
                <w:lang w:val="en-AU" w:eastAsia="en-AU" w:bidi="ar-SA"/>
              </w:rPr>
              <w:t>0.02</w:t>
            </w:r>
          </w:p>
        </w:tc>
        <w:tc>
          <w:tcPr>
            <w:tcW w:w="769" w:type="dxa"/>
            <w:gridSpan w:val="2"/>
            <w:tcBorders>
              <w:top w:val="nil"/>
              <w:left w:val="nil"/>
              <w:bottom w:val="nil"/>
              <w:right w:val="nil"/>
            </w:tcBorders>
            <w:shd w:val="clear" w:color="auto" w:fill="auto"/>
            <w:noWrap/>
            <w:vAlign w:val="center"/>
            <w:hideMark/>
          </w:tcPr>
          <w:p w14:paraId="15721341" w14:textId="77777777" w:rsidR="006C730C" w:rsidRPr="00703101" w:rsidRDefault="006C730C" w:rsidP="006C730C">
            <w:pPr>
              <w:jc w:val="center"/>
              <w:rPr>
                <w:rFonts w:ascii="Calibri" w:eastAsia="Times New Roman" w:hAnsi="Calibri" w:cs="Calibri"/>
                <w:color w:val="000000"/>
                <w:lang w:val="en-AU" w:eastAsia="en-AU" w:bidi="ar-SA"/>
              </w:rPr>
            </w:pPr>
            <w:r w:rsidRPr="00703101">
              <w:rPr>
                <w:rFonts w:ascii="Calibri" w:eastAsia="Times New Roman" w:hAnsi="Calibri" w:cs="Calibri"/>
                <w:color w:val="000000"/>
                <w:lang w:val="en-AU" w:eastAsia="en-AU" w:bidi="ar-SA"/>
              </w:rPr>
              <w:t>0.10</w:t>
            </w:r>
          </w:p>
        </w:tc>
        <w:tc>
          <w:tcPr>
            <w:tcW w:w="770" w:type="dxa"/>
            <w:tcBorders>
              <w:top w:val="nil"/>
              <w:left w:val="nil"/>
              <w:bottom w:val="nil"/>
            </w:tcBorders>
            <w:shd w:val="clear" w:color="000000" w:fill="FFFFFF"/>
            <w:noWrap/>
            <w:vAlign w:val="center"/>
            <w:hideMark/>
          </w:tcPr>
          <w:p w14:paraId="15721342" w14:textId="77777777" w:rsidR="006C730C" w:rsidRDefault="006C730C" w:rsidP="006C730C">
            <w:pPr>
              <w:jc w:val="center"/>
              <w:rPr>
                <w:rFonts w:ascii="Calibri" w:eastAsia="Times New Roman" w:hAnsi="Calibri" w:cs="Calibri"/>
                <w:color w:val="000000"/>
                <w:lang w:val="en-AU" w:eastAsia="en-AU" w:bidi="ar-SA"/>
              </w:rPr>
            </w:pPr>
          </w:p>
        </w:tc>
      </w:tr>
      <w:tr w:rsidR="006C730C" w:rsidRPr="00245DC4" w14:paraId="1572134A" w14:textId="77777777" w:rsidTr="00780FEA">
        <w:trPr>
          <w:trHeight w:val="375"/>
        </w:trPr>
        <w:tc>
          <w:tcPr>
            <w:tcW w:w="2405" w:type="dxa"/>
            <w:tcBorders>
              <w:top w:val="nil"/>
              <w:bottom w:val="nil"/>
              <w:right w:val="nil"/>
            </w:tcBorders>
            <w:shd w:val="clear" w:color="auto" w:fill="auto"/>
            <w:noWrap/>
            <w:vAlign w:val="center"/>
            <w:hideMark/>
          </w:tcPr>
          <w:p w14:paraId="15721344"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5006A3">
              <w:rPr>
                <w:rFonts w:asciiTheme="minorHAnsi" w:eastAsia="Times New Roman" w:hAnsiTheme="minorHAnsi" w:cstheme="minorHAnsi"/>
                <w:color w:val="000000"/>
                <w:lang w:val="en-AU" w:eastAsia="en-AU" w:bidi="ar-SA"/>
              </w:rPr>
              <w:t>Fluometuron</w:t>
            </w:r>
          </w:p>
        </w:tc>
        <w:tc>
          <w:tcPr>
            <w:tcW w:w="4536" w:type="dxa"/>
            <w:tcBorders>
              <w:top w:val="nil"/>
              <w:left w:val="nil"/>
              <w:bottom w:val="nil"/>
              <w:right w:val="nil"/>
            </w:tcBorders>
            <w:shd w:val="clear" w:color="auto" w:fill="auto"/>
            <w:vAlign w:val="center"/>
            <w:hideMark/>
          </w:tcPr>
          <w:p w14:paraId="15721345" w14:textId="77777777" w:rsidR="006C730C" w:rsidRPr="00245DC4" w:rsidRDefault="006C730C" w:rsidP="006C730C">
            <w:pPr>
              <w:jc w:val="left"/>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PSII herbicide – urea</w:t>
            </w:r>
          </w:p>
        </w:tc>
        <w:tc>
          <w:tcPr>
            <w:tcW w:w="1239" w:type="dxa"/>
            <w:tcBorders>
              <w:top w:val="nil"/>
              <w:left w:val="nil"/>
              <w:bottom w:val="nil"/>
              <w:right w:val="nil"/>
            </w:tcBorders>
            <w:vAlign w:val="center"/>
          </w:tcPr>
          <w:p w14:paraId="15721346" w14:textId="77777777" w:rsidR="006C730C"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Of interest</w:t>
            </w:r>
          </w:p>
        </w:tc>
        <w:tc>
          <w:tcPr>
            <w:tcW w:w="769" w:type="dxa"/>
            <w:gridSpan w:val="2"/>
            <w:tcBorders>
              <w:top w:val="nil"/>
              <w:left w:val="nil"/>
              <w:bottom w:val="nil"/>
              <w:right w:val="nil"/>
            </w:tcBorders>
            <w:shd w:val="clear" w:color="auto" w:fill="auto"/>
            <w:noWrap/>
            <w:vAlign w:val="center"/>
            <w:hideMark/>
          </w:tcPr>
          <w:p w14:paraId="15721347" w14:textId="77777777" w:rsidR="006C730C" w:rsidRPr="00245DC4"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0.01</w:t>
            </w:r>
          </w:p>
        </w:tc>
        <w:tc>
          <w:tcPr>
            <w:tcW w:w="769" w:type="dxa"/>
            <w:gridSpan w:val="2"/>
            <w:tcBorders>
              <w:top w:val="nil"/>
              <w:left w:val="nil"/>
              <w:bottom w:val="nil"/>
              <w:right w:val="nil"/>
            </w:tcBorders>
            <w:shd w:val="clear" w:color="auto" w:fill="auto"/>
            <w:noWrap/>
            <w:vAlign w:val="center"/>
            <w:hideMark/>
          </w:tcPr>
          <w:p w14:paraId="15721348" w14:textId="77777777" w:rsidR="006C730C" w:rsidRPr="00245DC4"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0.10</w:t>
            </w:r>
          </w:p>
        </w:tc>
        <w:tc>
          <w:tcPr>
            <w:tcW w:w="770" w:type="dxa"/>
            <w:tcBorders>
              <w:top w:val="nil"/>
              <w:left w:val="nil"/>
              <w:bottom w:val="nil"/>
            </w:tcBorders>
            <w:shd w:val="clear" w:color="000000" w:fill="FFFFFF"/>
            <w:noWrap/>
            <w:vAlign w:val="center"/>
            <w:hideMark/>
          </w:tcPr>
          <w:p w14:paraId="15721349" w14:textId="77777777" w:rsidR="006C730C" w:rsidRDefault="006C730C" w:rsidP="006C730C">
            <w:pPr>
              <w:jc w:val="center"/>
              <w:rPr>
                <w:rFonts w:ascii="Calibri" w:eastAsia="Times New Roman" w:hAnsi="Calibri" w:cs="Calibri"/>
                <w:color w:val="000000"/>
                <w:lang w:val="en-AU" w:eastAsia="en-AU" w:bidi="ar-SA"/>
              </w:rPr>
            </w:pPr>
          </w:p>
        </w:tc>
      </w:tr>
      <w:tr w:rsidR="00D706B9" w:rsidRPr="00245DC4" w14:paraId="15721351"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4B" w14:textId="77777777" w:rsidR="00D706B9" w:rsidRPr="00245DC4" w:rsidRDefault="00D706B9" w:rsidP="00955C32">
            <w:pPr>
              <w:jc w:val="left"/>
              <w:rPr>
                <w:rFonts w:asciiTheme="minorHAnsi" w:eastAsia="Times New Roman" w:hAnsiTheme="minorHAnsi" w:cstheme="minorHAnsi"/>
                <w:color w:val="C0504D"/>
                <w:lang w:val="en-AU" w:eastAsia="en-AU" w:bidi="ar-SA"/>
              </w:rPr>
            </w:pPr>
            <w:r w:rsidRPr="00245DC4">
              <w:rPr>
                <w:rFonts w:asciiTheme="minorHAnsi" w:eastAsia="Times New Roman" w:hAnsiTheme="minorHAnsi" w:cstheme="minorHAnsi"/>
                <w:color w:val="C00000"/>
                <w:lang w:val="en-AU" w:eastAsia="en-AU" w:bidi="ar-SA"/>
              </w:rPr>
              <w:t>Fluroxypyr</w:t>
            </w:r>
          </w:p>
        </w:tc>
        <w:tc>
          <w:tcPr>
            <w:tcW w:w="4536" w:type="dxa"/>
            <w:tcBorders>
              <w:top w:val="nil"/>
              <w:bottom w:val="nil"/>
            </w:tcBorders>
            <w:shd w:val="clear" w:color="auto" w:fill="auto"/>
            <w:noWrap/>
            <w:vAlign w:val="center"/>
            <w:hideMark/>
          </w:tcPr>
          <w:p w14:paraId="1572134C"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Pyridine carboxylic acid herbicide</w:t>
            </w:r>
          </w:p>
        </w:tc>
        <w:tc>
          <w:tcPr>
            <w:tcW w:w="1239" w:type="dxa"/>
            <w:tcBorders>
              <w:top w:val="nil"/>
              <w:bottom w:val="nil"/>
            </w:tcBorders>
            <w:vAlign w:val="center"/>
          </w:tcPr>
          <w:p w14:paraId="1572134D"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4E"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0.02</w:t>
            </w:r>
          </w:p>
        </w:tc>
        <w:tc>
          <w:tcPr>
            <w:tcW w:w="769" w:type="dxa"/>
            <w:gridSpan w:val="2"/>
            <w:tcBorders>
              <w:top w:val="nil"/>
              <w:bottom w:val="nil"/>
            </w:tcBorders>
            <w:shd w:val="clear" w:color="auto" w:fill="auto"/>
            <w:noWrap/>
            <w:vAlign w:val="center"/>
            <w:hideMark/>
          </w:tcPr>
          <w:p w14:paraId="1572134F"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top w:val="nil"/>
              <w:bottom w:val="nil"/>
            </w:tcBorders>
            <w:shd w:val="clear" w:color="000000" w:fill="FFFFFF"/>
            <w:noWrap/>
            <w:vAlign w:val="center"/>
            <w:hideMark/>
          </w:tcPr>
          <w:p w14:paraId="15721350"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58"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52"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Glyphosate*</w:t>
            </w:r>
          </w:p>
        </w:tc>
        <w:tc>
          <w:tcPr>
            <w:tcW w:w="4536" w:type="dxa"/>
            <w:tcBorders>
              <w:top w:val="nil"/>
              <w:bottom w:val="nil"/>
            </w:tcBorders>
            <w:shd w:val="clear" w:color="auto" w:fill="auto"/>
            <w:noWrap/>
            <w:vAlign w:val="center"/>
            <w:hideMark/>
          </w:tcPr>
          <w:p w14:paraId="15721353" w14:textId="77777777" w:rsidR="00D706B9" w:rsidRPr="00245DC4" w:rsidRDefault="00D706B9" w:rsidP="00955C32">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B</w:t>
            </w:r>
            <w:r w:rsidRPr="00245DC4">
              <w:rPr>
                <w:rFonts w:ascii="Calibri" w:eastAsia="Times New Roman" w:hAnsi="Calibri" w:cs="Calibri"/>
                <w:color w:val="000000"/>
                <w:lang w:val="en-AU" w:eastAsia="en-AU" w:bidi="ar-SA"/>
              </w:rPr>
              <w:t>road-spectrum systemic herbicide</w:t>
            </w:r>
          </w:p>
        </w:tc>
        <w:tc>
          <w:tcPr>
            <w:tcW w:w="1239" w:type="dxa"/>
            <w:tcBorders>
              <w:top w:val="nil"/>
              <w:bottom w:val="nil"/>
            </w:tcBorders>
            <w:vAlign w:val="center"/>
          </w:tcPr>
          <w:p w14:paraId="15721354"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55" w14:textId="77777777" w:rsidR="00D706B9" w:rsidRPr="00245DC4" w:rsidRDefault="00D706B9" w:rsidP="00955C32">
            <w:pPr>
              <w:jc w:val="center"/>
              <w:rPr>
                <w:rFonts w:ascii="Calibri" w:eastAsia="Times New Roman" w:hAnsi="Calibri" w:cs="Calibri"/>
                <w:color w:val="000000"/>
                <w:lang w:val="en-AU" w:eastAsia="en-AU" w:bidi="ar-SA"/>
              </w:rPr>
            </w:pPr>
          </w:p>
        </w:tc>
        <w:tc>
          <w:tcPr>
            <w:tcW w:w="769" w:type="dxa"/>
            <w:gridSpan w:val="2"/>
            <w:tcBorders>
              <w:top w:val="nil"/>
              <w:bottom w:val="nil"/>
            </w:tcBorders>
            <w:shd w:val="clear" w:color="auto" w:fill="auto"/>
            <w:noWrap/>
            <w:vAlign w:val="center"/>
            <w:hideMark/>
          </w:tcPr>
          <w:p w14:paraId="15721356" w14:textId="77777777" w:rsidR="00D706B9" w:rsidRPr="00245DC4" w:rsidRDefault="00D706B9" w:rsidP="00955C32">
            <w:pPr>
              <w:jc w:val="center"/>
              <w:rPr>
                <w:rFonts w:ascii="Calibri" w:eastAsia="Times New Roman" w:hAnsi="Calibri" w:cs="Calibri"/>
                <w:color w:val="000000"/>
                <w:lang w:val="en-AU" w:eastAsia="en-AU" w:bidi="ar-SA"/>
              </w:rPr>
            </w:pPr>
          </w:p>
        </w:tc>
        <w:tc>
          <w:tcPr>
            <w:tcW w:w="770" w:type="dxa"/>
            <w:tcBorders>
              <w:top w:val="nil"/>
              <w:bottom w:val="nil"/>
            </w:tcBorders>
            <w:shd w:val="clear" w:color="000000" w:fill="FFFFFF"/>
            <w:noWrap/>
            <w:vAlign w:val="center"/>
            <w:hideMark/>
          </w:tcPr>
          <w:p w14:paraId="15721357"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5F"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59"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Haloxyfop</w:t>
            </w:r>
          </w:p>
        </w:tc>
        <w:tc>
          <w:tcPr>
            <w:tcW w:w="4536" w:type="dxa"/>
            <w:tcBorders>
              <w:top w:val="nil"/>
              <w:bottom w:val="nil"/>
            </w:tcBorders>
            <w:shd w:val="clear" w:color="auto" w:fill="auto"/>
            <w:noWrap/>
            <w:vAlign w:val="center"/>
            <w:hideMark/>
          </w:tcPr>
          <w:p w14:paraId="1572135A"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Aryloxyphenoxy-propionate herbicide</w:t>
            </w:r>
          </w:p>
        </w:tc>
        <w:tc>
          <w:tcPr>
            <w:tcW w:w="1239" w:type="dxa"/>
            <w:tcBorders>
              <w:top w:val="nil"/>
              <w:bottom w:val="nil"/>
            </w:tcBorders>
            <w:vAlign w:val="center"/>
          </w:tcPr>
          <w:p w14:paraId="1572135B"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5C"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0.04</w:t>
            </w:r>
          </w:p>
        </w:tc>
        <w:tc>
          <w:tcPr>
            <w:tcW w:w="769" w:type="dxa"/>
            <w:gridSpan w:val="2"/>
            <w:tcBorders>
              <w:top w:val="nil"/>
              <w:bottom w:val="nil"/>
            </w:tcBorders>
            <w:shd w:val="clear" w:color="auto" w:fill="auto"/>
            <w:noWrap/>
            <w:vAlign w:val="center"/>
            <w:hideMark/>
          </w:tcPr>
          <w:p w14:paraId="1572135D"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0.13</w:t>
            </w:r>
          </w:p>
        </w:tc>
        <w:tc>
          <w:tcPr>
            <w:tcW w:w="770" w:type="dxa"/>
            <w:tcBorders>
              <w:top w:val="nil"/>
              <w:bottom w:val="nil"/>
            </w:tcBorders>
            <w:shd w:val="clear" w:color="000000" w:fill="FFFFFF"/>
            <w:noWrap/>
            <w:vAlign w:val="center"/>
            <w:hideMark/>
          </w:tcPr>
          <w:p w14:paraId="1572135E"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66"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60"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Hexazinone</w:t>
            </w:r>
          </w:p>
        </w:tc>
        <w:tc>
          <w:tcPr>
            <w:tcW w:w="4536" w:type="dxa"/>
            <w:tcBorders>
              <w:top w:val="nil"/>
              <w:bottom w:val="nil"/>
            </w:tcBorders>
            <w:shd w:val="clear" w:color="auto" w:fill="auto"/>
            <w:vAlign w:val="center"/>
            <w:hideMark/>
          </w:tcPr>
          <w:p w14:paraId="15721361"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PSII herbicide</w:t>
            </w:r>
            <w:r w:rsidR="00780FEA" w:rsidRPr="00245DC4">
              <w:rPr>
                <w:rFonts w:ascii="Calibri" w:eastAsia="Times New Roman" w:hAnsi="Calibri" w:cs="Calibri"/>
                <w:color w:val="000000"/>
                <w:lang w:val="en-AU" w:eastAsia="en-AU" w:bidi="ar-SA"/>
              </w:rPr>
              <w:t xml:space="preserve"> </w:t>
            </w:r>
            <w:r w:rsidR="00780FEA">
              <w:rPr>
                <w:rFonts w:ascii="Calibri" w:eastAsia="Times New Roman" w:hAnsi="Calibri" w:cs="Calibri"/>
                <w:color w:val="000000"/>
                <w:lang w:val="en-AU" w:eastAsia="en-AU" w:bidi="ar-SA"/>
              </w:rPr>
              <w:t>–</w:t>
            </w:r>
            <w:r w:rsidR="00780FEA" w:rsidRPr="00245DC4">
              <w:rPr>
                <w:rFonts w:ascii="Calibri" w:eastAsia="Times New Roman" w:hAnsi="Calibri" w:cs="Calibri"/>
                <w:color w:val="000000"/>
                <w:lang w:val="en-AU" w:eastAsia="en-AU" w:bidi="ar-SA"/>
              </w:rPr>
              <w:t xml:space="preserve"> </w:t>
            </w:r>
            <w:r w:rsidRPr="00245DC4">
              <w:rPr>
                <w:rFonts w:ascii="Calibri" w:eastAsia="Times New Roman" w:hAnsi="Calibri" w:cs="Calibri"/>
                <w:color w:val="000000"/>
                <w:lang w:val="en-AU" w:eastAsia="en-AU" w:bidi="ar-SA"/>
              </w:rPr>
              <w:t>triazinone</w:t>
            </w:r>
          </w:p>
        </w:tc>
        <w:tc>
          <w:tcPr>
            <w:tcW w:w="1239" w:type="dxa"/>
            <w:tcBorders>
              <w:top w:val="nil"/>
              <w:bottom w:val="nil"/>
            </w:tcBorders>
            <w:vAlign w:val="center"/>
          </w:tcPr>
          <w:p w14:paraId="15721362"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63"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0.01</w:t>
            </w:r>
          </w:p>
        </w:tc>
        <w:tc>
          <w:tcPr>
            <w:tcW w:w="769" w:type="dxa"/>
            <w:gridSpan w:val="2"/>
            <w:tcBorders>
              <w:top w:val="nil"/>
              <w:bottom w:val="nil"/>
            </w:tcBorders>
            <w:shd w:val="clear" w:color="auto" w:fill="auto"/>
            <w:noWrap/>
            <w:vAlign w:val="center"/>
            <w:hideMark/>
          </w:tcPr>
          <w:p w14:paraId="15721364"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top w:val="nil"/>
              <w:bottom w:val="nil"/>
            </w:tcBorders>
            <w:shd w:val="clear" w:color="000000" w:fill="FFFFFF"/>
            <w:noWrap/>
            <w:vAlign w:val="center"/>
            <w:hideMark/>
          </w:tcPr>
          <w:p w14:paraId="15721365"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6D"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67" w14:textId="77777777" w:rsidR="00D706B9" w:rsidRPr="00245DC4" w:rsidRDefault="00D706B9" w:rsidP="00955C32">
            <w:pPr>
              <w:jc w:val="left"/>
              <w:rPr>
                <w:rFonts w:asciiTheme="minorHAnsi" w:eastAsia="Times New Roman" w:hAnsiTheme="minorHAnsi" w:cstheme="minorHAnsi"/>
                <w:color w:val="C0504D"/>
                <w:lang w:val="en-AU" w:eastAsia="en-AU" w:bidi="ar-SA"/>
              </w:rPr>
            </w:pPr>
            <w:r w:rsidRPr="00245DC4">
              <w:rPr>
                <w:rFonts w:asciiTheme="minorHAnsi" w:eastAsia="Times New Roman" w:hAnsiTheme="minorHAnsi" w:cstheme="minorHAnsi"/>
                <w:color w:val="C00000"/>
                <w:lang w:val="en-AU" w:eastAsia="en-AU" w:bidi="ar-SA"/>
              </w:rPr>
              <w:t>Imazapic</w:t>
            </w:r>
          </w:p>
        </w:tc>
        <w:tc>
          <w:tcPr>
            <w:tcW w:w="4536" w:type="dxa"/>
            <w:tcBorders>
              <w:top w:val="nil"/>
              <w:bottom w:val="nil"/>
            </w:tcBorders>
            <w:shd w:val="clear" w:color="auto" w:fill="auto"/>
            <w:noWrap/>
            <w:vAlign w:val="center"/>
            <w:hideMark/>
          </w:tcPr>
          <w:p w14:paraId="15721368"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Imidazolinone herbicide</w:t>
            </w:r>
          </w:p>
        </w:tc>
        <w:tc>
          <w:tcPr>
            <w:tcW w:w="1239" w:type="dxa"/>
            <w:tcBorders>
              <w:top w:val="nil"/>
              <w:bottom w:val="nil"/>
            </w:tcBorders>
            <w:vAlign w:val="center"/>
          </w:tcPr>
          <w:p w14:paraId="15721369"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6A"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0.02</w:t>
            </w:r>
          </w:p>
        </w:tc>
        <w:tc>
          <w:tcPr>
            <w:tcW w:w="769" w:type="dxa"/>
            <w:gridSpan w:val="2"/>
            <w:tcBorders>
              <w:top w:val="nil"/>
              <w:bottom w:val="nil"/>
            </w:tcBorders>
            <w:shd w:val="clear" w:color="auto" w:fill="auto"/>
            <w:noWrap/>
            <w:vAlign w:val="center"/>
            <w:hideMark/>
          </w:tcPr>
          <w:p w14:paraId="1572136B"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top w:val="nil"/>
              <w:bottom w:val="nil"/>
            </w:tcBorders>
            <w:shd w:val="clear" w:color="000000" w:fill="FFFFFF"/>
            <w:noWrap/>
            <w:vAlign w:val="center"/>
            <w:hideMark/>
          </w:tcPr>
          <w:p w14:paraId="1572136C"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74" w14:textId="77777777" w:rsidTr="00780FEA">
        <w:trPr>
          <w:trHeight w:val="375"/>
        </w:trPr>
        <w:tc>
          <w:tcPr>
            <w:tcW w:w="2405" w:type="dxa"/>
            <w:tcBorders>
              <w:top w:val="nil"/>
              <w:bottom w:val="nil"/>
            </w:tcBorders>
            <w:shd w:val="clear" w:color="000000" w:fill="FFFFFF"/>
            <w:noWrap/>
            <w:vAlign w:val="center"/>
            <w:hideMark/>
          </w:tcPr>
          <w:p w14:paraId="1572136E" w14:textId="77777777" w:rsidR="00D706B9" w:rsidRPr="00245DC4" w:rsidRDefault="00D706B9" w:rsidP="00955C32">
            <w:pPr>
              <w:jc w:val="left"/>
              <w:rPr>
                <w:rFonts w:asciiTheme="minorHAnsi" w:eastAsia="Times New Roman" w:hAnsiTheme="minorHAnsi" w:cstheme="minorHAnsi"/>
                <w:color w:val="C0504D"/>
                <w:lang w:val="en-AU" w:eastAsia="en-AU" w:bidi="ar-SA"/>
              </w:rPr>
            </w:pPr>
            <w:r w:rsidRPr="00245DC4">
              <w:rPr>
                <w:rFonts w:asciiTheme="minorHAnsi" w:eastAsia="Times New Roman" w:hAnsiTheme="minorHAnsi" w:cstheme="minorHAnsi"/>
                <w:color w:val="C00000"/>
                <w:lang w:val="en-AU" w:eastAsia="en-AU" w:bidi="ar-SA"/>
              </w:rPr>
              <w:t>Imidacloprid</w:t>
            </w:r>
          </w:p>
        </w:tc>
        <w:tc>
          <w:tcPr>
            <w:tcW w:w="4536" w:type="dxa"/>
            <w:tcBorders>
              <w:top w:val="nil"/>
              <w:bottom w:val="nil"/>
            </w:tcBorders>
            <w:shd w:val="clear" w:color="auto" w:fill="auto"/>
            <w:noWrap/>
            <w:vAlign w:val="center"/>
            <w:hideMark/>
          </w:tcPr>
          <w:p w14:paraId="1572136F" w14:textId="77777777" w:rsidR="00D706B9" w:rsidRPr="00245DC4" w:rsidRDefault="00D706B9" w:rsidP="00955C32">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N</w:t>
            </w:r>
            <w:r w:rsidRPr="00245DC4">
              <w:rPr>
                <w:rFonts w:ascii="Calibri" w:eastAsia="Times New Roman" w:hAnsi="Calibri" w:cs="Calibri"/>
                <w:color w:val="000000"/>
                <w:lang w:val="en-AU" w:eastAsia="en-AU" w:bidi="ar-SA"/>
              </w:rPr>
              <w:t>eonicotinoid insecticide</w:t>
            </w:r>
          </w:p>
        </w:tc>
        <w:tc>
          <w:tcPr>
            <w:tcW w:w="1239" w:type="dxa"/>
            <w:tcBorders>
              <w:top w:val="nil"/>
              <w:bottom w:val="nil"/>
            </w:tcBorders>
            <w:vAlign w:val="center"/>
          </w:tcPr>
          <w:p w14:paraId="15721370"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71"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0.01</w:t>
            </w:r>
          </w:p>
        </w:tc>
        <w:tc>
          <w:tcPr>
            <w:tcW w:w="769" w:type="dxa"/>
            <w:gridSpan w:val="2"/>
            <w:tcBorders>
              <w:top w:val="nil"/>
              <w:bottom w:val="nil"/>
            </w:tcBorders>
            <w:shd w:val="clear" w:color="auto" w:fill="auto"/>
            <w:noWrap/>
            <w:vAlign w:val="center"/>
            <w:hideMark/>
          </w:tcPr>
          <w:p w14:paraId="15721372"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top w:val="nil"/>
              <w:bottom w:val="nil"/>
            </w:tcBorders>
            <w:shd w:val="clear" w:color="000000" w:fill="FFFFFF"/>
            <w:noWrap/>
            <w:vAlign w:val="center"/>
            <w:hideMark/>
          </w:tcPr>
          <w:p w14:paraId="15721373"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7B" w14:textId="77777777" w:rsidTr="00FD1599">
        <w:trPr>
          <w:trHeight w:val="375"/>
        </w:trPr>
        <w:tc>
          <w:tcPr>
            <w:tcW w:w="2405" w:type="dxa"/>
            <w:tcBorders>
              <w:top w:val="nil"/>
              <w:bottom w:val="nil"/>
            </w:tcBorders>
            <w:shd w:val="clear" w:color="auto" w:fill="DBE5F1" w:themeFill="accent1" w:themeFillTint="33"/>
            <w:noWrap/>
            <w:vAlign w:val="center"/>
            <w:hideMark/>
          </w:tcPr>
          <w:p w14:paraId="15721375"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Isoxaflutole and DKN*</w:t>
            </w:r>
          </w:p>
        </w:tc>
        <w:tc>
          <w:tcPr>
            <w:tcW w:w="4536" w:type="dxa"/>
            <w:tcBorders>
              <w:top w:val="nil"/>
              <w:bottom w:val="nil"/>
            </w:tcBorders>
            <w:shd w:val="clear" w:color="auto" w:fill="auto"/>
            <w:noWrap/>
            <w:vAlign w:val="center"/>
            <w:hideMark/>
          </w:tcPr>
          <w:p w14:paraId="15721376"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Isoxazole herbicide</w:t>
            </w:r>
          </w:p>
        </w:tc>
        <w:tc>
          <w:tcPr>
            <w:tcW w:w="1239" w:type="dxa"/>
            <w:tcBorders>
              <w:top w:val="nil"/>
              <w:bottom w:val="nil"/>
            </w:tcBorders>
            <w:vAlign w:val="center"/>
          </w:tcPr>
          <w:p w14:paraId="15721377"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tcPr>
          <w:p w14:paraId="15721378" w14:textId="0323F665" w:rsidR="00D706B9" w:rsidRPr="00245DC4" w:rsidRDefault="00D706B9" w:rsidP="00955C32">
            <w:pPr>
              <w:jc w:val="center"/>
              <w:rPr>
                <w:rFonts w:ascii="Calibri" w:eastAsia="Times New Roman" w:hAnsi="Calibri" w:cs="Calibri"/>
                <w:color w:val="000000"/>
                <w:lang w:val="en-AU" w:eastAsia="en-AU" w:bidi="ar-SA"/>
              </w:rPr>
            </w:pPr>
          </w:p>
        </w:tc>
        <w:tc>
          <w:tcPr>
            <w:tcW w:w="769" w:type="dxa"/>
            <w:gridSpan w:val="2"/>
            <w:tcBorders>
              <w:top w:val="nil"/>
              <w:bottom w:val="nil"/>
            </w:tcBorders>
            <w:shd w:val="clear" w:color="auto" w:fill="auto"/>
            <w:noWrap/>
            <w:vAlign w:val="center"/>
          </w:tcPr>
          <w:p w14:paraId="15721379" w14:textId="78BCEED9" w:rsidR="00D706B9" w:rsidRPr="00245DC4" w:rsidRDefault="00D706B9" w:rsidP="00955C32">
            <w:pPr>
              <w:jc w:val="center"/>
              <w:rPr>
                <w:rFonts w:ascii="Calibri" w:eastAsia="Times New Roman" w:hAnsi="Calibri" w:cs="Calibri"/>
                <w:color w:val="000000"/>
                <w:lang w:val="en-AU" w:eastAsia="en-AU" w:bidi="ar-SA"/>
              </w:rPr>
            </w:pPr>
          </w:p>
        </w:tc>
        <w:tc>
          <w:tcPr>
            <w:tcW w:w="770" w:type="dxa"/>
            <w:tcBorders>
              <w:top w:val="nil"/>
              <w:bottom w:val="nil"/>
            </w:tcBorders>
            <w:shd w:val="clear" w:color="000000" w:fill="FFFFFF"/>
            <w:noWrap/>
            <w:vAlign w:val="center"/>
            <w:hideMark/>
          </w:tcPr>
          <w:p w14:paraId="1572137A"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82"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7C"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MCPA</w:t>
            </w:r>
          </w:p>
        </w:tc>
        <w:tc>
          <w:tcPr>
            <w:tcW w:w="4536" w:type="dxa"/>
            <w:tcBorders>
              <w:top w:val="nil"/>
              <w:bottom w:val="nil"/>
            </w:tcBorders>
            <w:shd w:val="clear" w:color="auto" w:fill="auto"/>
            <w:noWrap/>
            <w:vAlign w:val="center"/>
            <w:hideMark/>
          </w:tcPr>
          <w:p w14:paraId="1572137D"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Phenoxy-carboxylic-acid herbicide</w:t>
            </w:r>
          </w:p>
        </w:tc>
        <w:tc>
          <w:tcPr>
            <w:tcW w:w="1239" w:type="dxa"/>
            <w:tcBorders>
              <w:top w:val="nil"/>
              <w:bottom w:val="nil"/>
            </w:tcBorders>
            <w:vAlign w:val="center"/>
          </w:tcPr>
          <w:p w14:paraId="1572137E"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7F"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0.05</w:t>
            </w:r>
          </w:p>
        </w:tc>
        <w:tc>
          <w:tcPr>
            <w:tcW w:w="769" w:type="dxa"/>
            <w:gridSpan w:val="2"/>
            <w:tcBorders>
              <w:top w:val="nil"/>
              <w:bottom w:val="nil"/>
            </w:tcBorders>
            <w:shd w:val="clear" w:color="auto" w:fill="auto"/>
            <w:noWrap/>
            <w:vAlign w:val="center"/>
            <w:hideMark/>
          </w:tcPr>
          <w:p w14:paraId="15721380"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0.14</w:t>
            </w:r>
          </w:p>
        </w:tc>
        <w:tc>
          <w:tcPr>
            <w:tcW w:w="770" w:type="dxa"/>
            <w:tcBorders>
              <w:top w:val="nil"/>
              <w:bottom w:val="nil"/>
            </w:tcBorders>
            <w:shd w:val="clear" w:color="000000" w:fill="FFFFFF"/>
            <w:noWrap/>
            <w:vAlign w:val="center"/>
            <w:hideMark/>
          </w:tcPr>
          <w:p w14:paraId="15721381" w14:textId="77777777" w:rsidR="00D706B9" w:rsidRPr="00245DC4" w:rsidRDefault="00D706B9" w:rsidP="00955C32">
            <w:pPr>
              <w:jc w:val="center"/>
              <w:rPr>
                <w:rFonts w:ascii="Calibri" w:eastAsia="Times New Roman" w:hAnsi="Calibri" w:cs="Calibri"/>
                <w:color w:val="000000"/>
                <w:lang w:val="en-AU" w:eastAsia="en-AU" w:bidi="ar-SA"/>
              </w:rPr>
            </w:pPr>
          </w:p>
        </w:tc>
      </w:tr>
      <w:tr w:rsidR="006C730C" w:rsidRPr="00245DC4" w14:paraId="15721389" w14:textId="77777777" w:rsidTr="00703101">
        <w:trPr>
          <w:trHeight w:val="375"/>
        </w:trPr>
        <w:tc>
          <w:tcPr>
            <w:tcW w:w="2405" w:type="dxa"/>
            <w:tcBorders>
              <w:top w:val="nil"/>
              <w:bottom w:val="nil"/>
              <w:right w:val="nil"/>
            </w:tcBorders>
            <w:shd w:val="clear" w:color="auto" w:fill="auto"/>
            <w:noWrap/>
            <w:vAlign w:val="center"/>
            <w:hideMark/>
          </w:tcPr>
          <w:p w14:paraId="15721383"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5006A3">
              <w:rPr>
                <w:rFonts w:asciiTheme="minorHAnsi" w:eastAsia="Times New Roman" w:hAnsiTheme="minorHAnsi" w:cstheme="minorHAnsi"/>
                <w:color w:val="000000"/>
                <w:lang w:val="en-AU" w:eastAsia="en-AU" w:bidi="ar-SA"/>
              </w:rPr>
              <w:t>Mesosulfuron methyl*</w:t>
            </w:r>
          </w:p>
        </w:tc>
        <w:tc>
          <w:tcPr>
            <w:tcW w:w="4536" w:type="dxa"/>
            <w:tcBorders>
              <w:top w:val="nil"/>
              <w:left w:val="nil"/>
              <w:bottom w:val="nil"/>
              <w:right w:val="nil"/>
            </w:tcBorders>
            <w:shd w:val="clear" w:color="auto" w:fill="auto"/>
            <w:noWrap/>
            <w:vAlign w:val="center"/>
            <w:hideMark/>
          </w:tcPr>
          <w:p w14:paraId="15721384" w14:textId="77777777" w:rsidR="006C730C" w:rsidRPr="00245DC4" w:rsidRDefault="00780FEA" w:rsidP="00780FEA">
            <w:pPr>
              <w:ind w:right="-106"/>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 xml:space="preserve">Herbicide: </w:t>
            </w:r>
            <w:r w:rsidRPr="006C730C">
              <w:rPr>
                <w:rFonts w:ascii="Calibri" w:eastAsia="Times New Roman" w:hAnsi="Calibri" w:cs="Calibri"/>
                <w:color w:val="000000"/>
                <w:lang w:val="en-AU" w:eastAsia="en-AU" w:bidi="ar-SA"/>
              </w:rPr>
              <w:t xml:space="preserve">acetolactate synthase </w:t>
            </w:r>
            <w:r>
              <w:rPr>
                <w:rFonts w:ascii="Calibri" w:eastAsia="Times New Roman" w:hAnsi="Calibri" w:cs="Calibri"/>
                <w:color w:val="000000"/>
                <w:lang w:val="en-AU" w:eastAsia="en-AU" w:bidi="ar-SA"/>
              </w:rPr>
              <w:t>(</w:t>
            </w:r>
            <w:r w:rsidRPr="006C730C">
              <w:rPr>
                <w:rFonts w:ascii="Calibri" w:eastAsia="Times New Roman" w:hAnsi="Calibri" w:cs="Calibri"/>
                <w:color w:val="000000"/>
                <w:lang w:val="en-AU" w:eastAsia="en-AU" w:bidi="ar-SA"/>
              </w:rPr>
              <w:t>ALS</w:t>
            </w:r>
            <w:r>
              <w:rPr>
                <w:rFonts w:ascii="Calibri" w:eastAsia="Times New Roman" w:hAnsi="Calibri" w:cs="Calibri"/>
                <w:color w:val="000000"/>
                <w:lang w:val="en-AU" w:eastAsia="en-AU" w:bidi="ar-SA"/>
              </w:rPr>
              <w:t>) inhibition</w:t>
            </w:r>
          </w:p>
        </w:tc>
        <w:tc>
          <w:tcPr>
            <w:tcW w:w="1239" w:type="dxa"/>
            <w:tcBorders>
              <w:top w:val="nil"/>
              <w:left w:val="nil"/>
              <w:bottom w:val="nil"/>
              <w:right w:val="nil"/>
            </w:tcBorders>
            <w:shd w:val="clear" w:color="auto" w:fill="auto"/>
            <w:vAlign w:val="center"/>
          </w:tcPr>
          <w:p w14:paraId="15721385" w14:textId="77777777" w:rsidR="006C730C" w:rsidRDefault="006C730C" w:rsidP="006C730C">
            <w:pPr>
              <w:jc w:val="center"/>
              <w:rPr>
                <w:rFonts w:ascii="Calibri" w:eastAsia="Times New Roman" w:hAnsi="Calibri" w:cs="Calibri"/>
                <w:color w:val="000000"/>
                <w:lang w:val="en-AU" w:eastAsia="en-AU" w:bidi="ar-SA"/>
              </w:rPr>
            </w:pPr>
            <w:r w:rsidRPr="006C730C">
              <w:rPr>
                <w:rFonts w:ascii="Calibri" w:eastAsia="Times New Roman" w:hAnsi="Calibri" w:cs="Calibri"/>
                <w:color w:val="000000"/>
                <w:lang w:val="en-AU" w:eastAsia="en-AU" w:bidi="ar-SA"/>
              </w:rPr>
              <w:t>Of interest</w:t>
            </w:r>
          </w:p>
        </w:tc>
        <w:tc>
          <w:tcPr>
            <w:tcW w:w="769" w:type="dxa"/>
            <w:gridSpan w:val="2"/>
            <w:tcBorders>
              <w:top w:val="nil"/>
              <w:left w:val="nil"/>
              <w:bottom w:val="nil"/>
              <w:right w:val="nil"/>
            </w:tcBorders>
            <w:shd w:val="clear" w:color="auto" w:fill="auto"/>
            <w:noWrap/>
            <w:vAlign w:val="center"/>
          </w:tcPr>
          <w:p w14:paraId="15721386" w14:textId="17B51477" w:rsidR="006C730C" w:rsidRPr="00245DC4" w:rsidRDefault="006C730C" w:rsidP="006C730C">
            <w:pPr>
              <w:jc w:val="center"/>
              <w:rPr>
                <w:rFonts w:ascii="Calibri" w:eastAsia="Times New Roman" w:hAnsi="Calibri" w:cs="Calibri"/>
                <w:color w:val="000000"/>
                <w:lang w:val="en-AU" w:eastAsia="en-AU" w:bidi="ar-SA"/>
              </w:rPr>
            </w:pPr>
          </w:p>
        </w:tc>
        <w:tc>
          <w:tcPr>
            <w:tcW w:w="769" w:type="dxa"/>
            <w:gridSpan w:val="2"/>
            <w:tcBorders>
              <w:top w:val="nil"/>
              <w:left w:val="nil"/>
              <w:bottom w:val="nil"/>
              <w:right w:val="nil"/>
            </w:tcBorders>
            <w:shd w:val="clear" w:color="auto" w:fill="auto"/>
            <w:noWrap/>
            <w:vAlign w:val="center"/>
          </w:tcPr>
          <w:p w14:paraId="15721387" w14:textId="554A1FDC" w:rsidR="006C730C" w:rsidRPr="00245DC4" w:rsidRDefault="006C730C" w:rsidP="006C730C">
            <w:pPr>
              <w:jc w:val="center"/>
              <w:rPr>
                <w:rFonts w:ascii="Calibri" w:eastAsia="Times New Roman" w:hAnsi="Calibri" w:cs="Calibri"/>
                <w:color w:val="000000"/>
                <w:lang w:val="en-AU" w:eastAsia="en-AU" w:bidi="ar-SA"/>
              </w:rPr>
            </w:pPr>
          </w:p>
        </w:tc>
        <w:tc>
          <w:tcPr>
            <w:tcW w:w="770" w:type="dxa"/>
            <w:tcBorders>
              <w:top w:val="nil"/>
              <w:left w:val="nil"/>
              <w:bottom w:val="nil"/>
            </w:tcBorders>
            <w:shd w:val="clear" w:color="auto" w:fill="auto"/>
            <w:noWrap/>
            <w:vAlign w:val="center"/>
            <w:hideMark/>
          </w:tcPr>
          <w:p w14:paraId="15721388" w14:textId="77777777" w:rsidR="006C730C" w:rsidRDefault="006C730C" w:rsidP="006C730C">
            <w:pPr>
              <w:jc w:val="center"/>
              <w:rPr>
                <w:rFonts w:ascii="Calibri" w:eastAsia="Times New Roman" w:hAnsi="Calibri" w:cs="Calibri"/>
                <w:color w:val="000000"/>
                <w:lang w:val="en-AU" w:eastAsia="en-AU" w:bidi="ar-SA"/>
              </w:rPr>
            </w:pPr>
          </w:p>
        </w:tc>
      </w:tr>
      <w:tr w:rsidR="00D706B9" w:rsidRPr="00245DC4" w14:paraId="15721390"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8A"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Metolachlor</w:t>
            </w:r>
          </w:p>
        </w:tc>
        <w:tc>
          <w:tcPr>
            <w:tcW w:w="4536" w:type="dxa"/>
            <w:tcBorders>
              <w:top w:val="nil"/>
              <w:bottom w:val="nil"/>
            </w:tcBorders>
            <w:shd w:val="clear" w:color="auto" w:fill="auto"/>
            <w:vAlign w:val="center"/>
            <w:hideMark/>
          </w:tcPr>
          <w:p w14:paraId="1572138B"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Chloracetanilide herbicide</w:t>
            </w:r>
          </w:p>
        </w:tc>
        <w:tc>
          <w:tcPr>
            <w:tcW w:w="1239" w:type="dxa"/>
            <w:tcBorders>
              <w:top w:val="nil"/>
              <w:bottom w:val="nil"/>
            </w:tcBorders>
            <w:vAlign w:val="center"/>
          </w:tcPr>
          <w:p w14:paraId="1572138C"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8D"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0.03</w:t>
            </w:r>
          </w:p>
        </w:tc>
        <w:tc>
          <w:tcPr>
            <w:tcW w:w="769" w:type="dxa"/>
            <w:gridSpan w:val="2"/>
            <w:tcBorders>
              <w:top w:val="nil"/>
              <w:bottom w:val="nil"/>
            </w:tcBorders>
            <w:shd w:val="clear" w:color="auto" w:fill="auto"/>
            <w:noWrap/>
            <w:vAlign w:val="center"/>
            <w:hideMark/>
          </w:tcPr>
          <w:p w14:paraId="1572138E"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top w:val="nil"/>
              <w:bottom w:val="nil"/>
            </w:tcBorders>
            <w:shd w:val="clear" w:color="000000" w:fill="FFFFFF"/>
            <w:noWrap/>
            <w:vAlign w:val="center"/>
            <w:hideMark/>
          </w:tcPr>
          <w:p w14:paraId="1572138F"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97"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91" w14:textId="77777777" w:rsidR="00D706B9" w:rsidRPr="00245DC4" w:rsidRDefault="00D706B9" w:rsidP="00955C32">
            <w:pPr>
              <w:jc w:val="left"/>
              <w:rPr>
                <w:rFonts w:asciiTheme="minorHAnsi" w:eastAsia="Times New Roman" w:hAnsiTheme="minorHAnsi" w:cstheme="minorHAnsi"/>
                <w:color w:val="C00000"/>
                <w:lang w:val="en-AU" w:eastAsia="en-AU" w:bidi="ar-SA"/>
              </w:rPr>
            </w:pPr>
            <w:r w:rsidRPr="00245DC4">
              <w:rPr>
                <w:rFonts w:asciiTheme="minorHAnsi" w:eastAsia="Times New Roman" w:hAnsiTheme="minorHAnsi" w:cstheme="minorHAnsi"/>
                <w:color w:val="C00000"/>
                <w:lang w:val="en-AU" w:eastAsia="en-AU" w:bidi="ar-SA"/>
              </w:rPr>
              <w:t>Metribuzin</w:t>
            </w:r>
          </w:p>
        </w:tc>
        <w:tc>
          <w:tcPr>
            <w:tcW w:w="4536" w:type="dxa"/>
            <w:tcBorders>
              <w:top w:val="nil"/>
              <w:bottom w:val="nil"/>
            </w:tcBorders>
            <w:shd w:val="clear" w:color="auto" w:fill="auto"/>
            <w:vAlign w:val="center"/>
            <w:hideMark/>
          </w:tcPr>
          <w:p w14:paraId="15721392"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PSII herbicide</w:t>
            </w:r>
            <w:r w:rsidR="00780FEA" w:rsidRPr="00245DC4">
              <w:rPr>
                <w:rFonts w:ascii="Calibri" w:eastAsia="Times New Roman" w:hAnsi="Calibri" w:cs="Calibri"/>
                <w:color w:val="000000"/>
                <w:lang w:val="en-AU" w:eastAsia="en-AU" w:bidi="ar-SA"/>
              </w:rPr>
              <w:t xml:space="preserve"> </w:t>
            </w:r>
            <w:r w:rsidR="00780FEA">
              <w:rPr>
                <w:rFonts w:ascii="Calibri" w:eastAsia="Times New Roman" w:hAnsi="Calibri" w:cs="Calibri"/>
                <w:color w:val="000000"/>
                <w:lang w:val="en-AU" w:eastAsia="en-AU" w:bidi="ar-SA"/>
              </w:rPr>
              <w:t>–</w:t>
            </w:r>
            <w:r w:rsidR="00780FEA" w:rsidRPr="00245DC4">
              <w:rPr>
                <w:rFonts w:ascii="Calibri" w:eastAsia="Times New Roman" w:hAnsi="Calibri" w:cs="Calibri"/>
                <w:color w:val="000000"/>
                <w:lang w:val="en-AU" w:eastAsia="en-AU" w:bidi="ar-SA"/>
              </w:rPr>
              <w:t xml:space="preserve"> </w:t>
            </w:r>
            <w:r w:rsidRPr="00245DC4">
              <w:rPr>
                <w:rFonts w:ascii="Calibri" w:eastAsia="Times New Roman" w:hAnsi="Calibri" w:cs="Calibri"/>
                <w:color w:val="000000"/>
                <w:lang w:val="en-AU" w:eastAsia="en-AU" w:bidi="ar-SA"/>
              </w:rPr>
              <w:t>triazinone</w:t>
            </w:r>
          </w:p>
        </w:tc>
        <w:tc>
          <w:tcPr>
            <w:tcW w:w="1239" w:type="dxa"/>
            <w:tcBorders>
              <w:top w:val="nil"/>
              <w:bottom w:val="nil"/>
            </w:tcBorders>
            <w:vAlign w:val="center"/>
          </w:tcPr>
          <w:p w14:paraId="15721393"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94"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0.03</w:t>
            </w:r>
          </w:p>
        </w:tc>
        <w:tc>
          <w:tcPr>
            <w:tcW w:w="769" w:type="dxa"/>
            <w:gridSpan w:val="2"/>
            <w:tcBorders>
              <w:top w:val="nil"/>
              <w:bottom w:val="nil"/>
            </w:tcBorders>
            <w:shd w:val="clear" w:color="auto" w:fill="auto"/>
            <w:noWrap/>
            <w:vAlign w:val="center"/>
            <w:hideMark/>
          </w:tcPr>
          <w:p w14:paraId="15721395" w14:textId="5CF989A1"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w:t>
            </w:r>
            <w:r w:rsidR="00703101">
              <w:rPr>
                <w:rFonts w:ascii="Calibri" w:eastAsia="Times New Roman" w:hAnsi="Calibri" w:cs="Calibri"/>
                <w:color w:val="000000"/>
                <w:lang w:val="en-AU" w:eastAsia="en-AU" w:bidi="ar-SA"/>
              </w:rPr>
              <w:t>1</w:t>
            </w:r>
          </w:p>
        </w:tc>
        <w:tc>
          <w:tcPr>
            <w:tcW w:w="770" w:type="dxa"/>
            <w:tcBorders>
              <w:top w:val="nil"/>
              <w:bottom w:val="nil"/>
            </w:tcBorders>
            <w:shd w:val="clear" w:color="000000" w:fill="FFFFFF"/>
            <w:noWrap/>
            <w:vAlign w:val="center"/>
            <w:hideMark/>
          </w:tcPr>
          <w:p w14:paraId="15721396"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9E" w14:textId="77777777" w:rsidTr="00780FEA">
        <w:trPr>
          <w:trHeight w:val="375"/>
        </w:trPr>
        <w:tc>
          <w:tcPr>
            <w:tcW w:w="2405" w:type="dxa"/>
            <w:tcBorders>
              <w:top w:val="nil"/>
              <w:bottom w:val="nil"/>
            </w:tcBorders>
            <w:shd w:val="clear" w:color="000000" w:fill="FFFFFF"/>
            <w:noWrap/>
            <w:vAlign w:val="center"/>
            <w:hideMark/>
          </w:tcPr>
          <w:p w14:paraId="15721398" w14:textId="77777777" w:rsidR="00D706B9" w:rsidRPr="00245DC4" w:rsidRDefault="00D706B9" w:rsidP="00955C32">
            <w:pPr>
              <w:jc w:val="left"/>
              <w:rPr>
                <w:rFonts w:asciiTheme="minorHAnsi" w:eastAsia="Times New Roman" w:hAnsiTheme="minorHAnsi" w:cstheme="minorHAnsi"/>
                <w:color w:val="C00000"/>
                <w:lang w:val="en-AU" w:eastAsia="en-AU" w:bidi="ar-SA"/>
              </w:rPr>
            </w:pPr>
            <w:r w:rsidRPr="00245DC4">
              <w:rPr>
                <w:rFonts w:asciiTheme="minorHAnsi" w:eastAsia="Times New Roman" w:hAnsiTheme="minorHAnsi" w:cstheme="minorHAnsi"/>
                <w:color w:val="C00000"/>
                <w:lang w:val="en-AU" w:eastAsia="en-AU" w:bidi="ar-SA"/>
              </w:rPr>
              <w:t>Metsulfuron methyl</w:t>
            </w:r>
          </w:p>
        </w:tc>
        <w:tc>
          <w:tcPr>
            <w:tcW w:w="4536" w:type="dxa"/>
            <w:tcBorders>
              <w:top w:val="nil"/>
              <w:bottom w:val="nil"/>
            </w:tcBorders>
            <w:shd w:val="clear" w:color="auto" w:fill="auto"/>
            <w:noWrap/>
            <w:vAlign w:val="center"/>
            <w:hideMark/>
          </w:tcPr>
          <w:p w14:paraId="15721399"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Sulfonylurea herbicide</w:t>
            </w:r>
          </w:p>
        </w:tc>
        <w:tc>
          <w:tcPr>
            <w:tcW w:w="1239" w:type="dxa"/>
            <w:tcBorders>
              <w:top w:val="nil"/>
              <w:bottom w:val="nil"/>
            </w:tcBorders>
            <w:vAlign w:val="center"/>
          </w:tcPr>
          <w:p w14:paraId="1572139A"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9B" w14:textId="4BE25933"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w:t>
            </w:r>
            <w:r w:rsidR="00703101">
              <w:rPr>
                <w:rFonts w:ascii="Calibri" w:eastAsia="Times New Roman" w:hAnsi="Calibri" w:cs="Calibri"/>
                <w:color w:val="000000"/>
                <w:lang w:val="en-AU" w:eastAsia="en-AU" w:bidi="ar-SA"/>
              </w:rPr>
              <w:t>3</w:t>
            </w:r>
          </w:p>
        </w:tc>
        <w:tc>
          <w:tcPr>
            <w:tcW w:w="769" w:type="dxa"/>
            <w:gridSpan w:val="2"/>
            <w:tcBorders>
              <w:top w:val="nil"/>
              <w:bottom w:val="nil"/>
            </w:tcBorders>
            <w:shd w:val="clear" w:color="auto" w:fill="auto"/>
            <w:noWrap/>
            <w:vAlign w:val="center"/>
            <w:hideMark/>
          </w:tcPr>
          <w:p w14:paraId="1572139C"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top w:val="nil"/>
              <w:bottom w:val="nil"/>
            </w:tcBorders>
            <w:shd w:val="clear" w:color="000000" w:fill="FFFFFF"/>
            <w:noWrap/>
            <w:vAlign w:val="center"/>
            <w:hideMark/>
          </w:tcPr>
          <w:p w14:paraId="1572139D" w14:textId="77777777" w:rsidR="00D706B9" w:rsidRPr="00245DC4" w:rsidRDefault="00D706B9" w:rsidP="00955C32">
            <w:pPr>
              <w:jc w:val="center"/>
              <w:rPr>
                <w:rFonts w:ascii="Calibri" w:eastAsia="Times New Roman" w:hAnsi="Calibri" w:cs="Calibri"/>
                <w:color w:val="000000"/>
                <w:lang w:val="en-AU" w:eastAsia="en-AU" w:bidi="ar-SA"/>
              </w:rPr>
            </w:pPr>
          </w:p>
        </w:tc>
      </w:tr>
      <w:tr w:rsidR="006C730C" w:rsidRPr="006C730C" w14:paraId="157213A5" w14:textId="77777777" w:rsidTr="00780FEA">
        <w:trPr>
          <w:trHeight w:val="375"/>
        </w:trPr>
        <w:tc>
          <w:tcPr>
            <w:tcW w:w="2405" w:type="dxa"/>
            <w:tcBorders>
              <w:top w:val="nil"/>
              <w:bottom w:val="nil"/>
              <w:right w:val="nil"/>
            </w:tcBorders>
            <w:shd w:val="clear" w:color="auto" w:fill="auto"/>
            <w:noWrap/>
            <w:vAlign w:val="center"/>
            <w:hideMark/>
          </w:tcPr>
          <w:p w14:paraId="1572139F" w14:textId="77777777" w:rsidR="006C730C" w:rsidRPr="006C730C" w:rsidRDefault="006C730C" w:rsidP="006C730C">
            <w:pPr>
              <w:jc w:val="left"/>
              <w:rPr>
                <w:rFonts w:asciiTheme="minorHAnsi" w:eastAsia="Times New Roman" w:hAnsiTheme="minorHAnsi" w:cstheme="minorHAnsi"/>
                <w:lang w:val="en-AU" w:eastAsia="en-AU" w:bidi="ar-SA"/>
              </w:rPr>
            </w:pPr>
            <w:r w:rsidRPr="006C730C">
              <w:rPr>
                <w:rFonts w:asciiTheme="minorHAnsi" w:eastAsia="Times New Roman" w:hAnsiTheme="minorHAnsi" w:cstheme="minorHAnsi"/>
                <w:lang w:val="en-AU" w:eastAsia="en-AU" w:bidi="ar-SA"/>
              </w:rPr>
              <w:t>MSMA*</w:t>
            </w:r>
          </w:p>
        </w:tc>
        <w:tc>
          <w:tcPr>
            <w:tcW w:w="4536" w:type="dxa"/>
            <w:tcBorders>
              <w:top w:val="nil"/>
              <w:left w:val="nil"/>
              <w:bottom w:val="nil"/>
              <w:right w:val="nil"/>
            </w:tcBorders>
            <w:shd w:val="clear" w:color="auto" w:fill="auto"/>
            <w:noWrap/>
            <w:vAlign w:val="center"/>
            <w:hideMark/>
          </w:tcPr>
          <w:p w14:paraId="157213A0" w14:textId="77777777" w:rsidR="006C730C" w:rsidRPr="006C730C" w:rsidRDefault="00780FEA" w:rsidP="006C730C">
            <w:pPr>
              <w:jc w:val="left"/>
              <w:rPr>
                <w:rFonts w:ascii="Calibri" w:eastAsia="Times New Roman" w:hAnsi="Calibri" w:cs="Calibri"/>
                <w:lang w:val="en-AU" w:eastAsia="en-AU" w:bidi="ar-SA"/>
              </w:rPr>
            </w:pPr>
            <w:r>
              <w:rPr>
                <w:rFonts w:ascii="Calibri" w:eastAsia="Times New Roman" w:hAnsi="Calibri" w:cs="Calibri"/>
                <w:lang w:val="en-AU" w:eastAsia="en-AU" w:bidi="ar-SA"/>
              </w:rPr>
              <w:t>Herbicide: i</w:t>
            </w:r>
            <w:r w:rsidR="006C730C" w:rsidRPr="006C730C">
              <w:rPr>
                <w:rFonts w:ascii="Calibri" w:eastAsia="Times New Roman" w:hAnsi="Calibri" w:cs="Calibri"/>
                <w:lang w:val="en-AU" w:eastAsia="en-AU" w:bidi="ar-SA"/>
              </w:rPr>
              <w:t>nhibition of cell division</w:t>
            </w:r>
          </w:p>
        </w:tc>
        <w:tc>
          <w:tcPr>
            <w:tcW w:w="1239" w:type="dxa"/>
            <w:tcBorders>
              <w:top w:val="nil"/>
              <w:left w:val="nil"/>
              <w:bottom w:val="nil"/>
              <w:right w:val="nil"/>
            </w:tcBorders>
            <w:shd w:val="clear" w:color="auto" w:fill="auto"/>
            <w:vAlign w:val="center"/>
          </w:tcPr>
          <w:p w14:paraId="157213A1" w14:textId="77777777" w:rsidR="006C730C" w:rsidRPr="006C730C" w:rsidRDefault="006C730C" w:rsidP="006C730C">
            <w:pPr>
              <w:jc w:val="center"/>
              <w:rPr>
                <w:rFonts w:ascii="Calibri" w:eastAsia="Times New Roman" w:hAnsi="Calibri" w:cs="Calibri"/>
                <w:lang w:val="en-AU" w:eastAsia="en-AU" w:bidi="ar-SA"/>
              </w:rPr>
            </w:pPr>
            <w:r w:rsidRPr="006C730C">
              <w:rPr>
                <w:rFonts w:ascii="Calibri" w:eastAsia="Times New Roman" w:hAnsi="Calibri" w:cs="Calibri"/>
                <w:lang w:val="en-AU" w:eastAsia="en-AU" w:bidi="ar-SA"/>
              </w:rPr>
              <w:t>Of interest</w:t>
            </w:r>
          </w:p>
        </w:tc>
        <w:tc>
          <w:tcPr>
            <w:tcW w:w="769" w:type="dxa"/>
            <w:gridSpan w:val="2"/>
            <w:tcBorders>
              <w:top w:val="nil"/>
              <w:left w:val="nil"/>
              <w:bottom w:val="nil"/>
              <w:right w:val="nil"/>
            </w:tcBorders>
            <w:shd w:val="clear" w:color="auto" w:fill="auto"/>
            <w:noWrap/>
            <w:vAlign w:val="center"/>
            <w:hideMark/>
          </w:tcPr>
          <w:p w14:paraId="157213A2" w14:textId="77777777" w:rsidR="006C730C" w:rsidRPr="006C730C" w:rsidRDefault="006C730C" w:rsidP="006C730C">
            <w:pPr>
              <w:jc w:val="center"/>
              <w:rPr>
                <w:rFonts w:ascii="Calibri" w:eastAsia="Times New Roman" w:hAnsi="Calibri" w:cs="Calibri"/>
                <w:lang w:val="en-AU" w:eastAsia="en-AU" w:bidi="ar-SA"/>
              </w:rPr>
            </w:pPr>
          </w:p>
        </w:tc>
        <w:tc>
          <w:tcPr>
            <w:tcW w:w="769" w:type="dxa"/>
            <w:gridSpan w:val="2"/>
            <w:tcBorders>
              <w:top w:val="nil"/>
              <w:left w:val="nil"/>
              <w:bottom w:val="nil"/>
              <w:right w:val="nil"/>
            </w:tcBorders>
            <w:shd w:val="clear" w:color="auto" w:fill="auto"/>
            <w:noWrap/>
            <w:vAlign w:val="center"/>
            <w:hideMark/>
          </w:tcPr>
          <w:p w14:paraId="157213A3" w14:textId="77777777" w:rsidR="006C730C" w:rsidRPr="006C730C" w:rsidRDefault="006C730C" w:rsidP="006C730C">
            <w:pPr>
              <w:jc w:val="center"/>
              <w:rPr>
                <w:rFonts w:ascii="Calibri" w:eastAsia="Times New Roman" w:hAnsi="Calibri" w:cs="Calibri"/>
                <w:lang w:val="en-AU" w:eastAsia="en-AU" w:bidi="ar-SA"/>
              </w:rPr>
            </w:pPr>
          </w:p>
        </w:tc>
        <w:tc>
          <w:tcPr>
            <w:tcW w:w="770" w:type="dxa"/>
            <w:tcBorders>
              <w:top w:val="nil"/>
              <w:left w:val="nil"/>
              <w:bottom w:val="nil"/>
            </w:tcBorders>
            <w:shd w:val="clear" w:color="auto" w:fill="auto"/>
            <w:noWrap/>
            <w:vAlign w:val="center"/>
            <w:hideMark/>
          </w:tcPr>
          <w:p w14:paraId="157213A4" w14:textId="77777777" w:rsidR="006C730C" w:rsidRPr="006C730C" w:rsidRDefault="006C730C" w:rsidP="006C730C">
            <w:pPr>
              <w:jc w:val="center"/>
              <w:rPr>
                <w:rFonts w:ascii="Calibri" w:eastAsia="Times New Roman" w:hAnsi="Calibri" w:cs="Calibri"/>
                <w:lang w:val="en-AU" w:eastAsia="en-AU" w:bidi="ar-SA"/>
              </w:rPr>
            </w:pPr>
          </w:p>
        </w:tc>
      </w:tr>
      <w:tr w:rsidR="006C730C" w:rsidRPr="006C730C" w14:paraId="157213AC" w14:textId="77777777" w:rsidTr="00780FEA">
        <w:trPr>
          <w:trHeight w:val="375"/>
        </w:trPr>
        <w:tc>
          <w:tcPr>
            <w:tcW w:w="2405" w:type="dxa"/>
            <w:tcBorders>
              <w:top w:val="nil"/>
              <w:bottom w:val="nil"/>
              <w:right w:val="nil"/>
            </w:tcBorders>
            <w:shd w:val="clear" w:color="auto" w:fill="auto"/>
            <w:noWrap/>
            <w:vAlign w:val="center"/>
            <w:hideMark/>
          </w:tcPr>
          <w:p w14:paraId="157213A6" w14:textId="77777777" w:rsidR="006C730C" w:rsidRPr="006C730C" w:rsidRDefault="006C730C" w:rsidP="006C730C">
            <w:pPr>
              <w:jc w:val="left"/>
              <w:rPr>
                <w:rFonts w:asciiTheme="minorHAnsi" w:eastAsia="Times New Roman" w:hAnsiTheme="minorHAnsi" w:cstheme="minorHAnsi"/>
                <w:lang w:val="en-AU" w:eastAsia="en-AU" w:bidi="ar-SA"/>
              </w:rPr>
            </w:pPr>
            <w:r w:rsidRPr="006C730C">
              <w:rPr>
                <w:rFonts w:asciiTheme="minorHAnsi" w:eastAsia="Times New Roman" w:hAnsiTheme="minorHAnsi" w:cstheme="minorHAnsi"/>
                <w:lang w:val="en-AU" w:eastAsia="en-AU" w:bidi="ar-SA"/>
              </w:rPr>
              <w:t>Paraquat*</w:t>
            </w:r>
          </w:p>
        </w:tc>
        <w:tc>
          <w:tcPr>
            <w:tcW w:w="4536" w:type="dxa"/>
            <w:tcBorders>
              <w:top w:val="nil"/>
              <w:left w:val="nil"/>
              <w:bottom w:val="nil"/>
              <w:right w:val="nil"/>
            </w:tcBorders>
            <w:shd w:val="clear" w:color="auto" w:fill="auto"/>
            <w:noWrap/>
            <w:vAlign w:val="center"/>
            <w:hideMark/>
          </w:tcPr>
          <w:p w14:paraId="157213A7" w14:textId="77777777" w:rsidR="006C730C" w:rsidRPr="006C730C" w:rsidRDefault="005B06AA" w:rsidP="006C730C">
            <w:pPr>
              <w:jc w:val="left"/>
              <w:rPr>
                <w:rFonts w:ascii="Calibri" w:eastAsia="Times New Roman" w:hAnsi="Calibri" w:cs="Calibri"/>
                <w:lang w:val="en-AU" w:eastAsia="en-AU" w:bidi="ar-SA"/>
              </w:rPr>
            </w:pPr>
            <w:r>
              <w:rPr>
                <w:rFonts w:ascii="Calibri" w:eastAsia="Times New Roman" w:hAnsi="Calibri" w:cs="Calibri"/>
                <w:lang w:val="en-AU" w:eastAsia="en-AU" w:bidi="ar-SA"/>
              </w:rPr>
              <w:t>Herbicide: p</w:t>
            </w:r>
            <w:r w:rsidR="006C730C" w:rsidRPr="006C730C">
              <w:rPr>
                <w:rFonts w:ascii="Calibri" w:eastAsia="Times New Roman" w:hAnsi="Calibri" w:cs="Calibri"/>
                <w:lang w:val="en-AU" w:eastAsia="en-AU" w:bidi="ar-SA"/>
              </w:rPr>
              <w:t xml:space="preserve">hotosystem-I-electron diversion </w:t>
            </w:r>
          </w:p>
        </w:tc>
        <w:tc>
          <w:tcPr>
            <w:tcW w:w="1239" w:type="dxa"/>
            <w:tcBorders>
              <w:top w:val="nil"/>
              <w:left w:val="nil"/>
              <w:bottom w:val="nil"/>
              <w:right w:val="nil"/>
            </w:tcBorders>
            <w:shd w:val="clear" w:color="auto" w:fill="auto"/>
            <w:vAlign w:val="center"/>
          </w:tcPr>
          <w:p w14:paraId="157213A8" w14:textId="77777777" w:rsidR="006C730C" w:rsidRPr="006C730C" w:rsidRDefault="006C730C" w:rsidP="006C730C">
            <w:pPr>
              <w:jc w:val="center"/>
              <w:rPr>
                <w:rFonts w:ascii="Calibri" w:eastAsia="Times New Roman" w:hAnsi="Calibri" w:cs="Calibri"/>
                <w:lang w:val="en-AU" w:eastAsia="en-AU" w:bidi="ar-SA"/>
              </w:rPr>
            </w:pPr>
            <w:r w:rsidRPr="006C730C">
              <w:rPr>
                <w:rFonts w:ascii="Calibri" w:eastAsia="Times New Roman" w:hAnsi="Calibri" w:cs="Calibri"/>
                <w:lang w:val="en-AU" w:eastAsia="en-AU" w:bidi="ar-SA"/>
              </w:rPr>
              <w:t>Of interest</w:t>
            </w:r>
          </w:p>
        </w:tc>
        <w:tc>
          <w:tcPr>
            <w:tcW w:w="769" w:type="dxa"/>
            <w:gridSpan w:val="2"/>
            <w:tcBorders>
              <w:top w:val="nil"/>
              <w:left w:val="nil"/>
              <w:bottom w:val="nil"/>
              <w:right w:val="nil"/>
            </w:tcBorders>
            <w:shd w:val="clear" w:color="auto" w:fill="auto"/>
            <w:noWrap/>
            <w:vAlign w:val="center"/>
            <w:hideMark/>
          </w:tcPr>
          <w:p w14:paraId="157213A9" w14:textId="77777777" w:rsidR="006C730C" w:rsidRPr="006C730C" w:rsidRDefault="006C730C" w:rsidP="006C730C">
            <w:pPr>
              <w:jc w:val="center"/>
              <w:rPr>
                <w:rFonts w:ascii="Calibri" w:eastAsia="Times New Roman" w:hAnsi="Calibri" w:cs="Calibri"/>
                <w:lang w:val="en-AU" w:eastAsia="en-AU" w:bidi="ar-SA"/>
              </w:rPr>
            </w:pPr>
          </w:p>
        </w:tc>
        <w:tc>
          <w:tcPr>
            <w:tcW w:w="769" w:type="dxa"/>
            <w:gridSpan w:val="2"/>
            <w:tcBorders>
              <w:top w:val="nil"/>
              <w:left w:val="nil"/>
              <w:bottom w:val="nil"/>
              <w:right w:val="nil"/>
            </w:tcBorders>
            <w:shd w:val="clear" w:color="auto" w:fill="auto"/>
            <w:noWrap/>
            <w:vAlign w:val="center"/>
            <w:hideMark/>
          </w:tcPr>
          <w:p w14:paraId="157213AA" w14:textId="77777777" w:rsidR="006C730C" w:rsidRPr="006C730C" w:rsidRDefault="006C730C" w:rsidP="006C730C">
            <w:pPr>
              <w:jc w:val="center"/>
              <w:rPr>
                <w:rFonts w:ascii="Calibri" w:eastAsia="Times New Roman" w:hAnsi="Calibri" w:cs="Calibri"/>
                <w:lang w:val="en-AU" w:eastAsia="en-AU" w:bidi="ar-SA"/>
              </w:rPr>
            </w:pPr>
          </w:p>
        </w:tc>
        <w:tc>
          <w:tcPr>
            <w:tcW w:w="770" w:type="dxa"/>
            <w:tcBorders>
              <w:top w:val="nil"/>
              <w:left w:val="nil"/>
              <w:bottom w:val="nil"/>
            </w:tcBorders>
            <w:shd w:val="clear" w:color="auto" w:fill="auto"/>
            <w:noWrap/>
            <w:vAlign w:val="center"/>
            <w:hideMark/>
          </w:tcPr>
          <w:p w14:paraId="157213AB" w14:textId="77777777" w:rsidR="006C730C" w:rsidRPr="006C730C" w:rsidRDefault="006C730C" w:rsidP="006C730C">
            <w:pPr>
              <w:jc w:val="center"/>
              <w:rPr>
                <w:rFonts w:ascii="Calibri" w:eastAsia="Times New Roman" w:hAnsi="Calibri" w:cs="Calibri"/>
                <w:lang w:val="en-AU" w:eastAsia="en-AU" w:bidi="ar-SA"/>
              </w:rPr>
            </w:pPr>
          </w:p>
        </w:tc>
      </w:tr>
      <w:tr w:rsidR="00D706B9" w:rsidRPr="00245DC4" w14:paraId="157213B3"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AD"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Pendimethalin</w:t>
            </w:r>
          </w:p>
        </w:tc>
        <w:tc>
          <w:tcPr>
            <w:tcW w:w="4536" w:type="dxa"/>
            <w:tcBorders>
              <w:top w:val="nil"/>
              <w:bottom w:val="nil"/>
            </w:tcBorders>
            <w:shd w:val="clear" w:color="auto" w:fill="auto"/>
            <w:vAlign w:val="center"/>
            <w:hideMark/>
          </w:tcPr>
          <w:p w14:paraId="157213AE"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Dinitroaniline herbicide</w:t>
            </w:r>
          </w:p>
        </w:tc>
        <w:tc>
          <w:tcPr>
            <w:tcW w:w="1239" w:type="dxa"/>
            <w:tcBorders>
              <w:top w:val="nil"/>
              <w:bottom w:val="nil"/>
            </w:tcBorders>
            <w:vAlign w:val="center"/>
          </w:tcPr>
          <w:p w14:paraId="157213AF"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B0" w14:textId="77777777" w:rsidR="00D706B9" w:rsidRPr="00245DC4" w:rsidRDefault="00D706B9" w:rsidP="00955C32">
            <w:pPr>
              <w:jc w:val="center"/>
              <w:rPr>
                <w:rFonts w:ascii="Calibri" w:eastAsia="Times New Roman" w:hAnsi="Calibri" w:cs="Calibri"/>
                <w:color w:val="000000"/>
                <w:lang w:val="en-AU" w:eastAsia="en-AU" w:bidi="ar-SA"/>
              </w:rPr>
            </w:pPr>
          </w:p>
        </w:tc>
        <w:tc>
          <w:tcPr>
            <w:tcW w:w="769" w:type="dxa"/>
            <w:gridSpan w:val="2"/>
            <w:tcBorders>
              <w:top w:val="nil"/>
              <w:bottom w:val="nil"/>
            </w:tcBorders>
            <w:shd w:val="clear" w:color="auto" w:fill="auto"/>
            <w:noWrap/>
            <w:vAlign w:val="center"/>
            <w:hideMark/>
          </w:tcPr>
          <w:p w14:paraId="157213B1" w14:textId="77777777" w:rsidR="00D706B9" w:rsidRPr="00245DC4" w:rsidRDefault="00D706B9" w:rsidP="00955C32">
            <w:pPr>
              <w:jc w:val="center"/>
              <w:rPr>
                <w:rFonts w:ascii="Calibri" w:eastAsia="Times New Roman" w:hAnsi="Calibri" w:cs="Calibri"/>
                <w:color w:val="000000"/>
                <w:lang w:val="en-AU" w:eastAsia="en-AU" w:bidi="ar-SA"/>
              </w:rPr>
            </w:pPr>
          </w:p>
        </w:tc>
        <w:tc>
          <w:tcPr>
            <w:tcW w:w="770" w:type="dxa"/>
            <w:tcBorders>
              <w:top w:val="nil"/>
              <w:bottom w:val="nil"/>
            </w:tcBorders>
            <w:shd w:val="clear" w:color="000000" w:fill="FFFFFF"/>
            <w:noWrap/>
            <w:vAlign w:val="center"/>
            <w:hideMark/>
          </w:tcPr>
          <w:p w14:paraId="157213B2" w14:textId="77777777" w:rsidR="00D706B9" w:rsidRPr="00245DC4" w:rsidRDefault="00D706B9" w:rsidP="00955C3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1.0</w:t>
            </w:r>
          </w:p>
        </w:tc>
      </w:tr>
      <w:tr w:rsidR="00D706B9" w:rsidRPr="00245DC4" w14:paraId="157213BA" w14:textId="77777777" w:rsidTr="00780FEA">
        <w:trPr>
          <w:trHeight w:val="375"/>
        </w:trPr>
        <w:tc>
          <w:tcPr>
            <w:tcW w:w="2405" w:type="dxa"/>
            <w:tcBorders>
              <w:top w:val="nil"/>
              <w:bottom w:val="nil"/>
            </w:tcBorders>
            <w:shd w:val="clear" w:color="000000" w:fill="FFFFFF"/>
            <w:noWrap/>
            <w:vAlign w:val="center"/>
            <w:hideMark/>
          </w:tcPr>
          <w:p w14:paraId="157213B4"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Prometryn</w:t>
            </w:r>
          </w:p>
        </w:tc>
        <w:tc>
          <w:tcPr>
            <w:tcW w:w="4536" w:type="dxa"/>
            <w:tcBorders>
              <w:top w:val="nil"/>
              <w:bottom w:val="nil"/>
            </w:tcBorders>
            <w:shd w:val="clear" w:color="auto" w:fill="auto"/>
            <w:vAlign w:val="center"/>
            <w:hideMark/>
          </w:tcPr>
          <w:p w14:paraId="157213B5"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PSII herbicide</w:t>
            </w:r>
            <w:r w:rsidR="00780FEA" w:rsidRPr="00245DC4">
              <w:rPr>
                <w:rFonts w:ascii="Calibri" w:eastAsia="Times New Roman" w:hAnsi="Calibri" w:cs="Calibri"/>
                <w:color w:val="000000"/>
                <w:lang w:val="en-AU" w:eastAsia="en-AU" w:bidi="ar-SA"/>
              </w:rPr>
              <w:t xml:space="preserve"> </w:t>
            </w:r>
            <w:r w:rsidR="00780FEA">
              <w:rPr>
                <w:rFonts w:ascii="Calibri" w:eastAsia="Times New Roman" w:hAnsi="Calibri" w:cs="Calibri"/>
                <w:color w:val="000000"/>
                <w:lang w:val="en-AU" w:eastAsia="en-AU" w:bidi="ar-SA"/>
              </w:rPr>
              <w:t>–</w:t>
            </w:r>
            <w:r w:rsidR="00780FEA" w:rsidRPr="00245DC4">
              <w:rPr>
                <w:rFonts w:ascii="Calibri" w:eastAsia="Times New Roman" w:hAnsi="Calibri" w:cs="Calibri"/>
                <w:color w:val="000000"/>
                <w:lang w:val="en-AU" w:eastAsia="en-AU" w:bidi="ar-SA"/>
              </w:rPr>
              <w:t xml:space="preserve"> </w:t>
            </w:r>
            <w:r w:rsidRPr="00245DC4">
              <w:rPr>
                <w:rFonts w:ascii="Calibri" w:eastAsia="Times New Roman" w:hAnsi="Calibri" w:cs="Calibri"/>
                <w:color w:val="000000"/>
                <w:lang w:val="en-AU" w:eastAsia="en-AU" w:bidi="ar-SA"/>
              </w:rPr>
              <w:t>methylthiotriazine</w:t>
            </w:r>
          </w:p>
        </w:tc>
        <w:tc>
          <w:tcPr>
            <w:tcW w:w="1239" w:type="dxa"/>
            <w:tcBorders>
              <w:top w:val="nil"/>
              <w:bottom w:val="nil"/>
            </w:tcBorders>
            <w:vAlign w:val="center"/>
          </w:tcPr>
          <w:p w14:paraId="157213B6"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B7"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0.54</w:t>
            </w:r>
          </w:p>
        </w:tc>
        <w:tc>
          <w:tcPr>
            <w:tcW w:w="769" w:type="dxa"/>
            <w:gridSpan w:val="2"/>
            <w:tcBorders>
              <w:top w:val="nil"/>
              <w:bottom w:val="nil"/>
            </w:tcBorders>
            <w:shd w:val="clear" w:color="auto" w:fill="auto"/>
            <w:noWrap/>
            <w:vAlign w:val="center"/>
            <w:hideMark/>
          </w:tcPr>
          <w:p w14:paraId="157213B8"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1.61</w:t>
            </w:r>
          </w:p>
        </w:tc>
        <w:tc>
          <w:tcPr>
            <w:tcW w:w="770" w:type="dxa"/>
            <w:tcBorders>
              <w:top w:val="nil"/>
              <w:bottom w:val="nil"/>
            </w:tcBorders>
            <w:shd w:val="clear" w:color="000000" w:fill="FFFFFF"/>
            <w:noWrap/>
            <w:vAlign w:val="center"/>
            <w:hideMark/>
          </w:tcPr>
          <w:p w14:paraId="157213B9"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C1" w14:textId="77777777" w:rsidTr="00780FEA">
        <w:trPr>
          <w:trHeight w:val="375"/>
        </w:trPr>
        <w:tc>
          <w:tcPr>
            <w:tcW w:w="2405" w:type="dxa"/>
            <w:tcBorders>
              <w:top w:val="nil"/>
              <w:bottom w:val="nil"/>
            </w:tcBorders>
            <w:shd w:val="clear" w:color="000000" w:fill="FFFFFF"/>
            <w:noWrap/>
            <w:vAlign w:val="center"/>
            <w:hideMark/>
          </w:tcPr>
          <w:p w14:paraId="157213BB" w14:textId="77777777" w:rsidR="00D706B9" w:rsidRPr="00245DC4" w:rsidRDefault="00D706B9" w:rsidP="00955C32">
            <w:pPr>
              <w:jc w:val="left"/>
              <w:rPr>
                <w:rFonts w:asciiTheme="minorHAnsi" w:eastAsia="Times New Roman" w:hAnsiTheme="minorHAnsi" w:cstheme="minorHAnsi"/>
                <w:color w:val="C00000"/>
                <w:lang w:val="en-AU" w:eastAsia="en-AU" w:bidi="ar-SA"/>
              </w:rPr>
            </w:pPr>
            <w:r w:rsidRPr="00245DC4">
              <w:rPr>
                <w:rFonts w:asciiTheme="minorHAnsi" w:eastAsia="Times New Roman" w:hAnsiTheme="minorHAnsi" w:cstheme="minorHAnsi"/>
                <w:color w:val="C00000"/>
                <w:lang w:val="en-AU" w:eastAsia="en-AU" w:bidi="ar-SA"/>
              </w:rPr>
              <w:t>Propazine</w:t>
            </w:r>
          </w:p>
        </w:tc>
        <w:tc>
          <w:tcPr>
            <w:tcW w:w="4536" w:type="dxa"/>
            <w:tcBorders>
              <w:top w:val="nil"/>
              <w:bottom w:val="nil"/>
            </w:tcBorders>
            <w:shd w:val="clear" w:color="auto" w:fill="auto"/>
            <w:vAlign w:val="center"/>
            <w:hideMark/>
          </w:tcPr>
          <w:p w14:paraId="157213BC"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PSII herbicide</w:t>
            </w:r>
            <w:r w:rsidR="00780FEA" w:rsidRPr="00245DC4">
              <w:rPr>
                <w:rFonts w:ascii="Calibri" w:eastAsia="Times New Roman" w:hAnsi="Calibri" w:cs="Calibri"/>
                <w:color w:val="000000"/>
                <w:lang w:val="en-AU" w:eastAsia="en-AU" w:bidi="ar-SA"/>
              </w:rPr>
              <w:t xml:space="preserve"> </w:t>
            </w:r>
            <w:r w:rsidR="00780FEA">
              <w:rPr>
                <w:rFonts w:ascii="Calibri" w:eastAsia="Times New Roman" w:hAnsi="Calibri" w:cs="Calibri"/>
                <w:color w:val="000000"/>
                <w:lang w:val="en-AU" w:eastAsia="en-AU" w:bidi="ar-SA"/>
              </w:rPr>
              <w:t>–</w:t>
            </w:r>
            <w:r w:rsidR="00780FEA" w:rsidRPr="00245DC4">
              <w:rPr>
                <w:rFonts w:ascii="Calibri" w:eastAsia="Times New Roman" w:hAnsi="Calibri" w:cs="Calibri"/>
                <w:color w:val="000000"/>
                <w:lang w:val="en-AU" w:eastAsia="en-AU" w:bidi="ar-SA"/>
              </w:rPr>
              <w:t xml:space="preserve"> </w:t>
            </w:r>
            <w:r w:rsidRPr="00245DC4">
              <w:rPr>
                <w:rFonts w:ascii="Calibri" w:eastAsia="Times New Roman" w:hAnsi="Calibri" w:cs="Calibri"/>
                <w:color w:val="000000"/>
                <w:lang w:val="en-AU" w:eastAsia="en-AU" w:bidi="ar-SA"/>
              </w:rPr>
              <w:t>chlorotriazine</w:t>
            </w:r>
          </w:p>
        </w:tc>
        <w:tc>
          <w:tcPr>
            <w:tcW w:w="1239" w:type="dxa"/>
            <w:tcBorders>
              <w:top w:val="nil"/>
              <w:bottom w:val="nil"/>
            </w:tcBorders>
            <w:vAlign w:val="center"/>
          </w:tcPr>
          <w:p w14:paraId="157213BD" w14:textId="77777777" w:rsidR="00D706B9" w:rsidRPr="00F0737C"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BE" w14:textId="77777777" w:rsidR="00D706B9" w:rsidRPr="00736FCA" w:rsidRDefault="00D706B9" w:rsidP="00955C32">
            <w:pPr>
              <w:jc w:val="center"/>
              <w:rPr>
                <w:rFonts w:ascii="Calibri" w:eastAsia="Times New Roman" w:hAnsi="Calibri" w:cs="Calibri"/>
                <w:color w:val="000000"/>
                <w:highlight w:val="yellow"/>
                <w:lang w:val="en-AU" w:eastAsia="en-AU" w:bidi="ar-SA"/>
              </w:rPr>
            </w:pPr>
            <w:r w:rsidRPr="00F0737C">
              <w:rPr>
                <w:rFonts w:ascii="Calibri" w:eastAsia="Times New Roman" w:hAnsi="Calibri" w:cs="Calibri"/>
                <w:color w:val="000000"/>
                <w:lang w:val="en-AU" w:eastAsia="en-AU" w:bidi="ar-SA"/>
              </w:rPr>
              <w:t>0.06</w:t>
            </w:r>
          </w:p>
        </w:tc>
        <w:tc>
          <w:tcPr>
            <w:tcW w:w="769" w:type="dxa"/>
            <w:gridSpan w:val="2"/>
            <w:tcBorders>
              <w:top w:val="nil"/>
              <w:bottom w:val="nil"/>
            </w:tcBorders>
            <w:shd w:val="clear" w:color="auto" w:fill="auto"/>
            <w:noWrap/>
            <w:vAlign w:val="center"/>
          </w:tcPr>
          <w:p w14:paraId="157213BF" w14:textId="77777777" w:rsidR="00D706B9" w:rsidRPr="00245DC4" w:rsidRDefault="00D706B9" w:rsidP="00955C3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0.18</w:t>
            </w:r>
          </w:p>
        </w:tc>
        <w:tc>
          <w:tcPr>
            <w:tcW w:w="770" w:type="dxa"/>
            <w:tcBorders>
              <w:top w:val="nil"/>
              <w:bottom w:val="nil"/>
            </w:tcBorders>
            <w:shd w:val="clear" w:color="000000" w:fill="FFFFFF"/>
            <w:noWrap/>
            <w:vAlign w:val="center"/>
            <w:hideMark/>
          </w:tcPr>
          <w:p w14:paraId="157213C0"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C8" w14:textId="77777777" w:rsidTr="00780FEA">
        <w:trPr>
          <w:trHeight w:val="375"/>
        </w:trPr>
        <w:tc>
          <w:tcPr>
            <w:tcW w:w="2405" w:type="dxa"/>
            <w:tcBorders>
              <w:top w:val="nil"/>
              <w:bottom w:val="nil"/>
            </w:tcBorders>
            <w:shd w:val="clear" w:color="000000" w:fill="FFFFFF"/>
            <w:noWrap/>
            <w:vAlign w:val="center"/>
            <w:hideMark/>
          </w:tcPr>
          <w:p w14:paraId="157213C2" w14:textId="77777777" w:rsidR="00D706B9" w:rsidRPr="00D706B9" w:rsidRDefault="00D706B9" w:rsidP="00955C32">
            <w:pPr>
              <w:jc w:val="left"/>
              <w:rPr>
                <w:rFonts w:asciiTheme="minorHAnsi" w:eastAsia="Times New Roman" w:hAnsiTheme="minorHAnsi" w:cstheme="minorHAnsi"/>
                <w:color w:val="C00000"/>
                <w:lang w:val="en-AU" w:eastAsia="en-AU" w:bidi="ar-SA"/>
              </w:rPr>
            </w:pPr>
            <w:r w:rsidRPr="00BE791B">
              <w:rPr>
                <w:rFonts w:asciiTheme="minorHAnsi" w:eastAsia="Times New Roman" w:hAnsiTheme="minorHAnsi" w:cstheme="minorHAnsi"/>
                <w:lang w:val="en-AU" w:eastAsia="en-AU" w:bidi="ar-SA"/>
              </w:rPr>
              <w:t>Propiconazole*</w:t>
            </w:r>
          </w:p>
        </w:tc>
        <w:tc>
          <w:tcPr>
            <w:tcW w:w="4536" w:type="dxa"/>
            <w:tcBorders>
              <w:top w:val="nil"/>
              <w:bottom w:val="nil"/>
            </w:tcBorders>
            <w:shd w:val="clear" w:color="auto" w:fill="auto"/>
            <w:vAlign w:val="center"/>
            <w:hideMark/>
          </w:tcPr>
          <w:p w14:paraId="157213C3" w14:textId="77777777" w:rsidR="00D706B9" w:rsidRPr="00D706B9" w:rsidRDefault="00D706B9" w:rsidP="00955C32">
            <w:pPr>
              <w:jc w:val="left"/>
              <w:rPr>
                <w:rFonts w:ascii="Calibri" w:eastAsia="Times New Roman" w:hAnsi="Calibri" w:cs="Calibri"/>
                <w:color w:val="000000"/>
                <w:lang w:val="en-AU" w:eastAsia="en-AU" w:bidi="ar-SA"/>
              </w:rPr>
            </w:pPr>
            <w:r w:rsidRPr="00D706B9">
              <w:rPr>
                <w:rFonts w:ascii="Calibri" w:eastAsia="Times New Roman" w:hAnsi="Calibri" w:cs="Calibri"/>
                <w:color w:val="000000"/>
                <w:lang w:val="en-AU" w:eastAsia="en-AU" w:bidi="ar-SA"/>
              </w:rPr>
              <w:t>Conazole fungicide</w:t>
            </w:r>
          </w:p>
        </w:tc>
        <w:tc>
          <w:tcPr>
            <w:tcW w:w="1239" w:type="dxa"/>
            <w:tcBorders>
              <w:top w:val="nil"/>
              <w:bottom w:val="nil"/>
            </w:tcBorders>
            <w:vAlign w:val="center"/>
          </w:tcPr>
          <w:p w14:paraId="157213C4" w14:textId="77777777" w:rsidR="00D706B9" w:rsidRPr="00285D36" w:rsidRDefault="00D706B9" w:rsidP="006C730C">
            <w:pPr>
              <w:jc w:val="center"/>
              <w:rPr>
                <w:rFonts w:ascii="Calibri" w:eastAsia="Times New Roman" w:hAnsi="Calibri" w:cs="Calibri"/>
                <w:color w:val="000000"/>
                <w:highlight w:val="yellow"/>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C5" w14:textId="77777777" w:rsidR="00D706B9" w:rsidRPr="00285D36" w:rsidRDefault="00D706B9" w:rsidP="00955C32">
            <w:pPr>
              <w:jc w:val="center"/>
              <w:rPr>
                <w:rFonts w:ascii="Calibri" w:eastAsia="Times New Roman" w:hAnsi="Calibri" w:cs="Calibri"/>
                <w:color w:val="000000"/>
                <w:highlight w:val="yellow"/>
                <w:lang w:val="en-AU" w:eastAsia="en-AU" w:bidi="ar-SA"/>
              </w:rPr>
            </w:pPr>
          </w:p>
        </w:tc>
        <w:tc>
          <w:tcPr>
            <w:tcW w:w="769" w:type="dxa"/>
            <w:gridSpan w:val="2"/>
            <w:tcBorders>
              <w:top w:val="nil"/>
              <w:bottom w:val="nil"/>
            </w:tcBorders>
            <w:shd w:val="clear" w:color="auto" w:fill="auto"/>
            <w:noWrap/>
            <w:vAlign w:val="center"/>
          </w:tcPr>
          <w:p w14:paraId="157213C6" w14:textId="77777777" w:rsidR="00D706B9" w:rsidRPr="00285D36" w:rsidRDefault="00D706B9" w:rsidP="00955C32">
            <w:pPr>
              <w:jc w:val="center"/>
              <w:rPr>
                <w:rFonts w:ascii="Calibri" w:eastAsia="Times New Roman" w:hAnsi="Calibri" w:cs="Calibri"/>
                <w:color w:val="000000"/>
                <w:highlight w:val="yellow"/>
                <w:lang w:val="en-AU" w:eastAsia="en-AU" w:bidi="ar-SA"/>
              </w:rPr>
            </w:pPr>
          </w:p>
        </w:tc>
        <w:tc>
          <w:tcPr>
            <w:tcW w:w="770" w:type="dxa"/>
            <w:tcBorders>
              <w:top w:val="nil"/>
              <w:bottom w:val="nil"/>
            </w:tcBorders>
            <w:shd w:val="clear" w:color="000000" w:fill="FFFFFF"/>
            <w:noWrap/>
            <w:vAlign w:val="center"/>
            <w:hideMark/>
          </w:tcPr>
          <w:p w14:paraId="157213C7" w14:textId="70FF9E33" w:rsidR="00D706B9" w:rsidRPr="00245DC4" w:rsidRDefault="00703101" w:rsidP="00955C3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2.0</w:t>
            </w:r>
          </w:p>
        </w:tc>
      </w:tr>
      <w:tr w:rsidR="006C730C" w:rsidRPr="00245DC4" w14:paraId="157213CF" w14:textId="77777777" w:rsidTr="00780FEA">
        <w:trPr>
          <w:trHeight w:val="375"/>
        </w:trPr>
        <w:tc>
          <w:tcPr>
            <w:tcW w:w="2405" w:type="dxa"/>
            <w:tcBorders>
              <w:top w:val="nil"/>
              <w:bottom w:val="nil"/>
            </w:tcBorders>
            <w:shd w:val="clear" w:color="000000" w:fill="FFFFFF"/>
            <w:noWrap/>
            <w:vAlign w:val="center"/>
          </w:tcPr>
          <w:p w14:paraId="157213C9"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5006A3">
              <w:rPr>
                <w:rFonts w:asciiTheme="minorHAnsi" w:eastAsia="Times New Roman" w:hAnsiTheme="minorHAnsi" w:cstheme="minorHAnsi"/>
                <w:color w:val="000000"/>
                <w:lang w:val="en-AU" w:eastAsia="en-AU" w:bidi="ar-SA"/>
              </w:rPr>
              <w:t>Prothiophos</w:t>
            </w:r>
            <w:r>
              <w:rPr>
                <w:rFonts w:asciiTheme="minorHAnsi" w:eastAsia="Times New Roman" w:hAnsiTheme="minorHAnsi" w:cstheme="minorHAnsi"/>
                <w:color w:val="000000"/>
                <w:lang w:val="en-AU" w:eastAsia="en-AU" w:bidi="ar-SA"/>
              </w:rPr>
              <w:t>*</w:t>
            </w:r>
          </w:p>
        </w:tc>
        <w:tc>
          <w:tcPr>
            <w:tcW w:w="4536" w:type="dxa"/>
            <w:tcBorders>
              <w:top w:val="nil"/>
              <w:bottom w:val="nil"/>
            </w:tcBorders>
            <w:shd w:val="clear" w:color="auto" w:fill="auto"/>
            <w:vAlign w:val="center"/>
          </w:tcPr>
          <w:p w14:paraId="157213CA" w14:textId="77777777" w:rsidR="006C730C" w:rsidRPr="00245DC4" w:rsidRDefault="006C730C" w:rsidP="006C730C">
            <w:pPr>
              <w:jc w:val="left"/>
              <w:rPr>
                <w:rFonts w:ascii="Calibri" w:eastAsia="Times New Roman" w:hAnsi="Calibri" w:cs="Calibri"/>
                <w:color w:val="000000"/>
                <w:lang w:val="en-AU" w:eastAsia="en-AU" w:bidi="ar-SA"/>
              </w:rPr>
            </w:pPr>
            <w:r w:rsidRPr="005006A3">
              <w:rPr>
                <w:rFonts w:asciiTheme="minorHAnsi" w:eastAsia="Times New Roman" w:hAnsiTheme="minorHAnsi" w:cstheme="minorHAnsi"/>
                <w:color w:val="000000"/>
                <w:lang w:val="en-AU" w:eastAsia="en-AU" w:bidi="ar-SA"/>
              </w:rPr>
              <w:t>I</w:t>
            </w:r>
            <w:r w:rsidR="00780FEA">
              <w:rPr>
                <w:rFonts w:asciiTheme="minorHAnsi" w:eastAsia="Times New Roman" w:hAnsiTheme="minorHAnsi" w:cstheme="minorHAnsi"/>
                <w:color w:val="000000"/>
                <w:lang w:val="en-AU" w:eastAsia="en-AU" w:bidi="ar-SA"/>
              </w:rPr>
              <w:t>nsecticide: i</w:t>
            </w:r>
            <w:r w:rsidRPr="005006A3">
              <w:rPr>
                <w:rFonts w:asciiTheme="minorHAnsi" w:eastAsia="Times New Roman" w:hAnsiTheme="minorHAnsi" w:cstheme="minorHAnsi"/>
                <w:color w:val="000000"/>
                <w:lang w:val="en-AU" w:eastAsia="en-AU" w:bidi="ar-SA"/>
              </w:rPr>
              <w:t>nhibits acetylcholinesterase</w:t>
            </w:r>
          </w:p>
        </w:tc>
        <w:tc>
          <w:tcPr>
            <w:tcW w:w="1239" w:type="dxa"/>
            <w:tcBorders>
              <w:top w:val="nil"/>
              <w:bottom w:val="nil"/>
            </w:tcBorders>
            <w:vAlign w:val="center"/>
          </w:tcPr>
          <w:p w14:paraId="157213CB" w14:textId="77777777" w:rsidR="006C730C" w:rsidRDefault="006C730C" w:rsidP="006C730C">
            <w:pPr>
              <w:jc w:val="center"/>
              <w:rPr>
                <w:rFonts w:ascii="Calibri" w:eastAsia="Times New Roman" w:hAnsi="Calibri" w:cs="Calibri"/>
                <w:color w:val="000000"/>
                <w:lang w:val="en-AU" w:eastAsia="en-AU" w:bidi="ar-SA"/>
              </w:rPr>
            </w:pPr>
            <w:r>
              <w:rPr>
                <w:rFonts w:asciiTheme="minorHAnsi" w:eastAsia="Times New Roman" w:hAnsiTheme="minorHAnsi" w:cstheme="minorHAnsi"/>
                <w:color w:val="000000"/>
                <w:lang w:val="en-AU" w:eastAsia="en-AU" w:bidi="ar-SA"/>
              </w:rPr>
              <w:t>Of interest</w:t>
            </w:r>
          </w:p>
        </w:tc>
        <w:tc>
          <w:tcPr>
            <w:tcW w:w="769" w:type="dxa"/>
            <w:gridSpan w:val="2"/>
            <w:tcBorders>
              <w:top w:val="nil"/>
              <w:bottom w:val="nil"/>
            </w:tcBorders>
            <w:shd w:val="clear" w:color="auto" w:fill="auto"/>
            <w:noWrap/>
            <w:vAlign w:val="center"/>
          </w:tcPr>
          <w:p w14:paraId="157213CC" w14:textId="77777777" w:rsidR="006C730C" w:rsidRPr="00245DC4" w:rsidRDefault="006C730C" w:rsidP="006C730C">
            <w:pPr>
              <w:jc w:val="center"/>
              <w:rPr>
                <w:rFonts w:ascii="Calibri" w:eastAsia="Times New Roman" w:hAnsi="Calibri" w:cs="Calibri"/>
                <w:color w:val="000000"/>
                <w:lang w:val="en-AU" w:eastAsia="en-AU" w:bidi="ar-SA"/>
              </w:rPr>
            </w:pPr>
          </w:p>
        </w:tc>
        <w:tc>
          <w:tcPr>
            <w:tcW w:w="769" w:type="dxa"/>
            <w:gridSpan w:val="2"/>
            <w:tcBorders>
              <w:top w:val="nil"/>
              <w:bottom w:val="nil"/>
            </w:tcBorders>
            <w:shd w:val="clear" w:color="auto" w:fill="auto"/>
            <w:noWrap/>
            <w:vAlign w:val="center"/>
          </w:tcPr>
          <w:p w14:paraId="157213CD" w14:textId="77777777" w:rsidR="006C730C" w:rsidRPr="00245DC4" w:rsidRDefault="006C730C" w:rsidP="006C730C">
            <w:pPr>
              <w:jc w:val="center"/>
              <w:rPr>
                <w:rFonts w:ascii="Calibri" w:eastAsia="Times New Roman" w:hAnsi="Calibri" w:cs="Calibri"/>
                <w:color w:val="000000"/>
                <w:lang w:val="en-AU" w:eastAsia="en-AU" w:bidi="ar-SA"/>
              </w:rPr>
            </w:pPr>
          </w:p>
        </w:tc>
        <w:tc>
          <w:tcPr>
            <w:tcW w:w="770" w:type="dxa"/>
            <w:tcBorders>
              <w:top w:val="nil"/>
              <w:bottom w:val="nil"/>
            </w:tcBorders>
            <w:shd w:val="clear" w:color="000000" w:fill="FFFFFF"/>
            <w:noWrap/>
            <w:vAlign w:val="center"/>
          </w:tcPr>
          <w:p w14:paraId="157213CE" w14:textId="77777777" w:rsidR="006C730C" w:rsidRDefault="006C730C" w:rsidP="006C730C">
            <w:pPr>
              <w:jc w:val="center"/>
              <w:rPr>
                <w:rFonts w:ascii="Calibri" w:eastAsia="Times New Roman" w:hAnsi="Calibri" w:cs="Calibri"/>
                <w:color w:val="000000"/>
                <w:lang w:val="en-AU" w:eastAsia="en-AU" w:bidi="ar-SA"/>
              </w:rPr>
            </w:pPr>
          </w:p>
        </w:tc>
      </w:tr>
      <w:tr w:rsidR="00D706B9" w:rsidRPr="00245DC4" w14:paraId="157213D6"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D0"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Simazine</w:t>
            </w:r>
          </w:p>
        </w:tc>
        <w:tc>
          <w:tcPr>
            <w:tcW w:w="4536" w:type="dxa"/>
            <w:tcBorders>
              <w:top w:val="nil"/>
              <w:bottom w:val="nil"/>
            </w:tcBorders>
            <w:shd w:val="clear" w:color="auto" w:fill="auto"/>
            <w:vAlign w:val="center"/>
            <w:hideMark/>
          </w:tcPr>
          <w:p w14:paraId="157213D1"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PSII herbicide</w:t>
            </w:r>
            <w:r w:rsidR="00780FEA" w:rsidRPr="00245DC4">
              <w:rPr>
                <w:rFonts w:ascii="Calibri" w:eastAsia="Times New Roman" w:hAnsi="Calibri" w:cs="Calibri"/>
                <w:color w:val="000000"/>
                <w:lang w:val="en-AU" w:eastAsia="en-AU" w:bidi="ar-SA"/>
              </w:rPr>
              <w:t xml:space="preserve"> </w:t>
            </w:r>
            <w:r w:rsidR="00780FEA">
              <w:rPr>
                <w:rFonts w:ascii="Calibri" w:eastAsia="Times New Roman" w:hAnsi="Calibri" w:cs="Calibri"/>
                <w:color w:val="000000"/>
                <w:lang w:val="en-AU" w:eastAsia="en-AU" w:bidi="ar-SA"/>
              </w:rPr>
              <w:t>–</w:t>
            </w:r>
            <w:r w:rsidR="00780FEA" w:rsidRPr="00245DC4">
              <w:rPr>
                <w:rFonts w:ascii="Calibri" w:eastAsia="Times New Roman" w:hAnsi="Calibri" w:cs="Calibri"/>
                <w:color w:val="000000"/>
                <w:lang w:val="en-AU" w:eastAsia="en-AU" w:bidi="ar-SA"/>
              </w:rPr>
              <w:t xml:space="preserve"> </w:t>
            </w:r>
            <w:r w:rsidRPr="00245DC4">
              <w:rPr>
                <w:rFonts w:ascii="Calibri" w:eastAsia="Times New Roman" w:hAnsi="Calibri" w:cs="Calibri"/>
                <w:color w:val="000000"/>
                <w:lang w:val="en-AU" w:eastAsia="en-AU" w:bidi="ar-SA"/>
              </w:rPr>
              <w:t>chlorotriazine</w:t>
            </w:r>
          </w:p>
        </w:tc>
        <w:tc>
          <w:tcPr>
            <w:tcW w:w="1239" w:type="dxa"/>
            <w:tcBorders>
              <w:top w:val="nil"/>
              <w:bottom w:val="nil"/>
            </w:tcBorders>
            <w:vAlign w:val="center"/>
          </w:tcPr>
          <w:p w14:paraId="157213D2"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D3"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0.08</w:t>
            </w:r>
          </w:p>
        </w:tc>
        <w:tc>
          <w:tcPr>
            <w:tcW w:w="769" w:type="dxa"/>
            <w:gridSpan w:val="2"/>
            <w:tcBorders>
              <w:top w:val="nil"/>
              <w:bottom w:val="nil"/>
            </w:tcBorders>
            <w:shd w:val="clear" w:color="auto" w:fill="auto"/>
            <w:noWrap/>
            <w:vAlign w:val="center"/>
            <w:hideMark/>
          </w:tcPr>
          <w:p w14:paraId="157213D4"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0.24</w:t>
            </w:r>
          </w:p>
        </w:tc>
        <w:tc>
          <w:tcPr>
            <w:tcW w:w="770" w:type="dxa"/>
            <w:tcBorders>
              <w:top w:val="nil"/>
              <w:bottom w:val="nil"/>
            </w:tcBorders>
            <w:shd w:val="clear" w:color="000000" w:fill="FFFFFF"/>
            <w:noWrap/>
            <w:vAlign w:val="center"/>
            <w:hideMark/>
          </w:tcPr>
          <w:p w14:paraId="157213D5"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DD" w14:textId="77777777" w:rsidTr="00780FEA">
        <w:trPr>
          <w:trHeight w:val="375"/>
        </w:trPr>
        <w:tc>
          <w:tcPr>
            <w:tcW w:w="2405" w:type="dxa"/>
            <w:tcBorders>
              <w:top w:val="nil"/>
              <w:bottom w:val="nil"/>
            </w:tcBorders>
            <w:shd w:val="clear" w:color="000000" w:fill="FFFFFF"/>
            <w:noWrap/>
            <w:vAlign w:val="center"/>
            <w:hideMark/>
          </w:tcPr>
          <w:p w14:paraId="157213D7" w14:textId="77777777" w:rsidR="00D706B9" w:rsidRPr="00245DC4" w:rsidRDefault="00D706B9" w:rsidP="00955C32">
            <w:pPr>
              <w:jc w:val="left"/>
              <w:rPr>
                <w:rFonts w:asciiTheme="minorHAnsi" w:eastAsia="Times New Roman" w:hAnsiTheme="minorHAnsi" w:cstheme="minorHAnsi"/>
                <w:color w:val="C0504D"/>
                <w:lang w:val="en-AU" w:eastAsia="en-AU" w:bidi="ar-SA"/>
              </w:rPr>
            </w:pPr>
            <w:r w:rsidRPr="00245DC4">
              <w:rPr>
                <w:rFonts w:asciiTheme="minorHAnsi" w:eastAsia="Times New Roman" w:hAnsiTheme="minorHAnsi" w:cstheme="minorHAnsi"/>
                <w:color w:val="C00000"/>
                <w:lang w:val="en-AU" w:eastAsia="en-AU" w:bidi="ar-SA"/>
              </w:rPr>
              <w:t>Tebuconazole</w:t>
            </w:r>
          </w:p>
        </w:tc>
        <w:tc>
          <w:tcPr>
            <w:tcW w:w="4536" w:type="dxa"/>
            <w:tcBorders>
              <w:top w:val="nil"/>
              <w:bottom w:val="nil"/>
            </w:tcBorders>
            <w:shd w:val="clear" w:color="auto" w:fill="auto"/>
            <w:vAlign w:val="center"/>
            <w:hideMark/>
          </w:tcPr>
          <w:p w14:paraId="157213D8"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Conazole fungicide</w:t>
            </w:r>
          </w:p>
        </w:tc>
        <w:tc>
          <w:tcPr>
            <w:tcW w:w="1239" w:type="dxa"/>
            <w:tcBorders>
              <w:top w:val="nil"/>
              <w:bottom w:val="nil"/>
            </w:tcBorders>
            <w:vAlign w:val="center"/>
          </w:tcPr>
          <w:p w14:paraId="157213D9"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DA"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69" w:type="dxa"/>
            <w:gridSpan w:val="2"/>
            <w:tcBorders>
              <w:top w:val="nil"/>
              <w:bottom w:val="nil"/>
            </w:tcBorders>
            <w:shd w:val="clear" w:color="auto" w:fill="auto"/>
            <w:noWrap/>
            <w:vAlign w:val="center"/>
            <w:hideMark/>
          </w:tcPr>
          <w:p w14:paraId="157213DB"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0.31</w:t>
            </w:r>
          </w:p>
        </w:tc>
        <w:tc>
          <w:tcPr>
            <w:tcW w:w="770" w:type="dxa"/>
            <w:tcBorders>
              <w:top w:val="nil"/>
              <w:bottom w:val="nil"/>
            </w:tcBorders>
            <w:shd w:val="clear" w:color="000000" w:fill="FFFFFF"/>
            <w:noWrap/>
            <w:vAlign w:val="center"/>
            <w:hideMark/>
          </w:tcPr>
          <w:p w14:paraId="157213DC"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E4"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DE"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Tebuthiuron</w:t>
            </w:r>
          </w:p>
        </w:tc>
        <w:tc>
          <w:tcPr>
            <w:tcW w:w="4536" w:type="dxa"/>
            <w:tcBorders>
              <w:top w:val="nil"/>
              <w:bottom w:val="nil"/>
            </w:tcBorders>
            <w:shd w:val="clear" w:color="auto" w:fill="auto"/>
            <w:vAlign w:val="center"/>
            <w:hideMark/>
          </w:tcPr>
          <w:p w14:paraId="157213DF" w14:textId="77777777" w:rsidR="00D706B9" w:rsidRPr="00245DC4" w:rsidRDefault="00D706B9" w:rsidP="00955C32">
            <w:pPr>
              <w:jc w:val="left"/>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PSII herbicide</w:t>
            </w:r>
            <w:r w:rsidR="005B06AA" w:rsidRPr="00245DC4">
              <w:rPr>
                <w:rFonts w:ascii="Calibri" w:eastAsia="Times New Roman" w:hAnsi="Calibri" w:cs="Calibri"/>
                <w:color w:val="000000"/>
                <w:lang w:val="en-AU" w:eastAsia="en-AU" w:bidi="ar-SA"/>
              </w:rPr>
              <w:t xml:space="preserve"> </w:t>
            </w:r>
            <w:r w:rsidR="005B06AA">
              <w:rPr>
                <w:rFonts w:ascii="Calibri" w:eastAsia="Times New Roman" w:hAnsi="Calibri" w:cs="Calibri"/>
                <w:color w:val="000000"/>
                <w:lang w:val="en-AU" w:eastAsia="en-AU" w:bidi="ar-SA"/>
              </w:rPr>
              <w:t>–</w:t>
            </w:r>
            <w:r w:rsidR="005B06AA" w:rsidRPr="00245DC4">
              <w:rPr>
                <w:rFonts w:ascii="Calibri" w:eastAsia="Times New Roman" w:hAnsi="Calibri" w:cs="Calibri"/>
                <w:color w:val="000000"/>
                <w:lang w:val="en-AU" w:eastAsia="en-AU" w:bidi="ar-SA"/>
              </w:rPr>
              <w:t xml:space="preserve"> </w:t>
            </w:r>
            <w:r w:rsidRPr="00245DC4">
              <w:rPr>
                <w:rFonts w:ascii="Calibri" w:eastAsia="Times New Roman" w:hAnsi="Calibri" w:cs="Calibri"/>
                <w:color w:val="000000"/>
                <w:lang w:val="en-AU" w:eastAsia="en-AU" w:bidi="ar-SA"/>
              </w:rPr>
              <w:t>thiadazolurea</w:t>
            </w:r>
          </w:p>
        </w:tc>
        <w:tc>
          <w:tcPr>
            <w:tcW w:w="1239" w:type="dxa"/>
            <w:tcBorders>
              <w:top w:val="nil"/>
              <w:bottom w:val="nil"/>
            </w:tcBorders>
            <w:vAlign w:val="center"/>
          </w:tcPr>
          <w:p w14:paraId="157213E0"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hideMark/>
          </w:tcPr>
          <w:p w14:paraId="157213E1"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0.01</w:t>
            </w:r>
          </w:p>
        </w:tc>
        <w:tc>
          <w:tcPr>
            <w:tcW w:w="769" w:type="dxa"/>
            <w:gridSpan w:val="2"/>
            <w:tcBorders>
              <w:top w:val="nil"/>
              <w:bottom w:val="nil"/>
            </w:tcBorders>
            <w:shd w:val="clear" w:color="auto" w:fill="auto"/>
            <w:noWrap/>
            <w:vAlign w:val="center"/>
            <w:hideMark/>
          </w:tcPr>
          <w:p w14:paraId="157213E2" w14:textId="77777777" w:rsidR="00D706B9" w:rsidRPr="00245DC4" w:rsidRDefault="00D706B9" w:rsidP="00955C32">
            <w:pPr>
              <w:jc w:val="center"/>
              <w:rPr>
                <w:rFonts w:ascii="Calibri" w:eastAsia="Times New Roman" w:hAnsi="Calibri" w:cs="Calibri"/>
                <w:color w:val="000000"/>
                <w:lang w:val="en-AU" w:eastAsia="en-AU" w:bidi="ar-SA"/>
              </w:rPr>
            </w:pPr>
            <w:r w:rsidRPr="00245DC4">
              <w:rPr>
                <w:rFonts w:ascii="Calibri" w:eastAsia="Times New Roman" w:hAnsi="Calibri" w:cs="Calibri"/>
                <w:color w:val="000000"/>
                <w:lang w:val="en-AU" w:eastAsia="en-AU" w:bidi="ar-SA"/>
              </w:rPr>
              <w:t>0.10</w:t>
            </w:r>
          </w:p>
        </w:tc>
        <w:tc>
          <w:tcPr>
            <w:tcW w:w="770" w:type="dxa"/>
            <w:tcBorders>
              <w:top w:val="nil"/>
              <w:bottom w:val="nil"/>
            </w:tcBorders>
            <w:shd w:val="clear" w:color="000000" w:fill="FFFFFF"/>
            <w:noWrap/>
            <w:vAlign w:val="center"/>
            <w:hideMark/>
          </w:tcPr>
          <w:p w14:paraId="157213E3" w14:textId="77777777" w:rsidR="00D706B9" w:rsidRPr="00245DC4" w:rsidRDefault="00D706B9" w:rsidP="00955C32">
            <w:pPr>
              <w:jc w:val="center"/>
              <w:rPr>
                <w:rFonts w:ascii="Calibri" w:eastAsia="Times New Roman" w:hAnsi="Calibri" w:cs="Calibri"/>
                <w:color w:val="000000"/>
                <w:lang w:val="en-AU" w:eastAsia="en-AU" w:bidi="ar-SA"/>
              </w:rPr>
            </w:pPr>
          </w:p>
        </w:tc>
      </w:tr>
      <w:tr w:rsidR="00D706B9" w:rsidRPr="00245DC4" w14:paraId="157213EB" w14:textId="77777777" w:rsidTr="00780FEA">
        <w:trPr>
          <w:trHeight w:val="375"/>
        </w:trPr>
        <w:tc>
          <w:tcPr>
            <w:tcW w:w="2405" w:type="dxa"/>
            <w:tcBorders>
              <w:top w:val="nil"/>
              <w:bottom w:val="nil"/>
            </w:tcBorders>
            <w:shd w:val="clear" w:color="auto" w:fill="DBE5F1" w:themeFill="accent1" w:themeFillTint="33"/>
            <w:noWrap/>
            <w:vAlign w:val="center"/>
            <w:hideMark/>
          </w:tcPr>
          <w:p w14:paraId="157213E5"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Terbuthylazine</w:t>
            </w:r>
            <w:r>
              <w:rPr>
                <w:rFonts w:asciiTheme="minorHAnsi" w:eastAsia="Times New Roman" w:hAnsiTheme="minorHAnsi" w:cstheme="minorHAnsi"/>
                <w:color w:val="000000"/>
                <w:lang w:val="en-AU" w:eastAsia="en-AU" w:bidi="ar-SA"/>
              </w:rPr>
              <w:t>*</w:t>
            </w:r>
          </w:p>
        </w:tc>
        <w:tc>
          <w:tcPr>
            <w:tcW w:w="4536" w:type="dxa"/>
            <w:tcBorders>
              <w:top w:val="nil"/>
              <w:bottom w:val="nil"/>
            </w:tcBorders>
            <w:shd w:val="clear" w:color="auto" w:fill="auto"/>
            <w:noWrap/>
            <w:vAlign w:val="center"/>
            <w:hideMark/>
          </w:tcPr>
          <w:p w14:paraId="157213E6" w14:textId="77777777" w:rsidR="00D706B9" w:rsidRPr="00B26CCB" w:rsidRDefault="00D706B9" w:rsidP="00955C32">
            <w:pPr>
              <w:jc w:val="left"/>
              <w:rPr>
                <w:rFonts w:ascii="Calibri" w:eastAsia="Times New Roman" w:hAnsi="Calibri" w:cs="Calibri"/>
                <w:color w:val="000000"/>
                <w:lang w:val="en-AU" w:eastAsia="en-AU" w:bidi="ar-SA"/>
              </w:rPr>
            </w:pPr>
            <w:r w:rsidRPr="00B26CCB">
              <w:rPr>
                <w:rFonts w:ascii="Calibri" w:eastAsia="Times New Roman" w:hAnsi="Calibri" w:cs="Calibri"/>
                <w:color w:val="000000"/>
                <w:lang w:val="en-AU" w:eastAsia="en-AU" w:bidi="ar-SA"/>
              </w:rPr>
              <w:t>PSII herbicide – triazine</w:t>
            </w:r>
          </w:p>
        </w:tc>
        <w:tc>
          <w:tcPr>
            <w:tcW w:w="1239" w:type="dxa"/>
            <w:tcBorders>
              <w:top w:val="nil"/>
              <w:bottom w:val="nil"/>
            </w:tcBorders>
            <w:vAlign w:val="center"/>
          </w:tcPr>
          <w:p w14:paraId="157213E7" w14:textId="77777777" w:rsidR="00D706B9" w:rsidRPr="00285D36" w:rsidRDefault="00D706B9" w:rsidP="006C730C">
            <w:pPr>
              <w:jc w:val="center"/>
              <w:rPr>
                <w:rFonts w:ascii="Calibri" w:eastAsia="Times New Roman" w:hAnsi="Calibri" w:cs="Calibri"/>
                <w:color w:val="000000"/>
                <w:highlight w:val="yellow"/>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tcPr>
          <w:p w14:paraId="157213E8" w14:textId="77777777" w:rsidR="00D706B9" w:rsidRPr="00285D36" w:rsidRDefault="00D706B9" w:rsidP="00955C32">
            <w:pPr>
              <w:jc w:val="center"/>
              <w:rPr>
                <w:rFonts w:ascii="Calibri" w:eastAsia="Times New Roman" w:hAnsi="Calibri" w:cs="Calibri"/>
                <w:color w:val="000000"/>
                <w:highlight w:val="yellow"/>
                <w:lang w:val="en-AU" w:eastAsia="en-AU" w:bidi="ar-SA"/>
              </w:rPr>
            </w:pPr>
          </w:p>
        </w:tc>
        <w:tc>
          <w:tcPr>
            <w:tcW w:w="769" w:type="dxa"/>
            <w:gridSpan w:val="2"/>
            <w:tcBorders>
              <w:top w:val="nil"/>
              <w:bottom w:val="nil"/>
            </w:tcBorders>
            <w:shd w:val="clear" w:color="auto" w:fill="auto"/>
            <w:noWrap/>
            <w:vAlign w:val="center"/>
          </w:tcPr>
          <w:p w14:paraId="157213E9" w14:textId="77777777" w:rsidR="00D706B9" w:rsidRPr="00285D36" w:rsidRDefault="00D706B9" w:rsidP="00955C32">
            <w:pPr>
              <w:jc w:val="center"/>
              <w:rPr>
                <w:rFonts w:ascii="Calibri" w:eastAsia="Times New Roman" w:hAnsi="Calibri" w:cs="Calibri"/>
                <w:color w:val="000000"/>
                <w:highlight w:val="yellow"/>
                <w:lang w:val="en-AU" w:eastAsia="en-AU" w:bidi="ar-SA"/>
              </w:rPr>
            </w:pPr>
          </w:p>
        </w:tc>
        <w:tc>
          <w:tcPr>
            <w:tcW w:w="770" w:type="dxa"/>
            <w:tcBorders>
              <w:top w:val="nil"/>
              <w:bottom w:val="nil"/>
            </w:tcBorders>
            <w:shd w:val="clear" w:color="000000" w:fill="FFFFFF"/>
            <w:noWrap/>
            <w:vAlign w:val="center"/>
            <w:hideMark/>
          </w:tcPr>
          <w:p w14:paraId="157213EA" w14:textId="77777777" w:rsidR="00D706B9" w:rsidRPr="00285D36" w:rsidRDefault="00D706B9" w:rsidP="00955C32">
            <w:pPr>
              <w:jc w:val="center"/>
              <w:rPr>
                <w:rFonts w:ascii="Calibri" w:eastAsia="Times New Roman" w:hAnsi="Calibri" w:cs="Calibri"/>
                <w:color w:val="000000"/>
                <w:highlight w:val="yellow"/>
                <w:lang w:val="en-AU" w:eastAsia="en-AU" w:bidi="ar-SA"/>
              </w:rPr>
            </w:pPr>
          </w:p>
        </w:tc>
      </w:tr>
      <w:tr w:rsidR="006C730C" w:rsidRPr="00245DC4" w14:paraId="157213F2" w14:textId="77777777" w:rsidTr="00780FEA">
        <w:trPr>
          <w:trHeight w:val="375"/>
        </w:trPr>
        <w:tc>
          <w:tcPr>
            <w:tcW w:w="2405" w:type="dxa"/>
            <w:tcBorders>
              <w:top w:val="nil"/>
              <w:bottom w:val="nil"/>
            </w:tcBorders>
            <w:shd w:val="clear" w:color="000000" w:fill="FFFFFF"/>
            <w:noWrap/>
            <w:vAlign w:val="center"/>
          </w:tcPr>
          <w:p w14:paraId="157213EC"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5006A3">
              <w:rPr>
                <w:rFonts w:asciiTheme="minorHAnsi" w:eastAsia="Times New Roman" w:hAnsiTheme="minorHAnsi" w:cstheme="minorHAnsi"/>
                <w:color w:val="000000"/>
                <w:lang w:val="en-AU" w:eastAsia="en-AU" w:bidi="ar-SA"/>
              </w:rPr>
              <w:t>Terbutryn</w:t>
            </w:r>
          </w:p>
        </w:tc>
        <w:tc>
          <w:tcPr>
            <w:tcW w:w="4536" w:type="dxa"/>
            <w:tcBorders>
              <w:top w:val="nil"/>
              <w:bottom w:val="nil"/>
            </w:tcBorders>
            <w:shd w:val="clear" w:color="auto" w:fill="auto"/>
            <w:vAlign w:val="center"/>
          </w:tcPr>
          <w:p w14:paraId="157213ED" w14:textId="77777777" w:rsidR="006C730C" w:rsidRPr="00245DC4" w:rsidRDefault="006C730C" w:rsidP="006C730C">
            <w:pPr>
              <w:jc w:val="left"/>
              <w:rPr>
                <w:rFonts w:ascii="Calibri" w:eastAsia="Times New Roman" w:hAnsi="Calibri" w:cs="Calibri"/>
                <w:color w:val="000000"/>
                <w:lang w:val="en-AU" w:eastAsia="en-AU" w:bidi="ar-SA"/>
              </w:rPr>
            </w:pPr>
            <w:r w:rsidRPr="005006A3">
              <w:rPr>
                <w:rFonts w:asciiTheme="minorHAnsi" w:eastAsia="Times New Roman" w:hAnsiTheme="minorHAnsi" w:cstheme="minorHAnsi"/>
                <w:color w:val="000000"/>
                <w:lang w:val="en-AU" w:eastAsia="en-AU" w:bidi="ar-SA"/>
              </w:rPr>
              <w:t xml:space="preserve">PSII herbicide </w:t>
            </w:r>
            <w:r>
              <w:rPr>
                <w:rFonts w:asciiTheme="minorHAnsi" w:eastAsia="Times New Roman" w:hAnsiTheme="minorHAnsi" w:cstheme="minorHAnsi"/>
                <w:color w:val="000000"/>
                <w:lang w:val="en-AU" w:eastAsia="en-AU" w:bidi="ar-SA"/>
              </w:rPr>
              <w:t>–</w:t>
            </w:r>
            <w:r w:rsidRPr="005006A3">
              <w:rPr>
                <w:rFonts w:asciiTheme="minorHAnsi" w:eastAsia="Times New Roman" w:hAnsiTheme="minorHAnsi" w:cstheme="minorHAnsi"/>
                <w:color w:val="000000"/>
                <w:lang w:val="en-AU" w:eastAsia="en-AU" w:bidi="ar-SA"/>
              </w:rPr>
              <w:t xml:space="preserve"> triazine</w:t>
            </w:r>
          </w:p>
        </w:tc>
        <w:tc>
          <w:tcPr>
            <w:tcW w:w="1239" w:type="dxa"/>
            <w:tcBorders>
              <w:top w:val="nil"/>
              <w:bottom w:val="nil"/>
            </w:tcBorders>
            <w:vAlign w:val="center"/>
          </w:tcPr>
          <w:p w14:paraId="157213EE" w14:textId="77777777" w:rsidR="006C730C" w:rsidRDefault="006C730C" w:rsidP="006C730C">
            <w:pPr>
              <w:jc w:val="center"/>
              <w:rPr>
                <w:rFonts w:ascii="Calibri" w:eastAsia="Times New Roman" w:hAnsi="Calibri" w:cs="Calibri"/>
                <w:color w:val="000000"/>
                <w:lang w:val="en-AU" w:eastAsia="en-AU" w:bidi="ar-SA"/>
              </w:rPr>
            </w:pPr>
            <w:r>
              <w:rPr>
                <w:rFonts w:asciiTheme="minorHAnsi" w:eastAsia="Times New Roman" w:hAnsiTheme="minorHAnsi" w:cstheme="minorHAnsi"/>
                <w:color w:val="000000"/>
                <w:lang w:val="en-AU" w:eastAsia="en-AU" w:bidi="ar-SA"/>
              </w:rPr>
              <w:t>Of interest</w:t>
            </w:r>
          </w:p>
        </w:tc>
        <w:tc>
          <w:tcPr>
            <w:tcW w:w="769" w:type="dxa"/>
            <w:gridSpan w:val="2"/>
            <w:tcBorders>
              <w:top w:val="nil"/>
              <w:bottom w:val="nil"/>
            </w:tcBorders>
            <w:shd w:val="clear" w:color="auto" w:fill="auto"/>
            <w:noWrap/>
            <w:vAlign w:val="center"/>
          </w:tcPr>
          <w:p w14:paraId="157213EF" w14:textId="77777777" w:rsidR="006C730C" w:rsidRPr="00245DC4" w:rsidRDefault="006C730C" w:rsidP="006C730C">
            <w:pPr>
              <w:jc w:val="center"/>
              <w:rPr>
                <w:rFonts w:ascii="Calibri" w:eastAsia="Times New Roman" w:hAnsi="Calibri" w:cs="Calibri"/>
                <w:color w:val="000000"/>
                <w:lang w:val="en-AU" w:eastAsia="en-AU" w:bidi="ar-SA"/>
              </w:rPr>
            </w:pPr>
            <w:r w:rsidRPr="005006A3">
              <w:rPr>
                <w:rFonts w:asciiTheme="minorHAnsi" w:eastAsia="Times New Roman" w:hAnsiTheme="minorHAnsi" w:cstheme="minorHAnsi"/>
                <w:color w:val="000000"/>
                <w:lang w:val="en-AU" w:eastAsia="en-AU" w:bidi="ar-SA"/>
              </w:rPr>
              <w:t>0.55</w:t>
            </w:r>
          </w:p>
        </w:tc>
        <w:tc>
          <w:tcPr>
            <w:tcW w:w="769" w:type="dxa"/>
            <w:gridSpan w:val="2"/>
            <w:tcBorders>
              <w:top w:val="nil"/>
              <w:bottom w:val="nil"/>
            </w:tcBorders>
            <w:shd w:val="clear" w:color="auto" w:fill="auto"/>
            <w:noWrap/>
            <w:vAlign w:val="center"/>
          </w:tcPr>
          <w:p w14:paraId="157213F0" w14:textId="77777777" w:rsidR="006C730C" w:rsidRPr="00245DC4" w:rsidRDefault="006C730C" w:rsidP="006C730C">
            <w:pPr>
              <w:jc w:val="center"/>
              <w:rPr>
                <w:rFonts w:ascii="Calibri" w:eastAsia="Times New Roman" w:hAnsi="Calibri" w:cs="Calibri"/>
                <w:color w:val="000000"/>
                <w:lang w:val="en-AU" w:eastAsia="en-AU" w:bidi="ar-SA"/>
              </w:rPr>
            </w:pPr>
            <w:r w:rsidRPr="005006A3">
              <w:rPr>
                <w:rFonts w:asciiTheme="minorHAnsi" w:eastAsia="Times New Roman" w:hAnsiTheme="minorHAnsi" w:cstheme="minorHAnsi"/>
                <w:color w:val="000000"/>
                <w:lang w:val="en-AU" w:eastAsia="en-AU" w:bidi="ar-SA"/>
              </w:rPr>
              <w:t>1.</w:t>
            </w:r>
            <w:r>
              <w:rPr>
                <w:rFonts w:asciiTheme="minorHAnsi" w:eastAsia="Times New Roman" w:hAnsiTheme="minorHAnsi" w:cstheme="minorHAnsi"/>
                <w:color w:val="000000"/>
                <w:lang w:val="en-AU" w:eastAsia="en-AU" w:bidi="ar-SA"/>
              </w:rPr>
              <w:t>7</w:t>
            </w:r>
          </w:p>
        </w:tc>
        <w:tc>
          <w:tcPr>
            <w:tcW w:w="770" w:type="dxa"/>
            <w:tcBorders>
              <w:top w:val="nil"/>
              <w:bottom w:val="nil"/>
            </w:tcBorders>
            <w:shd w:val="clear" w:color="000000" w:fill="FFFFFF"/>
            <w:noWrap/>
            <w:vAlign w:val="center"/>
          </w:tcPr>
          <w:p w14:paraId="157213F1" w14:textId="77777777" w:rsidR="006C730C" w:rsidRDefault="006C730C" w:rsidP="006C730C">
            <w:pPr>
              <w:jc w:val="center"/>
              <w:rPr>
                <w:rFonts w:ascii="Calibri" w:eastAsia="Times New Roman" w:hAnsi="Calibri" w:cs="Calibri"/>
                <w:color w:val="000000"/>
                <w:lang w:val="en-AU" w:eastAsia="en-AU" w:bidi="ar-SA"/>
              </w:rPr>
            </w:pPr>
          </w:p>
        </w:tc>
      </w:tr>
      <w:tr w:rsidR="00D706B9" w:rsidRPr="00245DC4" w14:paraId="157213F9" w14:textId="77777777" w:rsidTr="00780FEA">
        <w:trPr>
          <w:trHeight w:val="375"/>
        </w:trPr>
        <w:tc>
          <w:tcPr>
            <w:tcW w:w="2405" w:type="dxa"/>
            <w:tcBorders>
              <w:top w:val="nil"/>
              <w:bottom w:val="nil"/>
            </w:tcBorders>
            <w:shd w:val="clear" w:color="000000" w:fill="FFFFFF"/>
            <w:noWrap/>
            <w:vAlign w:val="center"/>
            <w:hideMark/>
          </w:tcPr>
          <w:p w14:paraId="157213F3" w14:textId="77777777" w:rsidR="00D706B9" w:rsidRPr="00B26CCB" w:rsidRDefault="00D706B9" w:rsidP="00955C32">
            <w:pPr>
              <w:jc w:val="left"/>
              <w:rPr>
                <w:rFonts w:asciiTheme="minorHAnsi" w:eastAsia="Times New Roman" w:hAnsiTheme="minorHAnsi" w:cstheme="minorHAnsi"/>
                <w:color w:val="000000"/>
                <w:lang w:val="en-AU" w:eastAsia="en-AU" w:bidi="ar-SA"/>
              </w:rPr>
            </w:pPr>
            <w:r w:rsidRPr="00B26CCB">
              <w:rPr>
                <w:rFonts w:asciiTheme="minorHAnsi" w:eastAsia="Times New Roman" w:hAnsiTheme="minorHAnsi" w:cstheme="minorHAnsi"/>
                <w:color w:val="000000"/>
                <w:lang w:val="en-AU" w:eastAsia="en-AU" w:bidi="ar-SA"/>
              </w:rPr>
              <w:t>Triclopyr*</w:t>
            </w:r>
          </w:p>
        </w:tc>
        <w:tc>
          <w:tcPr>
            <w:tcW w:w="4536" w:type="dxa"/>
            <w:tcBorders>
              <w:top w:val="nil"/>
              <w:bottom w:val="nil"/>
            </w:tcBorders>
            <w:shd w:val="clear" w:color="auto" w:fill="auto"/>
            <w:noWrap/>
            <w:vAlign w:val="center"/>
            <w:hideMark/>
          </w:tcPr>
          <w:p w14:paraId="157213F4" w14:textId="77777777" w:rsidR="00D706B9" w:rsidRPr="00B26CCB" w:rsidRDefault="00D706B9" w:rsidP="00955C32">
            <w:pPr>
              <w:jc w:val="left"/>
              <w:rPr>
                <w:rFonts w:ascii="Calibri" w:eastAsia="Times New Roman" w:hAnsi="Calibri" w:cs="Calibri"/>
                <w:color w:val="000000"/>
                <w:lang w:val="en-AU" w:eastAsia="en-AU" w:bidi="ar-SA"/>
              </w:rPr>
            </w:pPr>
            <w:r w:rsidRPr="00B26CCB">
              <w:rPr>
                <w:rFonts w:ascii="Calibri" w:eastAsia="Times New Roman" w:hAnsi="Calibri" w:cs="Calibri"/>
                <w:color w:val="000000"/>
                <w:lang w:val="en-AU" w:eastAsia="en-AU" w:bidi="ar-SA"/>
              </w:rPr>
              <w:t>Pyridine carboxylic acid herbicide</w:t>
            </w:r>
          </w:p>
        </w:tc>
        <w:tc>
          <w:tcPr>
            <w:tcW w:w="1239" w:type="dxa"/>
            <w:tcBorders>
              <w:top w:val="nil"/>
              <w:bottom w:val="nil"/>
            </w:tcBorders>
            <w:vAlign w:val="center"/>
          </w:tcPr>
          <w:p w14:paraId="157213F5" w14:textId="77777777" w:rsidR="00D706B9" w:rsidRPr="00B26CCB"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nil"/>
            </w:tcBorders>
            <w:shd w:val="clear" w:color="auto" w:fill="auto"/>
            <w:noWrap/>
            <w:vAlign w:val="center"/>
          </w:tcPr>
          <w:p w14:paraId="157213F6" w14:textId="77777777" w:rsidR="00D706B9" w:rsidRPr="00B26CCB" w:rsidRDefault="00D706B9" w:rsidP="00955C32">
            <w:pPr>
              <w:jc w:val="center"/>
              <w:rPr>
                <w:rFonts w:ascii="Calibri" w:eastAsia="Times New Roman" w:hAnsi="Calibri" w:cs="Calibri"/>
                <w:color w:val="000000"/>
                <w:lang w:val="en-AU" w:eastAsia="en-AU" w:bidi="ar-SA"/>
              </w:rPr>
            </w:pPr>
          </w:p>
        </w:tc>
        <w:tc>
          <w:tcPr>
            <w:tcW w:w="769" w:type="dxa"/>
            <w:gridSpan w:val="2"/>
            <w:tcBorders>
              <w:top w:val="nil"/>
              <w:bottom w:val="nil"/>
            </w:tcBorders>
            <w:shd w:val="clear" w:color="auto" w:fill="auto"/>
            <w:noWrap/>
            <w:vAlign w:val="center"/>
          </w:tcPr>
          <w:p w14:paraId="157213F7" w14:textId="77777777" w:rsidR="00D706B9" w:rsidRPr="00245DC4" w:rsidRDefault="00D706B9" w:rsidP="00955C32">
            <w:pPr>
              <w:jc w:val="center"/>
              <w:rPr>
                <w:rFonts w:ascii="Calibri" w:eastAsia="Times New Roman" w:hAnsi="Calibri" w:cs="Calibri"/>
                <w:color w:val="000000"/>
                <w:lang w:val="en-AU" w:eastAsia="en-AU" w:bidi="ar-SA"/>
              </w:rPr>
            </w:pPr>
          </w:p>
        </w:tc>
        <w:tc>
          <w:tcPr>
            <w:tcW w:w="770" w:type="dxa"/>
            <w:tcBorders>
              <w:top w:val="nil"/>
              <w:bottom w:val="nil"/>
            </w:tcBorders>
            <w:shd w:val="clear" w:color="000000" w:fill="FFFFFF"/>
            <w:noWrap/>
            <w:vAlign w:val="center"/>
            <w:hideMark/>
          </w:tcPr>
          <w:p w14:paraId="157213F8" w14:textId="77777777" w:rsidR="00D706B9" w:rsidRPr="00245DC4" w:rsidRDefault="00D706B9" w:rsidP="00955C32">
            <w:pPr>
              <w:jc w:val="center"/>
              <w:rPr>
                <w:rFonts w:ascii="Calibri" w:eastAsia="Times New Roman" w:hAnsi="Calibri" w:cs="Calibri"/>
                <w:color w:val="000000"/>
                <w:lang w:val="en-AU" w:eastAsia="en-AU" w:bidi="ar-SA"/>
              </w:rPr>
            </w:pPr>
          </w:p>
        </w:tc>
      </w:tr>
      <w:tr w:rsidR="006C730C" w:rsidRPr="00245DC4" w14:paraId="15721400" w14:textId="77777777" w:rsidTr="00780FEA">
        <w:trPr>
          <w:trHeight w:val="375"/>
        </w:trPr>
        <w:tc>
          <w:tcPr>
            <w:tcW w:w="2405" w:type="dxa"/>
            <w:tcBorders>
              <w:top w:val="nil"/>
              <w:bottom w:val="nil"/>
            </w:tcBorders>
            <w:shd w:val="clear" w:color="000000" w:fill="FFFFFF"/>
            <w:noWrap/>
            <w:vAlign w:val="center"/>
          </w:tcPr>
          <w:p w14:paraId="157213FA" w14:textId="77777777" w:rsidR="006C730C" w:rsidRPr="00245DC4" w:rsidRDefault="006C730C" w:rsidP="006C730C">
            <w:pPr>
              <w:jc w:val="left"/>
              <w:rPr>
                <w:rFonts w:asciiTheme="minorHAnsi" w:eastAsia="Times New Roman" w:hAnsiTheme="minorHAnsi" w:cstheme="minorHAnsi"/>
                <w:color w:val="000000"/>
                <w:lang w:val="en-AU" w:eastAsia="en-AU" w:bidi="ar-SA"/>
              </w:rPr>
            </w:pPr>
            <w:r w:rsidRPr="007002AF">
              <w:rPr>
                <w:rFonts w:asciiTheme="minorHAnsi" w:eastAsia="Times New Roman" w:hAnsiTheme="minorHAnsi" w:cstheme="minorHAnsi"/>
                <w:color w:val="000000"/>
                <w:lang w:val="en-AU" w:eastAsia="en-AU" w:bidi="ar-SA"/>
              </w:rPr>
              <w:t>Trifloxysulfuron*</w:t>
            </w:r>
          </w:p>
        </w:tc>
        <w:tc>
          <w:tcPr>
            <w:tcW w:w="4536" w:type="dxa"/>
            <w:tcBorders>
              <w:top w:val="nil"/>
              <w:bottom w:val="nil"/>
            </w:tcBorders>
            <w:shd w:val="clear" w:color="auto" w:fill="auto"/>
            <w:vAlign w:val="center"/>
          </w:tcPr>
          <w:p w14:paraId="157213FB" w14:textId="77777777" w:rsidR="006C730C" w:rsidRPr="00245DC4" w:rsidRDefault="00780FEA" w:rsidP="006C730C">
            <w:pPr>
              <w:jc w:val="left"/>
              <w:rPr>
                <w:rFonts w:ascii="Calibri" w:eastAsia="Times New Roman" w:hAnsi="Calibri" w:cs="Calibri"/>
                <w:color w:val="000000"/>
                <w:lang w:val="en-AU" w:eastAsia="en-AU" w:bidi="ar-SA"/>
              </w:rPr>
            </w:pPr>
            <w:r>
              <w:rPr>
                <w:rFonts w:asciiTheme="minorHAnsi" w:eastAsia="Times New Roman" w:hAnsiTheme="minorHAnsi" w:cstheme="minorHAnsi"/>
                <w:color w:val="000000"/>
                <w:lang w:val="en-AU" w:eastAsia="en-AU" w:bidi="ar-SA"/>
              </w:rPr>
              <w:t>Herbicide: i</w:t>
            </w:r>
            <w:r w:rsidR="006C730C" w:rsidRPr="007002AF">
              <w:rPr>
                <w:rFonts w:asciiTheme="minorHAnsi" w:eastAsia="Times New Roman" w:hAnsiTheme="minorHAnsi" w:cstheme="minorHAnsi"/>
                <w:color w:val="000000"/>
                <w:lang w:val="en-AU" w:eastAsia="en-AU" w:bidi="ar-SA"/>
              </w:rPr>
              <w:t>nhibition of ALS – sulfonyl urea</w:t>
            </w:r>
          </w:p>
        </w:tc>
        <w:tc>
          <w:tcPr>
            <w:tcW w:w="1239" w:type="dxa"/>
            <w:tcBorders>
              <w:top w:val="nil"/>
              <w:bottom w:val="nil"/>
            </w:tcBorders>
            <w:vAlign w:val="center"/>
          </w:tcPr>
          <w:p w14:paraId="157213FC" w14:textId="77777777" w:rsidR="006C730C" w:rsidRDefault="006C730C" w:rsidP="006C730C">
            <w:pPr>
              <w:jc w:val="center"/>
              <w:rPr>
                <w:rFonts w:ascii="Calibri" w:eastAsia="Times New Roman" w:hAnsi="Calibri" w:cs="Calibri"/>
                <w:color w:val="000000"/>
                <w:lang w:val="en-AU" w:eastAsia="en-AU" w:bidi="ar-SA"/>
              </w:rPr>
            </w:pPr>
            <w:r>
              <w:rPr>
                <w:rFonts w:asciiTheme="minorHAnsi" w:eastAsia="Times New Roman" w:hAnsiTheme="minorHAnsi" w:cstheme="minorHAnsi"/>
                <w:color w:val="000000"/>
                <w:lang w:val="en-AU" w:eastAsia="en-AU" w:bidi="ar-SA"/>
              </w:rPr>
              <w:t>Of interest</w:t>
            </w:r>
          </w:p>
        </w:tc>
        <w:tc>
          <w:tcPr>
            <w:tcW w:w="769" w:type="dxa"/>
            <w:gridSpan w:val="2"/>
            <w:tcBorders>
              <w:top w:val="nil"/>
              <w:bottom w:val="nil"/>
            </w:tcBorders>
            <w:shd w:val="clear" w:color="auto" w:fill="auto"/>
            <w:noWrap/>
            <w:vAlign w:val="bottom"/>
          </w:tcPr>
          <w:p w14:paraId="157213FD" w14:textId="77777777" w:rsidR="006C730C" w:rsidRPr="00245DC4" w:rsidRDefault="006C730C" w:rsidP="006C730C">
            <w:pPr>
              <w:jc w:val="center"/>
              <w:rPr>
                <w:rFonts w:ascii="Calibri" w:eastAsia="Times New Roman" w:hAnsi="Calibri" w:cs="Calibri"/>
                <w:color w:val="000000"/>
                <w:lang w:val="en-AU" w:eastAsia="en-AU" w:bidi="ar-SA"/>
              </w:rPr>
            </w:pPr>
            <w:r w:rsidRPr="005006A3">
              <w:rPr>
                <w:rFonts w:asciiTheme="minorHAnsi" w:eastAsia="Times New Roman" w:hAnsiTheme="minorHAnsi" w:cstheme="minorHAnsi"/>
                <w:color w:val="000000"/>
                <w:lang w:val="en-AU" w:eastAsia="en-AU" w:bidi="ar-SA"/>
              </w:rPr>
              <w:t> </w:t>
            </w:r>
          </w:p>
        </w:tc>
        <w:tc>
          <w:tcPr>
            <w:tcW w:w="769" w:type="dxa"/>
            <w:gridSpan w:val="2"/>
            <w:tcBorders>
              <w:top w:val="nil"/>
              <w:bottom w:val="nil"/>
            </w:tcBorders>
            <w:shd w:val="clear" w:color="auto" w:fill="auto"/>
            <w:noWrap/>
            <w:vAlign w:val="bottom"/>
          </w:tcPr>
          <w:p w14:paraId="157213FE" w14:textId="77777777" w:rsidR="006C730C" w:rsidRPr="00245DC4" w:rsidRDefault="006C730C" w:rsidP="006C730C">
            <w:pPr>
              <w:jc w:val="center"/>
              <w:rPr>
                <w:rFonts w:ascii="Calibri" w:eastAsia="Times New Roman" w:hAnsi="Calibri" w:cs="Calibri"/>
                <w:color w:val="000000"/>
                <w:lang w:val="en-AU" w:eastAsia="en-AU" w:bidi="ar-SA"/>
              </w:rPr>
            </w:pPr>
            <w:r w:rsidRPr="005006A3">
              <w:rPr>
                <w:rFonts w:asciiTheme="minorHAnsi" w:eastAsia="Times New Roman" w:hAnsiTheme="minorHAnsi" w:cstheme="minorHAnsi"/>
                <w:color w:val="000000"/>
                <w:lang w:val="en-AU" w:eastAsia="en-AU" w:bidi="ar-SA"/>
              </w:rPr>
              <w:t> </w:t>
            </w:r>
          </w:p>
        </w:tc>
        <w:tc>
          <w:tcPr>
            <w:tcW w:w="770" w:type="dxa"/>
            <w:tcBorders>
              <w:top w:val="nil"/>
              <w:bottom w:val="nil"/>
            </w:tcBorders>
            <w:shd w:val="clear" w:color="000000" w:fill="FFFFFF"/>
            <w:noWrap/>
            <w:vAlign w:val="center"/>
          </w:tcPr>
          <w:p w14:paraId="157213FF" w14:textId="77777777" w:rsidR="006C730C" w:rsidRDefault="006C730C" w:rsidP="006C730C">
            <w:pPr>
              <w:jc w:val="center"/>
              <w:rPr>
                <w:rFonts w:ascii="Calibri" w:eastAsia="Times New Roman" w:hAnsi="Calibri" w:cs="Calibri"/>
                <w:color w:val="000000"/>
                <w:lang w:val="en-AU" w:eastAsia="en-AU" w:bidi="ar-SA"/>
              </w:rPr>
            </w:pPr>
          </w:p>
        </w:tc>
      </w:tr>
      <w:tr w:rsidR="00D706B9" w:rsidRPr="00245DC4" w14:paraId="15721407" w14:textId="77777777" w:rsidTr="00780FEA">
        <w:trPr>
          <w:trHeight w:val="375"/>
        </w:trPr>
        <w:tc>
          <w:tcPr>
            <w:tcW w:w="2405" w:type="dxa"/>
            <w:tcBorders>
              <w:top w:val="nil"/>
              <w:bottom w:val="single" w:sz="4" w:space="0" w:color="auto"/>
            </w:tcBorders>
            <w:shd w:val="clear" w:color="000000" w:fill="FFFFFF"/>
            <w:noWrap/>
            <w:vAlign w:val="center"/>
            <w:hideMark/>
          </w:tcPr>
          <w:p w14:paraId="15721401" w14:textId="77777777" w:rsidR="00D706B9" w:rsidRPr="00245DC4" w:rsidRDefault="00D706B9" w:rsidP="00955C32">
            <w:pPr>
              <w:jc w:val="left"/>
              <w:rPr>
                <w:rFonts w:asciiTheme="minorHAnsi" w:eastAsia="Times New Roman" w:hAnsiTheme="minorHAnsi" w:cstheme="minorHAnsi"/>
                <w:color w:val="000000"/>
                <w:lang w:val="en-AU" w:eastAsia="en-AU" w:bidi="ar-SA"/>
              </w:rPr>
            </w:pPr>
            <w:r w:rsidRPr="00245DC4">
              <w:rPr>
                <w:rFonts w:asciiTheme="minorHAnsi" w:eastAsia="Times New Roman" w:hAnsiTheme="minorHAnsi" w:cstheme="minorHAnsi"/>
                <w:color w:val="000000"/>
                <w:lang w:val="en-AU" w:eastAsia="en-AU" w:bidi="ar-SA"/>
              </w:rPr>
              <w:t>Trifluralin</w:t>
            </w:r>
          </w:p>
        </w:tc>
        <w:tc>
          <w:tcPr>
            <w:tcW w:w="4536" w:type="dxa"/>
            <w:tcBorders>
              <w:top w:val="nil"/>
              <w:bottom w:val="single" w:sz="4" w:space="0" w:color="auto"/>
            </w:tcBorders>
            <w:shd w:val="clear" w:color="auto" w:fill="auto"/>
            <w:vAlign w:val="center"/>
            <w:hideMark/>
          </w:tcPr>
          <w:p w14:paraId="15721402" w14:textId="77777777" w:rsidR="00D706B9" w:rsidRPr="00245DC4" w:rsidRDefault="00780FEA" w:rsidP="00955C32">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Herbicide</w:t>
            </w:r>
            <w:r w:rsidR="005B06AA" w:rsidRPr="00245DC4">
              <w:rPr>
                <w:rFonts w:ascii="Calibri" w:eastAsia="Times New Roman" w:hAnsi="Calibri" w:cs="Calibri"/>
                <w:color w:val="000000"/>
                <w:lang w:val="en-AU" w:eastAsia="en-AU" w:bidi="ar-SA"/>
              </w:rPr>
              <w:t xml:space="preserve"> </w:t>
            </w:r>
            <w:r w:rsidR="005B06AA">
              <w:rPr>
                <w:rFonts w:ascii="Calibri" w:eastAsia="Times New Roman" w:hAnsi="Calibri" w:cs="Calibri"/>
                <w:color w:val="000000"/>
                <w:lang w:val="en-AU" w:eastAsia="en-AU" w:bidi="ar-SA"/>
              </w:rPr>
              <w:t>–</w:t>
            </w:r>
            <w:r w:rsidR="005B06AA" w:rsidRPr="00245DC4">
              <w:rPr>
                <w:rFonts w:ascii="Calibri" w:eastAsia="Times New Roman" w:hAnsi="Calibri" w:cs="Calibri"/>
                <w:color w:val="000000"/>
                <w:lang w:val="en-AU" w:eastAsia="en-AU" w:bidi="ar-SA"/>
              </w:rPr>
              <w:t xml:space="preserve"> </w:t>
            </w:r>
            <w:r>
              <w:rPr>
                <w:rFonts w:ascii="Calibri" w:eastAsia="Times New Roman" w:hAnsi="Calibri" w:cs="Calibri"/>
                <w:color w:val="000000"/>
                <w:lang w:val="en-AU" w:eastAsia="en-AU" w:bidi="ar-SA"/>
              </w:rPr>
              <w:t>d</w:t>
            </w:r>
            <w:r w:rsidR="00D706B9" w:rsidRPr="00245DC4">
              <w:rPr>
                <w:rFonts w:ascii="Calibri" w:eastAsia="Times New Roman" w:hAnsi="Calibri" w:cs="Calibri"/>
                <w:color w:val="000000"/>
                <w:lang w:val="en-AU" w:eastAsia="en-AU" w:bidi="ar-SA"/>
              </w:rPr>
              <w:t>intiroaniline</w:t>
            </w:r>
          </w:p>
        </w:tc>
        <w:tc>
          <w:tcPr>
            <w:tcW w:w="1239" w:type="dxa"/>
            <w:tcBorders>
              <w:top w:val="nil"/>
              <w:bottom w:val="single" w:sz="4" w:space="0" w:color="auto"/>
            </w:tcBorders>
            <w:vAlign w:val="center"/>
          </w:tcPr>
          <w:p w14:paraId="15721403" w14:textId="77777777" w:rsidR="00D706B9" w:rsidRPr="00245DC4" w:rsidRDefault="00D706B9" w:rsidP="006C730C">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Priority</w:t>
            </w:r>
          </w:p>
        </w:tc>
        <w:tc>
          <w:tcPr>
            <w:tcW w:w="769" w:type="dxa"/>
            <w:gridSpan w:val="2"/>
            <w:tcBorders>
              <w:top w:val="nil"/>
              <w:bottom w:val="single" w:sz="4" w:space="0" w:color="auto"/>
            </w:tcBorders>
            <w:shd w:val="clear" w:color="auto" w:fill="auto"/>
            <w:noWrap/>
            <w:vAlign w:val="center"/>
            <w:hideMark/>
          </w:tcPr>
          <w:p w14:paraId="15721404" w14:textId="77777777" w:rsidR="00D706B9" w:rsidRPr="00245DC4" w:rsidRDefault="00D706B9" w:rsidP="00955C32">
            <w:pPr>
              <w:jc w:val="center"/>
              <w:rPr>
                <w:rFonts w:ascii="Calibri" w:eastAsia="Times New Roman" w:hAnsi="Calibri" w:cs="Calibri"/>
                <w:color w:val="000000"/>
                <w:lang w:val="en-AU" w:eastAsia="en-AU" w:bidi="ar-SA"/>
              </w:rPr>
            </w:pPr>
          </w:p>
        </w:tc>
        <w:tc>
          <w:tcPr>
            <w:tcW w:w="769" w:type="dxa"/>
            <w:gridSpan w:val="2"/>
            <w:tcBorders>
              <w:top w:val="nil"/>
              <w:bottom w:val="single" w:sz="4" w:space="0" w:color="auto"/>
            </w:tcBorders>
            <w:shd w:val="clear" w:color="auto" w:fill="auto"/>
            <w:noWrap/>
            <w:vAlign w:val="center"/>
            <w:hideMark/>
          </w:tcPr>
          <w:p w14:paraId="15721405" w14:textId="77777777" w:rsidR="00D706B9" w:rsidRPr="00245DC4" w:rsidRDefault="00D706B9" w:rsidP="00955C32">
            <w:pPr>
              <w:jc w:val="center"/>
              <w:rPr>
                <w:rFonts w:ascii="Calibri" w:eastAsia="Times New Roman" w:hAnsi="Calibri" w:cs="Calibri"/>
                <w:color w:val="000000"/>
                <w:lang w:val="en-AU" w:eastAsia="en-AU" w:bidi="ar-SA"/>
              </w:rPr>
            </w:pPr>
          </w:p>
        </w:tc>
        <w:tc>
          <w:tcPr>
            <w:tcW w:w="770" w:type="dxa"/>
            <w:tcBorders>
              <w:top w:val="nil"/>
              <w:bottom w:val="single" w:sz="4" w:space="0" w:color="auto"/>
            </w:tcBorders>
            <w:shd w:val="clear" w:color="000000" w:fill="FFFFFF"/>
            <w:noWrap/>
            <w:vAlign w:val="center"/>
            <w:hideMark/>
          </w:tcPr>
          <w:p w14:paraId="15721406" w14:textId="77777777" w:rsidR="00D706B9" w:rsidRPr="00245DC4" w:rsidRDefault="00D706B9" w:rsidP="00955C32">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0.2</w:t>
            </w:r>
          </w:p>
        </w:tc>
      </w:tr>
    </w:tbl>
    <w:p w14:paraId="15721408" w14:textId="77777777" w:rsidR="00955C32" w:rsidRPr="00780FEA" w:rsidRDefault="0059608E" w:rsidP="00015606">
      <w:pPr>
        <w:spacing w:line="276" w:lineRule="auto"/>
        <w:jc w:val="left"/>
        <w:rPr>
          <w:sz w:val="18"/>
        </w:rPr>
      </w:pPr>
      <w:r w:rsidRPr="00780FEA">
        <w:rPr>
          <w:sz w:val="18"/>
        </w:rPr>
        <w:t>*</w:t>
      </w:r>
      <w:r w:rsidR="00955C32" w:rsidRPr="00780FEA">
        <w:rPr>
          <w:sz w:val="18"/>
        </w:rPr>
        <w:t xml:space="preserve"> </w:t>
      </w:r>
      <w:r w:rsidRPr="00780FEA">
        <w:rPr>
          <w:sz w:val="18"/>
        </w:rPr>
        <w:t xml:space="preserve">Not currently analysed by </w:t>
      </w:r>
      <w:r w:rsidR="00955C32" w:rsidRPr="00780FEA">
        <w:rPr>
          <w:sz w:val="18"/>
        </w:rPr>
        <w:t>QAEHS</w:t>
      </w:r>
    </w:p>
    <w:p w14:paraId="15721409" w14:textId="77777777" w:rsidR="00955C32" w:rsidRPr="00780FEA" w:rsidRDefault="0059608E" w:rsidP="00015606">
      <w:pPr>
        <w:spacing w:line="276" w:lineRule="auto"/>
        <w:jc w:val="left"/>
        <w:rPr>
          <w:sz w:val="18"/>
        </w:rPr>
      </w:pPr>
      <w:r w:rsidRPr="00780FEA">
        <w:rPr>
          <w:sz w:val="18"/>
        </w:rPr>
        <w:t>Shaded chemicals are included as part of the Paddock 2 Reef Integrated Monitoring, Modelling and Reporting Program</w:t>
      </w:r>
    </w:p>
    <w:p w14:paraId="1572140A" w14:textId="0C6644D4" w:rsidR="0059608E" w:rsidRPr="00780FEA" w:rsidRDefault="0059608E" w:rsidP="00015606">
      <w:pPr>
        <w:spacing w:line="276" w:lineRule="auto"/>
        <w:jc w:val="left"/>
        <w:rPr>
          <w:sz w:val="18"/>
        </w:rPr>
      </w:pPr>
      <w:r w:rsidRPr="00780FEA">
        <w:rPr>
          <w:sz w:val="18"/>
        </w:rPr>
        <w:t>Red text indicates that the sampling rate of atrazine has been assumed</w:t>
      </w:r>
      <w:r w:rsidR="005C069F">
        <w:rPr>
          <w:sz w:val="18"/>
        </w:rPr>
        <w:t>.</w:t>
      </w:r>
    </w:p>
    <w:p w14:paraId="1572140B" w14:textId="77777777" w:rsidR="00E31255" w:rsidRDefault="00E31255" w:rsidP="00015606">
      <w:pPr>
        <w:spacing w:line="276" w:lineRule="auto"/>
        <w:jc w:val="left"/>
        <w:rPr>
          <w:sz w:val="18"/>
        </w:rPr>
      </w:pPr>
    </w:p>
    <w:p w14:paraId="1572140C" w14:textId="77777777" w:rsidR="006C730C" w:rsidRDefault="006C730C" w:rsidP="00015606">
      <w:pPr>
        <w:spacing w:line="276" w:lineRule="auto"/>
        <w:jc w:val="left"/>
        <w:rPr>
          <w:sz w:val="18"/>
        </w:rPr>
      </w:pPr>
    </w:p>
    <w:p w14:paraId="1572140D" w14:textId="77777777" w:rsidR="00E31255" w:rsidRPr="008232E9" w:rsidRDefault="008232E9" w:rsidP="008232E9">
      <w:pPr>
        <w:rPr>
          <w:b/>
          <w:sz w:val="24"/>
        </w:rPr>
      </w:pPr>
      <w:r>
        <w:rPr>
          <w:b/>
          <w:sz w:val="24"/>
        </w:rPr>
        <w:t>A-3.</w:t>
      </w:r>
      <w:r>
        <w:rPr>
          <w:b/>
          <w:sz w:val="24"/>
        </w:rPr>
        <w:tab/>
      </w:r>
      <w:r w:rsidR="00E31255" w:rsidRPr="008232E9">
        <w:rPr>
          <w:b/>
          <w:sz w:val="24"/>
        </w:rPr>
        <w:t>Analytical details and quality assurance quality control (QA</w:t>
      </w:r>
      <w:r w:rsidR="008A4B4F" w:rsidRPr="008232E9">
        <w:rPr>
          <w:b/>
          <w:sz w:val="24"/>
        </w:rPr>
        <w:t>/</w:t>
      </w:r>
      <w:r w:rsidR="00E31255" w:rsidRPr="008232E9">
        <w:rPr>
          <w:b/>
          <w:sz w:val="24"/>
        </w:rPr>
        <w:t>QC)</w:t>
      </w:r>
    </w:p>
    <w:p w14:paraId="1572140E" w14:textId="77777777" w:rsidR="00E31255" w:rsidRDefault="00E31255" w:rsidP="00015606">
      <w:pPr>
        <w:spacing w:line="276" w:lineRule="auto"/>
        <w:jc w:val="left"/>
        <w:rPr>
          <w:sz w:val="18"/>
        </w:rPr>
      </w:pPr>
    </w:p>
    <w:p w14:paraId="1572140F" w14:textId="701DC251" w:rsidR="00E31255" w:rsidRPr="00CA6794" w:rsidRDefault="00E31255" w:rsidP="00E31255">
      <w:pPr>
        <w:pStyle w:val="Caption"/>
        <w:spacing w:line="276" w:lineRule="auto"/>
        <w:jc w:val="both"/>
        <w:rPr>
          <w:rFonts w:cs="Arial"/>
          <w:b w:val="0"/>
          <w:sz w:val="22"/>
        </w:rPr>
      </w:pPr>
      <w:r w:rsidRPr="00CA6794">
        <w:rPr>
          <w:rFonts w:cs="Arial"/>
          <w:b w:val="0"/>
          <w:sz w:val="22"/>
        </w:rPr>
        <w:t xml:space="preserve">QAEHS undertakes all herbicide analysis of </w:t>
      </w:r>
      <w:r w:rsidR="00F039E6">
        <w:rPr>
          <w:rFonts w:cs="Arial"/>
          <w:b w:val="0"/>
          <w:sz w:val="22"/>
        </w:rPr>
        <w:t>passive and grab samples using L</w:t>
      </w:r>
      <w:r w:rsidRPr="00CA6794">
        <w:rPr>
          <w:rFonts w:cs="Arial"/>
          <w:b w:val="0"/>
          <w:sz w:val="22"/>
        </w:rPr>
        <w:t xml:space="preserve">iquid </w:t>
      </w:r>
      <w:r w:rsidR="00F039E6">
        <w:rPr>
          <w:rFonts w:cs="Arial"/>
          <w:b w:val="0"/>
          <w:sz w:val="22"/>
        </w:rPr>
        <w:t>C</w:t>
      </w:r>
      <w:r w:rsidRPr="00CA6794">
        <w:rPr>
          <w:rFonts w:cs="Arial"/>
          <w:b w:val="0"/>
          <w:sz w:val="22"/>
        </w:rPr>
        <w:t>hromatograp</w:t>
      </w:r>
      <w:r w:rsidR="0078355E">
        <w:rPr>
          <w:rFonts w:cs="Arial"/>
          <w:b w:val="0"/>
          <w:sz w:val="22"/>
        </w:rPr>
        <w:t>hy-</w:t>
      </w:r>
      <w:r w:rsidR="008324EB">
        <w:rPr>
          <w:rFonts w:cs="Arial"/>
          <w:b w:val="0"/>
          <w:sz w:val="22"/>
        </w:rPr>
        <w:t xml:space="preserve">tandem </w:t>
      </w:r>
      <w:r w:rsidR="00F039E6">
        <w:rPr>
          <w:rFonts w:cs="Arial"/>
          <w:b w:val="0"/>
          <w:sz w:val="22"/>
        </w:rPr>
        <w:t>M</w:t>
      </w:r>
      <w:r w:rsidR="0078355E">
        <w:rPr>
          <w:rFonts w:cs="Arial"/>
          <w:b w:val="0"/>
          <w:sz w:val="22"/>
        </w:rPr>
        <w:t xml:space="preserve">ass </w:t>
      </w:r>
      <w:r w:rsidR="00F039E6">
        <w:rPr>
          <w:rFonts w:cs="Arial"/>
          <w:b w:val="0"/>
          <w:sz w:val="22"/>
        </w:rPr>
        <w:t>S</w:t>
      </w:r>
      <w:r w:rsidR="0078355E">
        <w:rPr>
          <w:rFonts w:cs="Arial"/>
          <w:b w:val="0"/>
          <w:sz w:val="22"/>
        </w:rPr>
        <w:t>pectrometry (LC</w:t>
      </w:r>
      <w:r w:rsidR="008324EB">
        <w:rPr>
          <w:rFonts w:cs="Arial"/>
          <w:b w:val="0"/>
          <w:sz w:val="22"/>
        </w:rPr>
        <w:t>-</w:t>
      </w:r>
      <w:r w:rsidR="0078355E">
        <w:rPr>
          <w:rFonts w:cs="Arial"/>
          <w:b w:val="0"/>
          <w:sz w:val="22"/>
        </w:rPr>
        <w:t>MS/MS).</w:t>
      </w:r>
    </w:p>
    <w:p w14:paraId="15721410" w14:textId="77777777" w:rsidR="00E31255" w:rsidRPr="00CA6794" w:rsidRDefault="00E31255" w:rsidP="00E31255">
      <w:pPr>
        <w:pStyle w:val="Caption"/>
        <w:spacing w:line="276" w:lineRule="auto"/>
        <w:rPr>
          <w:rFonts w:cs="Arial"/>
        </w:rPr>
      </w:pPr>
    </w:p>
    <w:p w14:paraId="15721411" w14:textId="77777777" w:rsidR="00E31255" w:rsidRPr="00CA6794" w:rsidRDefault="00E31255" w:rsidP="00E31255">
      <w:pPr>
        <w:spacing w:line="276" w:lineRule="auto"/>
        <w:rPr>
          <w:rFonts w:cs="Arial"/>
          <w:szCs w:val="18"/>
          <w:lang w:val="en-AU"/>
        </w:rPr>
      </w:pPr>
      <w:r w:rsidRPr="00CA6794">
        <w:rPr>
          <w:rFonts w:cs="Arial"/>
          <w:szCs w:val="18"/>
          <w:lang w:val="en-AU"/>
        </w:rPr>
        <w:t>ED extracts and grab samples were analysed for herbicides using a Sciex QTRAP 6500+ mass spectrometer (Sciex, Concord, Ontario, Canada) equipped with an electrospray (TurboV) interface coupled to a Shimadzu Nexera HPLC system (Shimadzu Corp., Kyoto, Japan). Separation was achieved using a 2.6 micron 50</w:t>
      </w:r>
      <w:r>
        <w:rPr>
          <w:rFonts w:cs="Arial"/>
          <w:szCs w:val="18"/>
          <w:lang w:val="en-AU"/>
        </w:rPr>
        <w:t xml:space="preserve"> </w:t>
      </w:r>
      <w:r w:rsidRPr="00CA6794">
        <w:rPr>
          <w:rFonts w:cs="Arial"/>
          <w:szCs w:val="18"/>
          <w:lang w:val="en-AU"/>
        </w:rPr>
        <w:t>x</w:t>
      </w:r>
      <w:r>
        <w:rPr>
          <w:rFonts w:cs="Arial"/>
          <w:szCs w:val="18"/>
          <w:lang w:val="en-AU"/>
        </w:rPr>
        <w:t xml:space="preserve"> </w:t>
      </w:r>
      <w:r w:rsidRPr="00CA6794">
        <w:rPr>
          <w:rFonts w:cs="Arial"/>
          <w:szCs w:val="18"/>
          <w:lang w:val="en-AU"/>
        </w:rPr>
        <w:t>2.0mm Phenomenex Biphenyl column (Phenomenex, Torrance, CA) run at 45˚C, and a flow rate of 0.3 mL min</w:t>
      </w:r>
      <w:r w:rsidRPr="00CA6794">
        <w:rPr>
          <w:rFonts w:cs="Arial"/>
          <w:szCs w:val="18"/>
          <w:vertAlign w:val="superscript"/>
          <w:lang w:val="en-AU"/>
        </w:rPr>
        <w:t>-1</w:t>
      </w:r>
      <w:r w:rsidRPr="00CA6794">
        <w:rPr>
          <w:rFonts w:cs="Arial"/>
          <w:szCs w:val="18"/>
          <w:lang w:val="en-AU"/>
        </w:rPr>
        <w:t xml:space="preserve"> with a linear gradient starting at 5% B, ramped to 100% B in 5.2 minutes then held at 100% for 4.3 minutes followed by equilibration at 5% B for 3.5 minutes. (A = 1% methanol in HPLC grade water, B = 95% methanol in HPLC grade water, both containing 0.1% acetic acid). The mass spectrometer was operated in both positive and negative ion multiple reaction-monitoring mode, using nitrogen as the collision gas monitoring two transitions for each analyte.</w:t>
      </w:r>
    </w:p>
    <w:p w14:paraId="15721412" w14:textId="77777777" w:rsidR="00E31255" w:rsidRPr="00CA6794" w:rsidRDefault="00E31255" w:rsidP="00E31255">
      <w:pPr>
        <w:spacing w:line="276" w:lineRule="auto"/>
        <w:rPr>
          <w:rFonts w:cs="Arial"/>
          <w:sz w:val="18"/>
          <w:szCs w:val="18"/>
          <w:lang w:val="en-AU"/>
        </w:rPr>
      </w:pPr>
    </w:p>
    <w:p w14:paraId="15721413" w14:textId="77777777" w:rsidR="00E31255" w:rsidRDefault="00E31255" w:rsidP="00E31255">
      <w:pPr>
        <w:spacing w:line="276" w:lineRule="auto"/>
        <w:rPr>
          <w:bCs/>
          <w:szCs w:val="18"/>
        </w:rPr>
      </w:pPr>
      <w:r>
        <w:rPr>
          <w:bCs/>
          <w:szCs w:val="18"/>
        </w:rPr>
        <w:t>Positive results</w:t>
      </w:r>
      <w:r w:rsidRPr="00FA54DF">
        <w:rPr>
          <w:bCs/>
          <w:szCs w:val="18"/>
        </w:rPr>
        <w:t xml:space="preserve"> were confirmed by retention time and by comparing transition intensity ratios between the sample and an appropriate concentration standard from the same run. Samples were reported as positive if the two transitions were present (with peaks having a signal to noise ratio greater than 3), retention time was within 0.15 minutes of the standard and the relative intensity of the confirmation transition was within 20% of the expected value. The value reported was that for the quantitation transition.</w:t>
      </w:r>
    </w:p>
    <w:p w14:paraId="15721414" w14:textId="77777777" w:rsidR="00E31255" w:rsidRDefault="00E31255" w:rsidP="00E31255">
      <w:pPr>
        <w:spacing w:line="276" w:lineRule="auto"/>
        <w:rPr>
          <w:bCs/>
          <w:szCs w:val="18"/>
        </w:rPr>
      </w:pPr>
    </w:p>
    <w:p w14:paraId="15721415" w14:textId="77777777" w:rsidR="0059608E" w:rsidRPr="00E31255" w:rsidRDefault="00E31255" w:rsidP="00E31255">
      <w:pPr>
        <w:spacing w:line="276" w:lineRule="auto"/>
        <w:rPr>
          <w:bCs/>
          <w:szCs w:val="18"/>
        </w:rPr>
      </w:pPr>
      <w:r w:rsidRPr="009E2337">
        <w:rPr>
          <w:bCs/>
          <w:szCs w:val="18"/>
        </w:rPr>
        <w:t xml:space="preserve">Analysis of PDMS extracts for non-polar pesticides was conducted on a Thermo Scientific TSQ Quantum XLS Triple Quadrupole GC-MS/MS. The mass spectrometer was operated in positive ion, multiple reaction monitoring mode, using argon as the collision gas. Prior to introduction into the mass spectrometer, compounds were separated on an Agilent J &amp; W DB5-MS (25m; 0.25mm i.d.; 0.25µm film thickness) column. Samples were injected in </w:t>
      </w:r>
      <w:r>
        <w:rPr>
          <w:bCs/>
          <w:szCs w:val="18"/>
        </w:rPr>
        <w:t>splitless</w:t>
      </w:r>
      <w:r w:rsidRPr="009E2337">
        <w:rPr>
          <w:bCs/>
          <w:szCs w:val="18"/>
        </w:rPr>
        <w:t xml:space="preserve"> mode at 80°C. The GC oven was held at 80°C for 2 minutes and ramped to 180°C at 20°C/minute; held for 0.5 minutes and ramped to 300°C at 10°C/minute and held for 10.5 minutes. The transfer line and ion source were heated at 280°C and 2</w:t>
      </w:r>
      <w:r>
        <w:rPr>
          <w:bCs/>
          <w:szCs w:val="18"/>
        </w:rPr>
        <w:t>7</w:t>
      </w:r>
      <w:r w:rsidRPr="009E2337">
        <w:rPr>
          <w:bCs/>
          <w:szCs w:val="18"/>
        </w:rPr>
        <w:t>0°C respectively. Helium was used as the carrier gas at a rate of 1.0</w:t>
      </w:r>
      <w:r>
        <w:rPr>
          <w:bCs/>
          <w:szCs w:val="18"/>
        </w:rPr>
        <w:t xml:space="preserve"> </w:t>
      </w:r>
      <w:r w:rsidRPr="009E2337">
        <w:rPr>
          <w:bCs/>
          <w:szCs w:val="18"/>
        </w:rPr>
        <w:t>m</w:t>
      </w:r>
      <w:r>
        <w:rPr>
          <w:bCs/>
          <w:szCs w:val="18"/>
        </w:rPr>
        <w:t>L</w:t>
      </w:r>
      <w:r w:rsidRPr="009E2337">
        <w:rPr>
          <w:bCs/>
          <w:szCs w:val="18"/>
        </w:rPr>
        <w:t>/minute. A quantitative and qualitative ion transition was monitored for each compound.</w:t>
      </w:r>
    </w:p>
    <w:p w14:paraId="15721416" w14:textId="77777777" w:rsidR="0059608E" w:rsidRDefault="0059608E" w:rsidP="00015606">
      <w:pPr>
        <w:spacing w:line="276" w:lineRule="auto"/>
        <w:ind w:firstLine="357"/>
        <w:jc w:val="left"/>
      </w:pPr>
    </w:p>
    <w:p w14:paraId="15721417" w14:textId="77777777" w:rsidR="00F47C7E" w:rsidRDefault="00F47C7E" w:rsidP="00257A4D">
      <w:pPr>
        <w:pStyle w:val="Heading1"/>
        <w:sectPr w:rsidR="00F47C7E" w:rsidSect="00A65DBE">
          <w:pgSz w:w="11907" w:h="16840" w:code="9"/>
          <w:pgMar w:top="720" w:right="720" w:bottom="720" w:left="720" w:header="709" w:footer="709" w:gutter="0"/>
          <w:cols w:space="708"/>
          <w:docGrid w:linePitch="360"/>
        </w:sectPr>
      </w:pPr>
      <w:bookmarkStart w:id="755" w:name="_Toc461457785"/>
    </w:p>
    <w:p w14:paraId="15721418" w14:textId="77777777" w:rsidR="00257A4D" w:rsidRPr="00E81161" w:rsidRDefault="00072CDF" w:rsidP="00C60B74">
      <w:pPr>
        <w:pStyle w:val="Heading7"/>
        <w:numPr>
          <w:ilvl w:val="6"/>
          <w:numId w:val="18"/>
        </w:numPr>
        <w:spacing w:after="240"/>
        <w:ind w:left="425" w:hanging="425"/>
      </w:pPr>
      <w:bookmarkStart w:id="756" w:name="_Ref480726661"/>
      <w:bookmarkStart w:id="757" w:name="_Ref480726694"/>
      <w:bookmarkStart w:id="758" w:name="_Toc502500028"/>
      <w:r w:rsidRPr="00E81161">
        <w:t>Water quality guidelines</w:t>
      </w:r>
      <w:bookmarkEnd w:id="756"/>
      <w:bookmarkEnd w:id="757"/>
      <w:bookmarkEnd w:id="758"/>
    </w:p>
    <w:p w14:paraId="15721419" w14:textId="661D6A62" w:rsidR="004638BA" w:rsidRPr="00840E64" w:rsidRDefault="004A2E7A" w:rsidP="004A2E7A">
      <w:pPr>
        <w:pStyle w:val="Caption"/>
        <w:keepNext/>
        <w:spacing w:after="120"/>
        <w:rPr>
          <w:b w:val="0"/>
        </w:rPr>
      </w:pPr>
      <w:bookmarkStart w:id="759" w:name="_Ref480726648"/>
      <w:bookmarkStart w:id="760" w:name="_Toc502499810"/>
      <w:bookmarkEnd w:id="755"/>
      <w:r>
        <w:t xml:space="preserve">Table </w:t>
      </w:r>
      <w:r w:rsidR="00C91BF5">
        <w:fldChar w:fldCharType="begin"/>
      </w:r>
      <w:r w:rsidR="008C60F9">
        <w:instrText xml:space="preserve"> STYLEREF 7 \s </w:instrText>
      </w:r>
      <w:r w:rsidR="00C91BF5">
        <w:fldChar w:fldCharType="separate"/>
      </w:r>
      <w:r w:rsidR="00D12276">
        <w:rPr>
          <w:noProof/>
        </w:rPr>
        <w:t>B</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1</w:t>
      </w:r>
      <w:r w:rsidR="00C91BF5">
        <w:fldChar w:fldCharType="end"/>
      </w:r>
      <w:bookmarkEnd w:id="759"/>
      <w:r>
        <w:t xml:space="preserve">: </w:t>
      </w:r>
      <w:r w:rsidR="00840E64">
        <w:rPr>
          <w:b w:val="0"/>
        </w:rPr>
        <w:t>W</w:t>
      </w:r>
      <w:r w:rsidR="004638BA" w:rsidRPr="00840E64">
        <w:rPr>
          <w:b w:val="0"/>
        </w:rPr>
        <w:t xml:space="preserve">ater quality </w:t>
      </w:r>
      <w:r w:rsidR="00662785">
        <w:rPr>
          <w:b w:val="0"/>
        </w:rPr>
        <w:t>limits</w:t>
      </w:r>
      <w:r w:rsidR="002118E1">
        <w:rPr>
          <w:b w:val="0"/>
        </w:rPr>
        <w:t xml:space="preserve"> </w:t>
      </w:r>
      <w:r w:rsidR="004638BA" w:rsidRPr="00840E64">
        <w:rPr>
          <w:b w:val="0"/>
        </w:rPr>
        <w:t xml:space="preserve">available for pesticides </w:t>
      </w:r>
      <w:r w:rsidR="00F47C7E">
        <w:rPr>
          <w:b w:val="0"/>
        </w:rPr>
        <w:t>(</w:t>
      </w:r>
      <w:r w:rsidR="002118E1">
        <w:rPr>
          <w:b w:val="0"/>
        </w:rPr>
        <w:t xml:space="preserve">protective concentration values, </w:t>
      </w:r>
      <w:r w:rsidR="00F47C7E">
        <w:rPr>
          <w:b w:val="0"/>
        </w:rPr>
        <w:t>PC</w:t>
      </w:r>
      <w:r w:rsidR="00D06199">
        <w:rPr>
          <w:b w:val="0"/>
        </w:rPr>
        <w:t>95 and PC</w:t>
      </w:r>
      <w:r w:rsidR="00F47C7E">
        <w:rPr>
          <w:b w:val="0"/>
        </w:rPr>
        <w:t>99</w:t>
      </w:r>
      <w:r w:rsidR="002118E1">
        <w:rPr>
          <w:b w:val="0"/>
        </w:rPr>
        <w:t>,</w:t>
      </w:r>
      <w:r w:rsidR="00F47C7E">
        <w:rPr>
          <w:b w:val="0"/>
        </w:rPr>
        <w:t xml:space="preserve"> will protect </w:t>
      </w:r>
      <w:r w:rsidR="00D06199">
        <w:rPr>
          <w:b w:val="0"/>
        </w:rPr>
        <w:t>95</w:t>
      </w:r>
      <w:r w:rsidR="002118E1">
        <w:rPr>
          <w:b w:val="0"/>
        </w:rPr>
        <w:t>%</w:t>
      </w:r>
      <w:r w:rsidR="00D06199">
        <w:rPr>
          <w:b w:val="0"/>
        </w:rPr>
        <w:t xml:space="preserve"> and </w:t>
      </w:r>
      <w:r w:rsidR="00F47C7E">
        <w:rPr>
          <w:b w:val="0"/>
        </w:rPr>
        <w:t xml:space="preserve">99% of the species in the </w:t>
      </w:r>
      <w:r w:rsidR="005177E0">
        <w:rPr>
          <w:b w:val="0"/>
        </w:rPr>
        <w:t>ecosystem</w:t>
      </w:r>
      <w:r w:rsidR="00D06199">
        <w:rPr>
          <w:b w:val="0"/>
        </w:rPr>
        <w:t>, respectively</w:t>
      </w:r>
      <w:r w:rsidR="00F47C7E">
        <w:rPr>
          <w:b w:val="0"/>
        </w:rPr>
        <w:t>)</w:t>
      </w:r>
      <w:r w:rsidR="004638BA" w:rsidRPr="00840E64">
        <w:rPr>
          <w:b w:val="0"/>
        </w:rPr>
        <w:t xml:space="preserve"> (ng L</w:t>
      </w:r>
      <w:r w:rsidR="004638BA" w:rsidRPr="00F47C7E">
        <w:rPr>
          <w:b w:val="0"/>
          <w:vertAlign w:val="superscript"/>
        </w:rPr>
        <w:t>-1</w:t>
      </w:r>
      <w:r w:rsidR="004638BA" w:rsidRPr="00840E64">
        <w:rPr>
          <w:b w:val="0"/>
        </w:rPr>
        <w:t>)</w:t>
      </w:r>
      <w:r w:rsidR="00CC75AA">
        <w:rPr>
          <w:b w:val="0"/>
        </w:rPr>
        <w:t>.</w:t>
      </w:r>
      <w:bookmarkEnd w:id="760"/>
      <w:r w:rsidR="00CC75AA">
        <w:rPr>
          <w:b w:val="0"/>
        </w:rPr>
        <w:t xml:space="preserve"> </w:t>
      </w:r>
    </w:p>
    <w:tbl>
      <w:tblPr>
        <w:tblStyle w:val="MediumShading2-Accent5"/>
        <w:tblW w:w="15559" w:type="dxa"/>
        <w:tblLook w:val="04A0" w:firstRow="1" w:lastRow="0" w:firstColumn="1" w:lastColumn="0" w:noHBand="0" w:noVBand="1"/>
        <w:tblCaption w:val="Water quality limits available for pesticides"/>
        <w:tblDescription w:val="Water quality limits available for pesticides (protective concentration values, PC95 and PC99, will protect 95% and 99% of the species in the ecosystem, respectively) (ng L-1). "/>
      </w:tblPr>
      <w:tblGrid>
        <w:gridCol w:w="1667"/>
        <w:gridCol w:w="1660"/>
        <w:gridCol w:w="3536"/>
        <w:gridCol w:w="1551"/>
        <w:gridCol w:w="3156"/>
        <w:gridCol w:w="1564"/>
        <w:gridCol w:w="167"/>
        <w:gridCol w:w="2258"/>
      </w:tblGrid>
      <w:tr w:rsidR="002118E1" w:rsidRPr="00AC0CC1" w14:paraId="1572141F" w14:textId="77777777" w:rsidTr="008C7DB4">
        <w:trPr>
          <w:cnfStyle w:val="100000000000" w:firstRow="1" w:lastRow="0" w:firstColumn="0" w:lastColumn="0" w:oddVBand="0" w:evenVBand="0" w:oddHBand="0" w:evenHBand="0" w:firstRowFirstColumn="0" w:firstRowLastColumn="0" w:lastRowFirstColumn="0" w:lastRowLastColumn="0"/>
          <w:trHeight w:val="339"/>
          <w:tblHeader/>
        </w:trPr>
        <w:tc>
          <w:tcPr>
            <w:cnfStyle w:val="001000000100" w:firstRow="0" w:lastRow="0" w:firstColumn="1" w:lastColumn="0" w:oddVBand="0" w:evenVBand="0" w:oddHBand="0" w:evenHBand="0" w:firstRowFirstColumn="1" w:firstRowLastColumn="0" w:lastRowFirstColumn="0" w:lastRowLastColumn="0"/>
            <w:tcW w:w="1667" w:type="dxa"/>
            <w:vMerge w:val="restart"/>
            <w:tcBorders>
              <w:top w:val="single" w:sz="2" w:space="0" w:color="auto"/>
            </w:tcBorders>
            <w:shd w:val="clear" w:color="auto" w:fill="F2F2F2" w:themeFill="background1" w:themeFillShade="F2"/>
            <w:vAlign w:val="center"/>
          </w:tcPr>
          <w:p w14:paraId="1572141A" w14:textId="77777777" w:rsidR="006504D6" w:rsidRPr="00AC0CC1" w:rsidRDefault="006504D6"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2"/>
                <w:lang w:val="en-AU" w:eastAsia="en-AU"/>
              </w:rPr>
              <w:t>Chemical</w:t>
            </w:r>
          </w:p>
        </w:tc>
        <w:tc>
          <w:tcPr>
            <w:tcW w:w="5196" w:type="dxa"/>
            <w:gridSpan w:val="2"/>
            <w:tcBorders>
              <w:top w:val="single" w:sz="2" w:space="0" w:color="auto"/>
            </w:tcBorders>
            <w:shd w:val="clear" w:color="auto" w:fill="F2F2F2" w:themeFill="background1" w:themeFillShade="F2"/>
            <w:vAlign w:val="center"/>
          </w:tcPr>
          <w:p w14:paraId="1572141C" w14:textId="327EB390" w:rsidR="004003F7" w:rsidRPr="001C5A8A" w:rsidRDefault="002118E1" w:rsidP="00AC0CC1">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2"/>
                <w:vertAlign w:val="superscript"/>
                <w:lang w:val="en-AU" w:eastAsia="en-AU"/>
              </w:rPr>
            </w:pPr>
            <w:r w:rsidRPr="00AC0CC1">
              <w:rPr>
                <w:rFonts w:asciiTheme="minorHAnsi" w:hAnsiTheme="minorHAnsi" w:cstheme="minorHAnsi"/>
                <w:color w:val="auto"/>
                <w:sz w:val="22"/>
                <w:lang w:val="en-AU" w:eastAsia="en-AU"/>
              </w:rPr>
              <w:t>DSITI p</w:t>
            </w:r>
            <w:r w:rsidR="00CE36E8" w:rsidRPr="00AC0CC1">
              <w:rPr>
                <w:rFonts w:asciiTheme="minorHAnsi" w:hAnsiTheme="minorHAnsi" w:cstheme="minorHAnsi"/>
                <w:color w:val="auto"/>
                <w:sz w:val="22"/>
                <w:lang w:val="en-AU" w:eastAsia="en-AU"/>
              </w:rPr>
              <w:t xml:space="preserve">roposed </w:t>
            </w:r>
            <w:r w:rsidR="00F039E6">
              <w:rPr>
                <w:rFonts w:asciiTheme="minorHAnsi" w:hAnsiTheme="minorHAnsi" w:cstheme="minorHAnsi"/>
                <w:color w:val="auto"/>
                <w:sz w:val="22"/>
                <w:lang w:val="en-AU" w:eastAsia="en-AU"/>
              </w:rPr>
              <w:t>g</w:t>
            </w:r>
            <w:r w:rsidR="008C7DB4">
              <w:rPr>
                <w:rFonts w:asciiTheme="minorHAnsi" w:hAnsiTheme="minorHAnsi" w:cstheme="minorHAnsi"/>
                <w:color w:val="auto"/>
                <w:sz w:val="22"/>
                <w:lang w:val="en-AU" w:eastAsia="en-AU"/>
              </w:rPr>
              <w:t xml:space="preserve">uideline </w:t>
            </w:r>
            <w:r w:rsidR="00F039E6">
              <w:rPr>
                <w:rFonts w:asciiTheme="minorHAnsi" w:hAnsiTheme="minorHAnsi" w:cstheme="minorHAnsi"/>
                <w:color w:val="auto"/>
                <w:sz w:val="22"/>
                <w:lang w:val="en-AU" w:eastAsia="en-AU"/>
              </w:rPr>
              <w:t>v</w:t>
            </w:r>
            <w:r w:rsidR="008C7DB4">
              <w:rPr>
                <w:rFonts w:asciiTheme="minorHAnsi" w:hAnsiTheme="minorHAnsi" w:cstheme="minorHAnsi"/>
                <w:color w:val="auto"/>
                <w:sz w:val="22"/>
                <w:lang w:val="en-AU" w:eastAsia="en-AU"/>
              </w:rPr>
              <w:t>alue</w:t>
            </w:r>
            <w:r w:rsidR="00CE36E8" w:rsidRPr="00AC0CC1">
              <w:rPr>
                <w:rFonts w:asciiTheme="minorHAnsi" w:hAnsiTheme="minorHAnsi" w:cstheme="minorHAnsi"/>
                <w:color w:val="auto"/>
                <w:sz w:val="22"/>
                <w:lang w:val="en-AU" w:eastAsia="en-AU"/>
              </w:rPr>
              <w:t>s</w:t>
            </w:r>
            <w:r w:rsidR="000A467A">
              <w:rPr>
                <w:rFonts w:asciiTheme="minorHAnsi" w:hAnsiTheme="minorHAnsi" w:cstheme="minorHAnsi"/>
                <w:color w:val="auto"/>
                <w:sz w:val="22"/>
                <w:lang w:val="en-AU" w:eastAsia="en-AU"/>
              </w:rPr>
              <w:t xml:space="preserve"> (GV)</w:t>
            </w:r>
            <w:r w:rsidR="00662785" w:rsidRPr="00662785">
              <w:rPr>
                <w:rFonts w:asciiTheme="minorHAnsi" w:hAnsiTheme="minorHAnsi" w:cstheme="minorHAnsi"/>
                <w:color w:val="auto"/>
                <w:sz w:val="22"/>
                <w:vertAlign w:val="superscript"/>
                <w:lang w:val="en-AU" w:eastAsia="en-AU"/>
              </w:rPr>
              <w:t>a</w:t>
            </w:r>
          </w:p>
        </w:tc>
        <w:tc>
          <w:tcPr>
            <w:tcW w:w="4707" w:type="dxa"/>
            <w:gridSpan w:val="2"/>
            <w:tcBorders>
              <w:top w:val="single" w:sz="2" w:space="0" w:color="auto"/>
            </w:tcBorders>
            <w:shd w:val="clear" w:color="auto" w:fill="F2F2F2" w:themeFill="background1" w:themeFillShade="F2"/>
            <w:vAlign w:val="center"/>
          </w:tcPr>
          <w:p w14:paraId="1572141D" w14:textId="77777777" w:rsidR="006504D6" w:rsidRPr="00AC0CC1" w:rsidRDefault="006504D6" w:rsidP="00AC0CC1">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0"/>
                <w:lang w:val="en-AU" w:eastAsia="en-AU"/>
              </w:rPr>
            </w:pPr>
            <w:r w:rsidRPr="00AC0CC1">
              <w:rPr>
                <w:rFonts w:asciiTheme="minorHAnsi" w:hAnsiTheme="minorHAnsi" w:cstheme="minorHAnsi"/>
                <w:color w:val="auto"/>
                <w:sz w:val="22"/>
                <w:lang w:val="en-AU" w:eastAsia="en-AU"/>
              </w:rPr>
              <w:t>ANZECC and ARMCANZ</w:t>
            </w:r>
            <w:r w:rsidR="00662785">
              <w:rPr>
                <w:rFonts w:asciiTheme="minorHAnsi" w:hAnsiTheme="minorHAnsi" w:cstheme="minorHAnsi"/>
                <w:color w:val="auto"/>
                <w:sz w:val="22"/>
                <w:vertAlign w:val="superscript"/>
                <w:lang w:val="en-AU" w:eastAsia="en-AU"/>
              </w:rPr>
              <w:t>c</w:t>
            </w:r>
          </w:p>
        </w:tc>
        <w:tc>
          <w:tcPr>
            <w:tcW w:w="3989" w:type="dxa"/>
            <w:gridSpan w:val="3"/>
            <w:tcBorders>
              <w:top w:val="single" w:sz="2" w:space="0" w:color="auto"/>
            </w:tcBorders>
            <w:shd w:val="clear" w:color="auto" w:fill="F2F2F2" w:themeFill="background1" w:themeFillShade="F2"/>
            <w:vAlign w:val="center"/>
          </w:tcPr>
          <w:p w14:paraId="1572141E" w14:textId="77777777" w:rsidR="006504D6" w:rsidRPr="00AC0CC1" w:rsidRDefault="006504D6" w:rsidP="00AC0CC1">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2"/>
                <w:lang w:val="en-AU" w:eastAsia="en-AU"/>
              </w:rPr>
            </w:pPr>
            <w:r w:rsidRPr="00AC0CC1">
              <w:rPr>
                <w:rFonts w:asciiTheme="minorHAnsi" w:hAnsiTheme="minorHAnsi" w:cstheme="minorHAnsi"/>
                <w:color w:val="auto"/>
                <w:sz w:val="22"/>
                <w:lang w:val="en-AU" w:eastAsia="en-AU"/>
              </w:rPr>
              <w:t>GBRMPA</w:t>
            </w:r>
            <w:r w:rsidR="00662785">
              <w:rPr>
                <w:rFonts w:asciiTheme="minorHAnsi" w:hAnsiTheme="minorHAnsi" w:cstheme="minorHAnsi"/>
                <w:color w:val="auto"/>
                <w:sz w:val="22"/>
                <w:vertAlign w:val="superscript"/>
                <w:lang w:val="en-AU" w:eastAsia="en-AU"/>
              </w:rPr>
              <w:t>e</w:t>
            </w:r>
          </w:p>
        </w:tc>
      </w:tr>
      <w:tr w:rsidR="002118E1" w:rsidRPr="00AC0CC1" w14:paraId="15721427" w14:textId="77777777" w:rsidTr="008C7DB4">
        <w:trPr>
          <w:cnfStyle w:val="100000000000" w:firstRow="1" w:lastRow="0" w:firstColumn="0" w:lastColumn="0" w:oddVBand="0" w:evenVBand="0" w:oddHBand="0" w:evenHBand="0" w:firstRowFirstColumn="0" w:firstRowLastColumn="0" w:lastRowFirstColumn="0" w:lastRowLastColumn="0"/>
          <w:trHeight w:val="35"/>
          <w:tblHeader/>
        </w:trPr>
        <w:tc>
          <w:tcPr>
            <w:cnfStyle w:val="001000000100" w:firstRow="0" w:lastRow="0" w:firstColumn="1" w:lastColumn="0" w:oddVBand="0" w:evenVBand="0" w:oddHBand="0" w:evenHBand="0" w:firstRowFirstColumn="1" w:firstRowLastColumn="0" w:lastRowFirstColumn="0" w:lastRowLastColumn="0"/>
            <w:tcW w:w="1667" w:type="dxa"/>
            <w:vMerge/>
            <w:tcBorders>
              <w:bottom w:val="single" w:sz="2" w:space="0" w:color="auto"/>
            </w:tcBorders>
            <w:shd w:val="clear" w:color="auto" w:fill="F2F2F2" w:themeFill="background1" w:themeFillShade="F2"/>
            <w:vAlign w:val="center"/>
          </w:tcPr>
          <w:p w14:paraId="15721420" w14:textId="77777777" w:rsidR="005177E0" w:rsidRPr="00AC0CC1" w:rsidRDefault="005177E0" w:rsidP="00AC0CC1">
            <w:pPr>
              <w:pStyle w:val="Caption"/>
              <w:rPr>
                <w:rFonts w:asciiTheme="minorHAnsi" w:hAnsiTheme="minorHAnsi" w:cstheme="minorHAnsi"/>
                <w:color w:val="auto"/>
                <w:sz w:val="20"/>
                <w:lang w:val="en-AU" w:eastAsia="en-AU"/>
              </w:rPr>
            </w:pPr>
          </w:p>
        </w:tc>
        <w:tc>
          <w:tcPr>
            <w:tcW w:w="1660" w:type="dxa"/>
            <w:tcBorders>
              <w:bottom w:val="single" w:sz="2" w:space="0" w:color="auto"/>
            </w:tcBorders>
            <w:shd w:val="clear" w:color="auto" w:fill="F2F2F2" w:themeFill="background1" w:themeFillShade="F2"/>
            <w:vAlign w:val="center"/>
          </w:tcPr>
          <w:p w14:paraId="15721421" w14:textId="77777777" w:rsidR="005177E0" w:rsidRPr="00AC0CC1" w:rsidRDefault="008C7DB4" w:rsidP="008C7DB4">
            <w:pPr>
              <w:pStyle w:val="Caption"/>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2"/>
                <w:lang w:val="en-AU" w:eastAsia="en-AU"/>
              </w:rPr>
            </w:pPr>
            <w:r>
              <w:rPr>
                <w:rFonts w:asciiTheme="minorHAnsi" w:hAnsiTheme="minorHAnsi" w:cstheme="minorHAnsi"/>
                <w:color w:val="auto"/>
                <w:sz w:val="22"/>
                <w:lang w:val="en-AU" w:eastAsia="en-AU"/>
              </w:rPr>
              <w:t>Proposed GV</w:t>
            </w:r>
          </w:p>
        </w:tc>
        <w:tc>
          <w:tcPr>
            <w:tcW w:w="3536" w:type="dxa"/>
            <w:tcBorders>
              <w:bottom w:val="single" w:sz="2" w:space="0" w:color="auto"/>
            </w:tcBorders>
            <w:shd w:val="clear" w:color="auto" w:fill="F2F2F2" w:themeFill="background1" w:themeFillShade="F2"/>
            <w:vAlign w:val="center"/>
          </w:tcPr>
          <w:p w14:paraId="15721422" w14:textId="77777777" w:rsidR="005177E0" w:rsidRPr="00AC0CC1" w:rsidRDefault="005177E0" w:rsidP="00AC0CC1">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2"/>
                <w:lang w:val="en-AU" w:eastAsia="en-AU"/>
              </w:rPr>
            </w:pPr>
            <w:r w:rsidRPr="00AC0CC1">
              <w:rPr>
                <w:rFonts w:asciiTheme="minorHAnsi" w:hAnsiTheme="minorHAnsi" w:cstheme="minorHAnsi"/>
                <w:color w:val="auto"/>
                <w:sz w:val="22"/>
                <w:lang w:val="en-AU" w:eastAsia="en-AU"/>
              </w:rPr>
              <w:t>Notes</w:t>
            </w:r>
          </w:p>
        </w:tc>
        <w:tc>
          <w:tcPr>
            <w:tcW w:w="1551" w:type="dxa"/>
            <w:tcBorders>
              <w:bottom w:val="single" w:sz="2" w:space="0" w:color="auto"/>
            </w:tcBorders>
            <w:shd w:val="clear" w:color="auto" w:fill="F2F2F2" w:themeFill="background1" w:themeFillShade="F2"/>
            <w:vAlign w:val="center"/>
          </w:tcPr>
          <w:p w14:paraId="15721423" w14:textId="77777777" w:rsidR="005177E0" w:rsidRPr="00AC0CC1" w:rsidRDefault="005177E0" w:rsidP="008C7DB4">
            <w:pPr>
              <w:pStyle w:val="Caption"/>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2"/>
                <w:lang w:val="en-AU" w:eastAsia="en-AU"/>
              </w:rPr>
            </w:pPr>
            <w:r w:rsidRPr="00AC0CC1">
              <w:rPr>
                <w:rFonts w:asciiTheme="minorHAnsi" w:hAnsiTheme="minorHAnsi" w:cstheme="minorHAnsi"/>
                <w:color w:val="auto"/>
                <w:sz w:val="22"/>
                <w:lang w:val="en-AU" w:eastAsia="en-AU"/>
              </w:rPr>
              <w:t>Trigger Value</w:t>
            </w:r>
          </w:p>
        </w:tc>
        <w:tc>
          <w:tcPr>
            <w:tcW w:w="3156" w:type="dxa"/>
            <w:tcBorders>
              <w:bottom w:val="single" w:sz="2" w:space="0" w:color="auto"/>
            </w:tcBorders>
            <w:shd w:val="clear" w:color="auto" w:fill="F2F2F2" w:themeFill="background1" w:themeFillShade="F2"/>
            <w:vAlign w:val="center"/>
          </w:tcPr>
          <w:p w14:paraId="15721424" w14:textId="77777777" w:rsidR="005177E0" w:rsidRPr="00AC0CC1" w:rsidRDefault="005177E0" w:rsidP="00AC0CC1">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2"/>
                <w:lang w:val="en-AU" w:eastAsia="en-AU"/>
              </w:rPr>
            </w:pPr>
            <w:r w:rsidRPr="00AC0CC1">
              <w:rPr>
                <w:rFonts w:asciiTheme="minorHAnsi" w:hAnsiTheme="minorHAnsi" w:cstheme="minorHAnsi"/>
                <w:color w:val="auto"/>
                <w:sz w:val="22"/>
                <w:lang w:val="en-AU" w:eastAsia="en-AU"/>
              </w:rPr>
              <w:t>Notes</w:t>
            </w:r>
          </w:p>
        </w:tc>
        <w:tc>
          <w:tcPr>
            <w:tcW w:w="1731" w:type="dxa"/>
            <w:gridSpan w:val="2"/>
            <w:tcBorders>
              <w:bottom w:val="single" w:sz="2" w:space="0" w:color="auto"/>
            </w:tcBorders>
            <w:shd w:val="clear" w:color="auto" w:fill="F2F2F2" w:themeFill="background1" w:themeFillShade="F2"/>
          </w:tcPr>
          <w:p w14:paraId="15721425" w14:textId="77777777" w:rsidR="005177E0" w:rsidRPr="00AC0CC1" w:rsidRDefault="008C7DB4" w:rsidP="00AC0CC1">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2"/>
                <w:lang w:val="en-AU" w:eastAsia="en-AU"/>
              </w:rPr>
            </w:pPr>
            <w:r>
              <w:rPr>
                <w:rFonts w:asciiTheme="minorHAnsi" w:hAnsiTheme="minorHAnsi" w:cstheme="minorHAnsi"/>
                <w:color w:val="auto"/>
                <w:sz w:val="22"/>
                <w:lang w:val="en-AU" w:eastAsia="en-AU"/>
              </w:rPr>
              <w:t>Protective Concentration</w:t>
            </w:r>
          </w:p>
        </w:tc>
        <w:tc>
          <w:tcPr>
            <w:tcW w:w="2258" w:type="dxa"/>
            <w:tcBorders>
              <w:bottom w:val="single" w:sz="2" w:space="0" w:color="auto"/>
            </w:tcBorders>
            <w:shd w:val="clear" w:color="auto" w:fill="F2F2F2" w:themeFill="background1" w:themeFillShade="F2"/>
          </w:tcPr>
          <w:p w14:paraId="15721426" w14:textId="77777777" w:rsidR="005177E0" w:rsidRPr="00AC0CC1" w:rsidRDefault="005177E0" w:rsidP="00AC0CC1">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2"/>
                <w:lang w:val="en-AU" w:eastAsia="en-AU"/>
              </w:rPr>
            </w:pPr>
            <w:r w:rsidRPr="00AC0CC1">
              <w:rPr>
                <w:rFonts w:asciiTheme="minorHAnsi" w:hAnsiTheme="minorHAnsi" w:cstheme="minorHAnsi"/>
                <w:color w:val="auto"/>
                <w:sz w:val="22"/>
                <w:lang w:val="en-AU" w:eastAsia="en-AU"/>
              </w:rPr>
              <w:t>Notes</w:t>
            </w:r>
          </w:p>
        </w:tc>
      </w:tr>
      <w:tr w:rsidR="00F0210B" w:rsidRPr="00AC0CC1" w14:paraId="1572142F" w14:textId="77777777" w:rsidTr="008C7DB4">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bottom w:val="single" w:sz="2" w:space="0" w:color="auto"/>
            </w:tcBorders>
            <w:shd w:val="clear" w:color="auto" w:fill="FFFFFF" w:themeFill="background1"/>
            <w:vAlign w:val="center"/>
          </w:tcPr>
          <w:p w14:paraId="15721428" w14:textId="77777777" w:rsidR="00F0210B" w:rsidRPr="00AC0CC1" w:rsidRDefault="00F0210B"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2,4-D</w:t>
            </w:r>
          </w:p>
        </w:tc>
        <w:tc>
          <w:tcPr>
            <w:tcW w:w="1660" w:type="dxa"/>
            <w:tcBorders>
              <w:top w:val="nil"/>
              <w:bottom w:val="single" w:sz="2" w:space="0" w:color="auto"/>
            </w:tcBorders>
            <w:shd w:val="clear" w:color="auto" w:fill="FFFFFF" w:themeFill="background1"/>
            <w:vAlign w:val="center"/>
          </w:tcPr>
          <w:p w14:paraId="15721429" w14:textId="3919A830" w:rsidR="00F0210B" w:rsidRPr="001C5A8A" w:rsidRDefault="001C5A8A"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1,040</w:t>
            </w:r>
            <w:r w:rsidR="00F0210B" w:rsidRPr="001C5A8A">
              <w:rPr>
                <w:rFonts w:asciiTheme="minorHAnsi" w:hAnsiTheme="minorHAnsi" w:cstheme="minorHAnsi"/>
                <w:b w:val="0"/>
                <w:sz w:val="20"/>
                <w:lang w:val="en-AU" w:eastAsia="en-AU"/>
              </w:rPr>
              <w:t>,000</w:t>
            </w:r>
          </w:p>
        </w:tc>
        <w:tc>
          <w:tcPr>
            <w:tcW w:w="3536" w:type="dxa"/>
            <w:tcBorders>
              <w:top w:val="nil"/>
              <w:bottom w:val="single" w:sz="2" w:space="0" w:color="auto"/>
            </w:tcBorders>
            <w:shd w:val="clear" w:color="auto" w:fill="FFFFFF" w:themeFill="background1"/>
            <w:vAlign w:val="center"/>
          </w:tcPr>
          <w:p w14:paraId="1572142A"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low reliability; Marine water</w:t>
            </w:r>
          </w:p>
        </w:tc>
        <w:tc>
          <w:tcPr>
            <w:tcW w:w="1551" w:type="dxa"/>
            <w:tcBorders>
              <w:top w:val="nil"/>
              <w:bottom w:val="single" w:sz="2" w:space="0" w:color="auto"/>
            </w:tcBorders>
            <w:shd w:val="clear" w:color="auto" w:fill="FFFFFF" w:themeFill="background1"/>
            <w:vAlign w:val="center"/>
          </w:tcPr>
          <w:p w14:paraId="1572142B"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nil"/>
              <w:bottom w:val="single" w:sz="2" w:space="0" w:color="auto"/>
            </w:tcBorders>
            <w:shd w:val="clear" w:color="auto" w:fill="FFFFFF" w:themeFill="background1"/>
            <w:vAlign w:val="center"/>
          </w:tcPr>
          <w:p w14:paraId="1572142C"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bottom w:val="single" w:sz="2" w:space="0" w:color="auto"/>
            </w:tcBorders>
            <w:shd w:val="clear" w:color="auto" w:fill="FFFFFF" w:themeFill="background1"/>
            <w:vAlign w:val="center"/>
          </w:tcPr>
          <w:p w14:paraId="1572142D"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bottom w:val="single" w:sz="2" w:space="0" w:color="auto"/>
            </w:tcBorders>
            <w:shd w:val="clear" w:color="auto" w:fill="FFFFFF" w:themeFill="background1"/>
            <w:vAlign w:val="center"/>
          </w:tcPr>
          <w:p w14:paraId="1572142E"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F0210B" w:rsidRPr="00AC0CC1" w14:paraId="15721437" w14:textId="77777777" w:rsidTr="008C7DB4">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tcBorders>
            <w:shd w:val="clear" w:color="auto" w:fill="FFFFFF" w:themeFill="background1"/>
            <w:vAlign w:val="center"/>
          </w:tcPr>
          <w:p w14:paraId="15721430" w14:textId="77777777" w:rsidR="00F0210B" w:rsidRPr="00AC0CC1" w:rsidRDefault="00F0210B"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Ametryn</w:t>
            </w:r>
          </w:p>
        </w:tc>
        <w:tc>
          <w:tcPr>
            <w:tcW w:w="1660" w:type="dxa"/>
            <w:tcBorders>
              <w:top w:val="single" w:sz="8" w:space="0" w:color="auto"/>
              <w:bottom w:val="nil"/>
            </w:tcBorders>
            <w:shd w:val="clear" w:color="auto" w:fill="FFFFFF" w:themeFill="background1"/>
            <w:vAlign w:val="center"/>
          </w:tcPr>
          <w:p w14:paraId="15721431" w14:textId="6E76621A" w:rsidR="00F0210B" w:rsidRPr="001C5A8A" w:rsidRDefault="001C5A8A"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100</w:t>
            </w:r>
          </w:p>
        </w:tc>
        <w:tc>
          <w:tcPr>
            <w:tcW w:w="3536" w:type="dxa"/>
            <w:tcBorders>
              <w:top w:val="single" w:sz="8" w:space="0" w:color="auto"/>
              <w:bottom w:val="nil"/>
            </w:tcBorders>
            <w:shd w:val="clear" w:color="auto" w:fill="FFFFFF" w:themeFill="background1"/>
            <w:vAlign w:val="center"/>
          </w:tcPr>
          <w:p w14:paraId="15721432"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top w:val="single" w:sz="8" w:space="0" w:color="auto"/>
              <w:bottom w:val="nil"/>
            </w:tcBorders>
            <w:shd w:val="clear" w:color="auto" w:fill="FFFFFF" w:themeFill="background1"/>
            <w:vAlign w:val="center"/>
          </w:tcPr>
          <w:p w14:paraId="15721433" w14:textId="77777777" w:rsidR="00F0210B" w:rsidRPr="00AC0CC1"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8" w:space="0" w:color="auto"/>
              <w:bottom w:val="nil"/>
            </w:tcBorders>
            <w:shd w:val="clear" w:color="auto" w:fill="FFFFFF" w:themeFill="background1"/>
            <w:vAlign w:val="center"/>
          </w:tcPr>
          <w:p w14:paraId="15721434"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tcBorders>
            <w:shd w:val="clear" w:color="auto" w:fill="FFFFFF" w:themeFill="background1"/>
            <w:vAlign w:val="center"/>
          </w:tcPr>
          <w:p w14:paraId="15721435" w14:textId="77777777" w:rsidR="00F0210B" w:rsidRPr="00AC0CC1"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500</w:t>
            </w:r>
          </w:p>
        </w:tc>
        <w:tc>
          <w:tcPr>
            <w:tcW w:w="2425" w:type="dxa"/>
            <w:gridSpan w:val="2"/>
            <w:tcBorders>
              <w:top w:val="single" w:sz="2" w:space="0" w:color="auto"/>
            </w:tcBorders>
            <w:shd w:val="clear" w:color="auto" w:fill="FFFFFF" w:themeFill="background1"/>
            <w:vAlign w:val="center"/>
          </w:tcPr>
          <w:p w14:paraId="15721436"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w:t>
            </w:r>
          </w:p>
        </w:tc>
      </w:tr>
      <w:tr w:rsidR="00F0210B" w:rsidRPr="00AC0CC1" w14:paraId="1572143F" w14:textId="77777777" w:rsidTr="008C7DB4">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bottom w:val="single" w:sz="2" w:space="0" w:color="auto"/>
            </w:tcBorders>
            <w:shd w:val="clear" w:color="auto" w:fill="FFFFFF" w:themeFill="background1"/>
            <w:vAlign w:val="center"/>
          </w:tcPr>
          <w:p w14:paraId="15721438" w14:textId="77777777" w:rsidR="00F0210B" w:rsidRPr="00AC0CC1" w:rsidRDefault="00F0210B" w:rsidP="00AC0CC1">
            <w:pPr>
              <w:pStyle w:val="Caption"/>
              <w:rPr>
                <w:rFonts w:asciiTheme="minorHAnsi" w:hAnsiTheme="minorHAnsi" w:cstheme="minorHAnsi"/>
                <w:color w:val="auto"/>
                <w:sz w:val="20"/>
                <w:lang w:val="en-AU" w:eastAsia="en-AU"/>
              </w:rPr>
            </w:pPr>
          </w:p>
        </w:tc>
        <w:tc>
          <w:tcPr>
            <w:tcW w:w="1660" w:type="dxa"/>
            <w:tcBorders>
              <w:top w:val="nil"/>
              <w:bottom w:val="single" w:sz="2" w:space="0" w:color="auto"/>
            </w:tcBorders>
            <w:shd w:val="clear" w:color="auto" w:fill="FFFFFF" w:themeFill="background1"/>
            <w:vAlign w:val="center"/>
          </w:tcPr>
          <w:p w14:paraId="15721439" w14:textId="77777777" w:rsidR="00F0210B" w:rsidRPr="001C5A8A"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single" w:sz="2" w:space="0" w:color="auto"/>
            </w:tcBorders>
            <w:shd w:val="clear" w:color="auto" w:fill="FFFFFF" w:themeFill="background1"/>
            <w:vAlign w:val="center"/>
          </w:tcPr>
          <w:p w14:paraId="1572143A"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single" w:sz="2" w:space="0" w:color="auto"/>
            </w:tcBorders>
            <w:shd w:val="clear" w:color="auto" w:fill="FFFFFF" w:themeFill="background1"/>
            <w:vAlign w:val="center"/>
          </w:tcPr>
          <w:p w14:paraId="1572143B"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nil"/>
              <w:bottom w:val="single" w:sz="2" w:space="0" w:color="auto"/>
            </w:tcBorders>
            <w:shd w:val="clear" w:color="auto" w:fill="FFFFFF" w:themeFill="background1"/>
            <w:vAlign w:val="center"/>
          </w:tcPr>
          <w:p w14:paraId="1572143C"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bottom w:val="single" w:sz="2" w:space="0" w:color="auto"/>
            </w:tcBorders>
            <w:shd w:val="clear" w:color="auto" w:fill="FFFFFF" w:themeFill="background1"/>
            <w:vAlign w:val="center"/>
          </w:tcPr>
          <w:p w14:paraId="1572143D"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1,000</w:t>
            </w:r>
          </w:p>
        </w:tc>
        <w:tc>
          <w:tcPr>
            <w:tcW w:w="2425" w:type="dxa"/>
            <w:gridSpan w:val="2"/>
            <w:tcBorders>
              <w:bottom w:val="single" w:sz="2" w:space="0" w:color="auto"/>
            </w:tcBorders>
            <w:shd w:val="clear" w:color="auto" w:fill="FFFFFF" w:themeFill="background1"/>
            <w:vAlign w:val="center"/>
          </w:tcPr>
          <w:p w14:paraId="1572143E"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PC95; Moderate reliability</w:t>
            </w:r>
          </w:p>
        </w:tc>
      </w:tr>
      <w:tr w:rsidR="00F0210B" w:rsidRPr="00AC0CC1" w14:paraId="15721447" w14:textId="77777777" w:rsidTr="00CC75AA">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tcBorders>
            <w:shd w:val="clear" w:color="auto" w:fill="FFFFFF" w:themeFill="background1"/>
            <w:vAlign w:val="center"/>
          </w:tcPr>
          <w:p w14:paraId="15721440" w14:textId="77777777" w:rsidR="00F0210B" w:rsidRPr="00AC0CC1" w:rsidRDefault="00F0210B"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Atrazine</w:t>
            </w:r>
          </w:p>
        </w:tc>
        <w:tc>
          <w:tcPr>
            <w:tcW w:w="1660" w:type="dxa"/>
            <w:tcBorders>
              <w:bottom w:val="nil"/>
            </w:tcBorders>
            <w:shd w:val="clear" w:color="auto" w:fill="FFFFFF" w:themeFill="background1"/>
            <w:vAlign w:val="center"/>
          </w:tcPr>
          <w:p w14:paraId="15721441" w14:textId="0A119AD8" w:rsidR="00F0210B" w:rsidRPr="001C5A8A" w:rsidRDefault="00A9131E"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w:t>
            </w:r>
          </w:p>
        </w:tc>
        <w:tc>
          <w:tcPr>
            <w:tcW w:w="3536" w:type="dxa"/>
            <w:tcBorders>
              <w:bottom w:val="nil"/>
            </w:tcBorders>
            <w:shd w:val="clear" w:color="auto" w:fill="FFFFFF" w:themeFill="background1"/>
            <w:vAlign w:val="center"/>
          </w:tcPr>
          <w:p w14:paraId="15721442"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bottom w:val="nil"/>
            </w:tcBorders>
            <w:shd w:val="clear" w:color="auto" w:fill="FFFFFF" w:themeFill="background1"/>
            <w:vAlign w:val="center"/>
          </w:tcPr>
          <w:p w14:paraId="15721443" w14:textId="77777777" w:rsidR="00F0210B" w:rsidRPr="00AC0CC1"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700</w:t>
            </w:r>
          </w:p>
        </w:tc>
        <w:tc>
          <w:tcPr>
            <w:tcW w:w="3156" w:type="dxa"/>
            <w:tcBorders>
              <w:bottom w:val="nil"/>
            </w:tcBorders>
            <w:shd w:val="clear" w:color="auto" w:fill="FFFFFF" w:themeFill="background1"/>
            <w:vAlign w:val="center"/>
          </w:tcPr>
          <w:p w14:paraId="15721444"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Fresh water</w:t>
            </w:r>
          </w:p>
        </w:tc>
        <w:tc>
          <w:tcPr>
            <w:tcW w:w="1564" w:type="dxa"/>
            <w:tcBorders>
              <w:bottom w:val="nil"/>
            </w:tcBorders>
            <w:shd w:val="clear" w:color="auto" w:fill="FFFFFF" w:themeFill="background1"/>
            <w:vAlign w:val="center"/>
          </w:tcPr>
          <w:p w14:paraId="15721445" w14:textId="77777777" w:rsidR="00F0210B" w:rsidRPr="00AC0CC1"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600</w:t>
            </w:r>
          </w:p>
        </w:tc>
        <w:tc>
          <w:tcPr>
            <w:tcW w:w="2425" w:type="dxa"/>
            <w:gridSpan w:val="2"/>
            <w:tcBorders>
              <w:bottom w:val="nil"/>
            </w:tcBorders>
            <w:shd w:val="clear" w:color="auto" w:fill="FFFFFF" w:themeFill="background1"/>
            <w:vAlign w:val="center"/>
          </w:tcPr>
          <w:p w14:paraId="15721446"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w:t>
            </w:r>
          </w:p>
        </w:tc>
      </w:tr>
      <w:tr w:rsidR="00F0210B" w:rsidRPr="00AC0CC1" w14:paraId="1572144F" w14:textId="77777777" w:rsidTr="00CC75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shd w:val="clear" w:color="auto" w:fill="FFFFFF" w:themeFill="background1"/>
            <w:vAlign w:val="center"/>
          </w:tcPr>
          <w:p w14:paraId="15721448" w14:textId="77777777" w:rsidR="00F0210B" w:rsidRPr="00AC0CC1" w:rsidRDefault="00F0210B" w:rsidP="00AC0CC1">
            <w:pPr>
              <w:pStyle w:val="Caption"/>
              <w:rPr>
                <w:rFonts w:asciiTheme="minorHAnsi" w:hAnsiTheme="minorHAnsi" w:cstheme="minorHAnsi"/>
                <w:color w:val="auto"/>
                <w:sz w:val="20"/>
                <w:lang w:val="en-AU" w:eastAsia="en-AU"/>
              </w:rPr>
            </w:pPr>
          </w:p>
        </w:tc>
        <w:tc>
          <w:tcPr>
            <w:tcW w:w="1660" w:type="dxa"/>
            <w:tcBorders>
              <w:top w:val="nil"/>
              <w:bottom w:val="nil"/>
            </w:tcBorders>
            <w:shd w:val="clear" w:color="auto" w:fill="FFFFFF" w:themeFill="background1"/>
            <w:vAlign w:val="center"/>
          </w:tcPr>
          <w:p w14:paraId="15721449" w14:textId="77777777" w:rsidR="00F0210B" w:rsidRPr="001C5A8A"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nil"/>
            </w:tcBorders>
            <w:shd w:val="clear" w:color="auto" w:fill="FFFFFF" w:themeFill="background1"/>
            <w:vAlign w:val="center"/>
          </w:tcPr>
          <w:p w14:paraId="1572144A"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nil"/>
            </w:tcBorders>
            <w:shd w:val="clear" w:color="auto" w:fill="FFFFFF" w:themeFill="background1"/>
            <w:vAlign w:val="center"/>
          </w:tcPr>
          <w:p w14:paraId="1572144B"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1,300</w:t>
            </w:r>
          </w:p>
        </w:tc>
        <w:tc>
          <w:tcPr>
            <w:tcW w:w="3156" w:type="dxa"/>
            <w:tcBorders>
              <w:top w:val="nil"/>
              <w:bottom w:val="nil"/>
            </w:tcBorders>
            <w:shd w:val="clear" w:color="auto" w:fill="FFFFFF" w:themeFill="background1"/>
            <w:vAlign w:val="center"/>
          </w:tcPr>
          <w:p w14:paraId="1572144C"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w:t>
            </w:r>
            <w:r w:rsidR="00233FC5">
              <w:rPr>
                <w:rFonts w:asciiTheme="minorHAnsi" w:hAnsiTheme="minorHAnsi" w:cstheme="minorHAnsi"/>
                <w:b w:val="0"/>
                <w:sz w:val="20"/>
                <w:lang w:val="en-AU" w:eastAsia="en-AU"/>
              </w:rPr>
              <w:t>5</w:t>
            </w:r>
            <w:r w:rsidRPr="00AC0CC1">
              <w:rPr>
                <w:rFonts w:asciiTheme="minorHAnsi" w:hAnsiTheme="minorHAnsi" w:cstheme="minorHAnsi"/>
                <w:b w:val="0"/>
                <w:sz w:val="20"/>
                <w:lang w:val="en-AU" w:eastAsia="en-AU"/>
              </w:rPr>
              <w:t>; Fresh water</w:t>
            </w:r>
          </w:p>
        </w:tc>
        <w:tc>
          <w:tcPr>
            <w:tcW w:w="1564" w:type="dxa"/>
            <w:tcBorders>
              <w:top w:val="nil"/>
              <w:bottom w:val="nil"/>
            </w:tcBorders>
            <w:shd w:val="clear" w:color="auto" w:fill="FFFFFF" w:themeFill="background1"/>
            <w:vAlign w:val="center"/>
          </w:tcPr>
          <w:p w14:paraId="1572144D"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1,400</w:t>
            </w:r>
          </w:p>
        </w:tc>
        <w:tc>
          <w:tcPr>
            <w:tcW w:w="2425" w:type="dxa"/>
            <w:gridSpan w:val="2"/>
            <w:tcBorders>
              <w:top w:val="nil"/>
              <w:bottom w:val="nil"/>
            </w:tcBorders>
            <w:shd w:val="clear" w:color="auto" w:fill="FFFFFF" w:themeFill="background1"/>
            <w:vAlign w:val="center"/>
          </w:tcPr>
          <w:p w14:paraId="1572144E"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PC95; Moderate reliability</w:t>
            </w:r>
          </w:p>
        </w:tc>
      </w:tr>
      <w:tr w:rsidR="00CC75AA" w:rsidRPr="00AC0CC1" w14:paraId="15721457" w14:textId="77777777" w:rsidTr="00CC75AA">
        <w:trPr>
          <w:trHeight w:val="408"/>
        </w:trPr>
        <w:tc>
          <w:tcPr>
            <w:cnfStyle w:val="001000000000" w:firstRow="0" w:lastRow="0" w:firstColumn="1" w:lastColumn="0" w:oddVBand="0" w:evenVBand="0" w:oddHBand="0" w:evenHBand="0" w:firstRowFirstColumn="0" w:firstRowLastColumn="0" w:lastRowFirstColumn="0" w:lastRowLastColumn="0"/>
            <w:tcW w:w="1667" w:type="dxa"/>
            <w:tcBorders>
              <w:bottom w:val="single" w:sz="2" w:space="0" w:color="auto"/>
            </w:tcBorders>
            <w:shd w:val="clear" w:color="auto" w:fill="FFFFFF" w:themeFill="background1"/>
            <w:vAlign w:val="center"/>
          </w:tcPr>
          <w:p w14:paraId="15721450" w14:textId="77777777" w:rsidR="00CC75AA" w:rsidRPr="00AC0CC1" w:rsidRDefault="00CC75AA" w:rsidP="00AC0CC1">
            <w:pPr>
              <w:pStyle w:val="Caption"/>
              <w:rPr>
                <w:rFonts w:asciiTheme="minorHAnsi" w:hAnsiTheme="minorHAnsi" w:cstheme="minorHAnsi"/>
                <w:sz w:val="20"/>
                <w:lang w:val="en-AU" w:eastAsia="en-AU"/>
              </w:rPr>
            </w:pPr>
          </w:p>
        </w:tc>
        <w:tc>
          <w:tcPr>
            <w:tcW w:w="1660" w:type="dxa"/>
            <w:tcBorders>
              <w:top w:val="nil"/>
              <w:bottom w:val="single" w:sz="2" w:space="0" w:color="auto"/>
            </w:tcBorders>
            <w:shd w:val="clear" w:color="auto" w:fill="FFFFFF" w:themeFill="background1"/>
            <w:vAlign w:val="center"/>
          </w:tcPr>
          <w:p w14:paraId="15721451" w14:textId="77777777" w:rsidR="00CC75AA" w:rsidRPr="001C5A8A" w:rsidRDefault="00CC75AA"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single" w:sz="2" w:space="0" w:color="auto"/>
            </w:tcBorders>
            <w:shd w:val="clear" w:color="auto" w:fill="FFFFFF" w:themeFill="background1"/>
            <w:vAlign w:val="center"/>
          </w:tcPr>
          <w:p w14:paraId="15721452" w14:textId="77777777" w:rsidR="00CC75AA" w:rsidRPr="00AC0CC1" w:rsidRDefault="00CC75AA"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single" w:sz="2" w:space="0" w:color="auto"/>
            </w:tcBorders>
            <w:shd w:val="clear" w:color="auto" w:fill="FFFFFF" w:themeFill="background1"/>
            <w:vAlign w:val="center"/>
          </w:tcPr>
          <w:p w14:paraId="15721453" w14:textId="77777777" w:rsidR="00CC75AA" w:rsidRPr="00AC0CC1" w:rsidRDefault="00CC75AA"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ID</w:t>
            </w:r>
          </w:p>
        </w:tc>
        <w:tc>
          <w:tcPr>
            <w:tcW w:w="3156" w:type="dxa"/>
            <w:tcBorders>
              <w:top w:val="nil"/>
              <w:bottom w:val="single" w:sz="2" w:space="0" w:color="auto"/>
            </w:tcBorders>
            <w:shd w:val="clear" w:color="auto" w:fill="FFFFFF" w:themeFill="background1"/>
            <w:vAlign w:val="center"/>
          </w:tcPr>
          <w:p w14:paraId="15721454" w14:textId="77777777" w:rsidR="00CC75AA" w:rsidRPr="00AC0CC1" w:rsidRDefault="00CC75AA"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PC99/95; Marine water</w:t>
            </w:r>
          </w:p>
        </w:tc>
        <w:tc>
          <w:tcPr>
            <w:tcW w:w="1564" w:type="dxa"/>
            <w:tcBorders>
              <w:top w:val="nil"/>
              <w:bottom w:val="single" w:sz="2" w:space="0" w:color="auto"/>
            </w:tcBorders>
            <w:shd w:val="clear" w:color="auto" w:fill="FFFFFF" w:themeFill="background1"/>
            <w:vAlign w:val="center"/>
          </w:tcPr>
          <w:p w14:paraId="15721455" w14:textId="77777777" w:rsidR="00CC75AA" w:rsidRPr="00AC0CC1" w:rsidRDefault="00CC75AA"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nil"/>
              <w:bottom w:val="single" w:sz="2" w:space="0" w:color="auto"/>
            </w:tcBorders>
            <w:shd w:val="clear" w:color="auto" w:fill="FFFFFF" w:themeFill="background1"/>
            <w:vAlign w:val="center"/>
          </w:tcPr>
          <w:p w14:paraId="15721456" w14:textId="77777777" w:rsidR="00CC75AA" w:rsidRPr="00AC0CC1" w:rsidRDefault="00CC75AA"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F0210B" w:rsidRPr="00AC0CC1" w14:paraId="1572145F" w14:textId="77777777" w:rsidTr="008C7DB4">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bottom w:val="single" w:sz="2" w:space="0" w:color="auto"/>
            </w:tcBorders>
            <w:shd w:val="clear" w:color="auto" w:fill="FFFFFF" w:themeFill="background1"/>
            <w:vAlign w:val="center"/>
          </w:tcPr>
          <w:p w14:paraId="15721458" w14:textId="77777777" w:rsidR="00F0210B" w:rsidRPr="00AC0CC1" w:rsidRDefault="00F0210B"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Brom</w:t>
            </w:r>
            <w:r w:rsidR="003363A0" w:rsidRPr="00AC0CC1">
              <w:rPr>
                <w:rFonts w:asciiTheme="minorHAnsi" w:hAnsiTheme="minorHAnsi" w:cstheme="minorHAnsi"/>
                <w:color w:val="auto"/>
                <w:sz w:val="20"/>
                <w:lang w:val="en-AU" w:eastAsia="en-AU"/>
              </w:rPr>
              <w:t>a</w:t>
            </w:r>
            <w:r w:rsidRPr="00AC0CC1">
              <w:rPr>
                <w:rFonts w:asciiTheme="minorHAnsi" w:hAnsiTheme="minorHAnsi" w:cstheme="minorHAnsi"/>
                <w:color w:val="auto"/>
                <w:sz w:val="20"/>
                <w:lang w:val="en-AU" w:eastAsia="en-AU"/>
              </w:rPr>
              <w:t>cil</w:t>
            </w:r>
          </w:p>
        </w:tc>
        <w:tc>
          <w:tcPr>
            <w:tcW w:w="1660" w:type="dxa"/>
            <w:tcBorders>
              <w:bottom w:val="single" w:sz="2" w:space="0" w:color="auto"/>
            </w:tcBorders>
            <w:shd w:val="clear" w:color="auto" w:fill="FFFFFF" w:themeFill="background1"/>
            <w:vAlign w:val="center"/>
          </w:tcPr>
          <w:p w14:paraId="15721459" w14:textId="77777777" w:rsidR="00F0210B" w:rsidRPr="001C5A8A"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230</w:t>
            </w:r>
          </w:p>
        </w:tc>
        <w:tc>
          <w:tcPr>
            <w:tcW w:w="3536" w:type="dxa"/>
            <w:tcBorders>
              <w:bottom w:val="single" w:sz="2" w:space="0" w:color="auto"/>
            </w:tcBorders>
            <w:shd w:val="clear" w:color="auto" w:fill="FFFFFF" w:themeFill="background1"/>
            <w:vAlign w:val="center"/>
          </w:tcPr>
          <w:p w14:paraId="1572145A"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bottom w:val="single" w:sz="2" w:space="0" w:color="auto"/>
            </w:tcBorders>
            <w:shd w:val="clear" w:color="auto" w:fill="FFFFFF" w:themeFill="background1"/>
            <w:vAlign w:val="center"/>
          </w:tcPr>
          <w:p w14:paraId="1572145B"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bottom w:val="single" w:sz="2" w:space="0" w:color="auto"/>
            </w:tcBorders>
            <w:shd w:val="clear" w:color="auto" w:fill="FFFFFF" w:themeFill="background1"/>
            <w:vAlign w:val="center"/>
          </w:tcPr>
          <w:p w14:paraId="1572145C"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bottom w:val="single" w:sz="2" w:space="0" w:color="auto"/>
            </w:tcBorders>
            <w:shd w:val="clear" w:color="auto" w:fill="FFFFFF" w:themeFill="background1"/>
            <w:vAlign w:val="center"/>
          </w:tcPr>
          <w:p w14:paraId="1572145D"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bottom w:val="single" w:sz="2" w:space="0" w:color="auto"/>
            </w:tcBorders>
            <w:shd w:val="clear" w:color="auto" w:fill="FFFFFF" w:themeFill="background1"/>
            <w:vAlign w:val="center"/>
          </w:tcPr>
          <w:p w14:paraId="1572145E"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F0210B" w:rsidRPr="00AC0CC1" w14:paraId="15721467" w14:textId="77777777" w:rsidTr="008C7DB4">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2" w:space="0" w:color="auto"/>
            </w:tcBorders>
            <w:shd w:val="clear" w:color="auto" w:fill="FFFFFF" w:themeFill="background1"/>
            <w:vAlign w:val="center"/>
          </w:tcPr>
          <w:p w14:paraId="15721460" w14:textId="77777777" w:rsidR="00F0210B" w:rsidRPr="00AC0CC1" w:rsidRDefault="00F0210B"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Chlorpyrifos</w:t>
            </w:r>
          </w:p>
        </w:tc>
        <w:tc>
          <w:tcPr>
            <w:tcW w:w="1660" w:type="dxa"/>
            <w:tcBorders>
              <w:top w:val="single" w:sz="2" w:space="0" w:color="auto"/>
              <w:bottom w:val="nil"/>
            </w:tcBorders>
            <w:shd w:val="clear" w:color="auto" w:fill="FFFFFF" w:themeFill="background1"/>
            <w:vAlign w:val="center"/>
          </w:tcPr>
          <w:p w14:paraId="15721461" w14:textId="54A46A8C" w:rsidR="00F0210B" w:rsidRPr="001C5A8A" w:rsidRDefault="00A9131E"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w:t>
            </w:r>
          </w:p>
        </w:tc>
        <w:tc>
          <w:tcPr>
            <w:tcW w:w="3536" w:type="dxa"/>
            <w:tcBorders>
              <w:top w:val="single" w:sz="2" w:space="0" w:color="auto"/>
              <w:bottom w:val="nil"/>
            </w:tcBorders>
            <w:shd w:val="clear" w:color="auto" w:fill="FFFFFF" w:themeFill="background1"/>
            <w:vAlign w:val="center"/>
          </w:tcPr>
          <w:p w14:paraId="15721462"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single" w:sz="2" w:space="0" w:color="auto"/>
              <w:bottom w:val="nil"/>
            </w:tcBorders>
            <w:shd w:val="clear" w:color="auto" w:fill="FFFFFF" w:themeFill="background1"/>
            <w:vAlign w:val="center"/>
          </w:tcPr>
          <w:p w14:paraId="15721463" w14:textId="77777777" w:rsidR="00F0210B" w:rsidRPr="00AC0CC1"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0.5</w:t>
            </w:r>
          </w:p>
        </w:tc>
        <w:tc>
          <w:tcPr>
            <w:tcW w:w="3156" w:type="dxa"/>
            <w:tcBorders>
              <w:top w:val="single" w:sz="2" w:space="0" w:color="auto"/>
              <w:bottom w:val="nil"/>
            </w:tcBorders>
            <w:shd w:val="clear" w:color="auto" w:fill="FFFFFF" w:themeFill="background1"/>
            <w:vAlign w:val="center"/>
          </w:tcPr>
          <w:p w14:paraId="15721464"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Marine water</w:t>
            </w:r>
          </w:p>
        </w:tc>
        <w:tc>
          <w:tcPr>
            <w:tcW w:w="1564" w:type="dxa"/>
            <w:tcBorders>
              <w:top w:val="single" w:sz="2" w:space="0" w:color="auto"/>
            </w:tcBorders>
            <w:shd w:val="clear" w:color="auto" w:fill="FFFFFF" w:themeFill="background1"/>
            <w:vAlign w:val="center"/>
          </w:tcPr>
          <w:p w14:paraId="15721465" w14:textId="77777777" w:rsidR="00F0210B" w:rsidRPr="00AC0CC1"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0.5</w:t>
            </w:r>
          </w:p>
        </w:tc>
        <w:tc>
          <w:tcPr>
            <w:tcW w:w="2425" w:type="dxa"/>
            <w:gridSpan w:val="2"/>
            <w:tcBorders>
              <w:top w:val="single" w:sz="2" w:space="0" w:color="auto"/>
            </w:tcBorders>
            <w:shd w:val="clear" w:color="auto" w:fill="FFFFFF" w:themeFill="background1"/>
            <w:vAlign w:val="center"/>
          </w:tcPr>
          <w:p w14:paraId="15721466"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High reliability</w:t>
            </w:r>
          </w:p>
        </w:tc>
      </w:tr>
      <w:tr w:rsidR="00F0210B" w:rsidRPr="00AC0CC1" w14:paraId="1572146F" w14:textId="77777777" w:rsidTr="00CC75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shd w:val="clear" w:color="auto" w:fill="FFFFFF" w:themeFill="background1"/>
            <w:vAlign w:val="center"/>
          </w:tcPr>
          <w:p w14:paraId="15721468" w14:textId="77777777" w:rsidR="00F0210B" w:rsidRPr="00AC0CC1" w:rsidRDefault="00F0210B" w:rsidP="00AC0CC1">
            <w:pPr>
              <w:pStyle w:val="Caption"/>
              <w:rPr>
                <w:rFonts w:asciiTheme="minorHAnsi" w:hAnsiTheme="minorHAnsi" w:cstheme="minorHAnsi"/>
                <w:color w:val="auto"/>
                <w:sz w:val="20"/>
                <w:lang w:val="en-AU" w:eastAsia="en-AU"/>
              </w:rPr>
            </w:pPr>
          </w:p>
        </w:tc>
        <w:tc>
          <w:tcPr>
            <w:tcW w:w="1660" w:type="dxa"/>
            <w:tcBorders>
              <w:top w:val="nil"/>
              <w:bottom w:val="nil"/>
            </w:tcBorders>
            <w:shd w:val="clear" w:color="auto" w:fill="FFFFFF" w:themeFill="background1"/>
            <w:vAlign w:val="center"/>
          </w:tcPr>
          <w:p w14:paraId="15721469" w14:textId="77777777" w:rsidR="00F0210B" w:rsidRPr="001C5A8A"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nil"/>
            </w:tcBorders>
            <w:shd w:val="clear" w:color="auto" w:fill="FFFFFF" w:themeFill="background1"/>
            <w:vAlign w:val="center"/>
          </w:tcPr>
          <w:p w14:paraId="1572146A"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nil"/>
            </w:tcBorders>
            <w:shd w:val="clear" w:color="auto" w:fill="FFFFFF" w:themeFill="background1"/>
            <w:vAlign w:val="center"/>
          </w:tcPr>
          <w:p w14:paraId="1572146B"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9</w:t>
            </w:r>
          </w:p>
        </w:tc>
        <w:tc>
          <w:tcPr>
            <w:tcW w:w="3156" w:type="dxa"/>
            <w:tcBorders>
              <w:top w:val="nil"/>
              <w:bottom w:val="nil"/>
            </w:tcBorders>
            <w:shd w:val="clear" w:color="auto" w:fill="FFFFFF" w:themeFill="background1"/>
            <w:vAlign w:val="center"/>
          </w:tcPr>
          <w:p w14:paraId="1572146C"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PC95; Marine water</w:t>
            </w:r>
          </w:p>
        </w:tc>
        <w:tc>
          <w:tcPr>
            <w:tcW w:w="1564" w:type="dxa"/>
            <w:tcBorders>
              <w:bottom w:val="nil"/>
            </w:tcBorders>
            <w:shd w:val="clear" w:color="auto" w:fill="FFFFFF" w:themeFill="background1"/>
            <w:vAlign w:val="center"/>
          </w:tcPr>
          <w:p w14:paraId="1572146D"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9</w:t>
            </w:r>
          </w:p>
        </w:tc>
        <w:tc>
          <w:tcPr>
            <w:tcW w:w="2425" w:type="dxa"/>
            <w:gridSpan w:val="2"/>
            <w:tcBorders>
              <w:bottom w:val="nil"/>
            </w:tcBorders>
            <w:shd w:val="clear" w:color="auto" w:fill="FFFFFF" w:themeFill="background1"/>
            <w:vAlign w:val="center"/>
          </w:tcPr>
          <w:p w14:paraId="1572146E"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PC95; High reliability</w:t>
            </w:r>
          </w:p>
        </w:tc>
      </w:tr>
      <w:tr w:rsidR="00F0210B" w:rsidRPr="00AC0CC1" w14:paraId="15721477" w14:textId="77777777" w:rsidTr="00CC75AA">
        <w:trPr>
          <w:trHeight w:val="408"/>
        </w:trPr>
        <w:tc>
          <w:tcPr>
            <w:cnfStyle w:val="001000000000" w:firstRow="0" w:lastRow="0" w:firstColumn="1" w:lastColumn="0" w:oddVBand="0" w:evenVBand="0" w:oddHBand="0" w:evenHBand="0" w:firstRowFirstColumn="0" w:firstRowLastColumn="0" w:lastRowFirstColumn="0" w:lastRowLastColumn="0"/>
            <w:tcW w:w="1667" w:type="dxa"/>
            <w:tcBorders>
              <w:bottom w:val="single" w:sz="4" w:space="0" w:color="auto"/>
            </w:tcBorders>
            <w:shd w:val="clear" w:color="auto" w:fill="FFFFFF" w:themeFill="background1"/>
            <w:vAlign w:val="center"/>
          </w:tcPr>
          <w:p w14:paraId="15721470" w14:textId="77777777" w:rsidR="00F0210B" w:rsidRPr="00AC0CC1" w:rsidRDefault="00F0210B" w:rsidP="00AC0CC1">
            <w:pPr>
              <w:pStyle w:val="Caption"/>
              <w:rPr>
                <w:rFonts w:asciiTheme="minorHAnsi" w:hAnsiTheme="minorHAnsi" w:cstheme="minorHAnsi"/>
                <w:color w:val="auto"/>
                <w:sz w:val="20"/>
                <w:lang w:val="en-AU" w:eastAsia="en-AU"/>
              </w:rPr>
            </w:pPr>
          </w:p>
        </w:tc>
        <w:tc>
          <w:tcPr>
            <w:tcW w:w="1660" w:type="dxa"/>
            <w:tcBorders>
              <w:top w:val="nil"/>
              <w:bottom w:val="single" w:sz="4" w:space="0" w:color="auto"/>
            </w:tcBorders>
            <w:shd w:val="clear" w:color="auto" w:fill="FFFFFF" w:themeFill="background1"/>
            <w:vAlign w:val="center"/>
          </w:tcPr>
          <w:p w14:paraId="15721471" w14:textId="77777777" w:rsidR="00F0210B" w:rsidRPr="001C5A8A"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single" w:sz="4" w:space="0" w:color="auto"/>
            </w:tcBorders>
            <w:shd w:val="clear" w:color="auto" w:fill="FFFFFF" w:themeFill="background1"/>
            <w:vAlign w:val="center"/>
          </w:tcPr>
          <w:p w14:paraId="15721472"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single" w:sz="4" w:space="0" w:color="auto"/>
            </w:tcBorders>
            <w:shd w:val="clear" w:color="auto" w:fill="FFFFFF" w:themeFill="background1"/>
            <w:vAlign w:val="center"/>
          </w:tcPr>
          <w:p w14:paraId="15721473" w14:textId="77777777" w:rsidR="00F0210B" w:rsidRPr="00AC0CC1"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0.04</w:t>
            </w:r>
          </w:p>
        </w:tc>
        <w:tc>
          <w:tcPr>
            <w:tcW w:w="3156" w:type="dxa"/>
            <w:tcBorders>
              <w:top w:val="nil"/>
              <w:bottom w:val="single" w:sz="4" w:space="0" w:color="auto"/>
            </w:tcBorders>
            <w:shd w:val="clear" w:color="auto" w:fill="FFFFFF" w:themeFill="background1"/>
            <w:vAlign w:val="center"/>
          </w:tcPr>
          <w:p w14:paraId="15721474" w14:textId="77777777" w:rsidR="00F0210B" w:rsidRPr="00AC0CC1" w:rsidRDefault="00CC75AA"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PC99; Fresh</w:t>
            </w:r>
            <w:r w:rsidR="00F0210B" w:rsidRPr="00AC0CC1">
              <w:rPr>
                <w:rFonts w:asciiTheme="minorHAnsi" w:hAnsiTheme="minorHAnsi" w:cstheme="minorHAnsi"/>
                <w:b w:val="0"/>
                <w:sz w:val="20"/>
                <w:lang w:val="en-AU" w:eastAsia="en-AU"/>
              </w:rPr>
              <w:t>water</w:t>
            </w:r>
          </w:p>
        </w:tc>
        <w:tc>
          <w:tcPr>
            <w:tcW w:w="1564" w:type="dxa"/>
            <w:tcBorders>
              <w:top w:val="nil"/>
              <w:bottom w:val="single" w:sz="4" w:space="0" w:color="auto"/>
            </w:tcBorders>
            <w:shd w:val="clear" w:color="auto" w:fill="FFFFFF" w:themeFill="background1"/>
            <w:vAlign w:val="center"/>
          </w:tcPr>
          <w:p w14:paraId="15721475" w14:textId="77777777" w:rsidR="00F0210B" w:rsidRPr="00AC0CC1"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nil"/>
              <w:bottom w:val="single" w:sz="4" w:space="0" w:color="auto"/>
            </w:tcBorders>
            <w:shd w:val="clear" w:color="auto" w:fill="FFFFFF" w:themeFill="background1"/>
            <w:vAlign w:val="center"/>
          </w:tcPr>
          <w:p w14:paraId="15721476"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F0210B" w:rsidRPr="00AC0CC1" w14:paraId="1572147F" w14:textId="77777777" w:rsidTr="00CC75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4" w:space="0" w:color="auto"/>
            </w:tcBorders>
            <w:shd w:val="clear" w:color="auto" w:fill="FFFFFF" w:themeFill="background1"/>
            <w:vAlign w:val="center"/>
          </w:tcPr>
          <w:p w14:paraId="15721478" w14:textId="77777777" w:rsidR="00F0210B" w:rsidRPr="00AC0CC1" w:rsidRDefault="00F0210B"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Diuron</w:t>
            </w:r>
          </w:p>
        </w:tc>
        <w:tc>
          <w:tcPr>
            <w:tcW w:w="1660" w:type="dxa"/>
            <w:tcBorders>
              <w:top w:val="single" w:sz="4" w:space="0" w:color="auto"/>
              <w:bottom w:val="nil"/>
            </w:tcBorders>
            <w:shd w:val="clear" w:color="auto" w:fill="FFFFFF" w:themeFill="background1"/>
            <w:vAlign w:val="center"/>
          </w:tcPr>
          <w:p w14:paraId="15721479" w14:textId="77777777" w:rsidR="00F0210B" w:rsidRPr="001C5A8A"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430</w:t>
            </w:r>
            <w:r w:rsidR="00662785" w:rsidRPr="001C5A8A">
              <w:rPr>
                <w:rFonts w:asciiTheme="minorHAnsi" w:hAnsiTheme="minorHAnsi" w:cstheme="minorHAnsi"/>
                <w:b w:val="0"/>
                <w:sz w:val="20"/>
                <w:vertAlign w:val="superscript"/>
                <w:lang w:val="en-AU" w:eastAsia="en-AU"/>
              </w:rPr>
              <w:t>b</w:t>
            </w:r>
          </w:p>
        </w:tc>
        <w:tc>
          <w:tcPr>
            <w:tcW w:w="3536" w:type="dxa"/>
            <w:tcBorders>
              <w:top w:val="single" w:sz="4" w:space="0" w:color="auto"/>
              <w:bottom w:val="nil"/>
            </w:tcBorders>
            <w:shd w:val="clear" w:color="auto" w:fill="FFFFFF" w:themeFill="background1"/>
            <w:vAlign w:val="center"/>
          </w:tcPr>
          <w:p w14:paraId="1572147A"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very high reliability; Marine water</w:t>
            </w:r>
          </w:p>
        </w:tc>
        <w:tc>
          <w:tcPr>
            <w:tcW w:w="1551" w:type="dxa"/>
            <w:tcBorders>
              <w:top w:val="single" w:sz="4" w:space="0" w:color="auto"/>
              <w:bottom w:val="nil"/>
            </w:tcBorders>
            <w:shd w:val="clear" w:color="auto" w:fill="FFFFFF" w:themeFill="background1"/>
            <w:vAlign w:val="center"/>
          </w:tcPr>
          <w:p w14:paraId="1572147B"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200</w:t>
            </w:r>
            <w:r w:rsidR="00662785">
              <w:rPr>
                <w:rFonts w:asciiTheme="minorHAnsi" w:hAnsiTheme="minorHAnsi" w:cstheme="minorHAnsi"/>
                <w:b w:val="0"/>
                <w:sz w:val="20"/>
                <w:vertAlign w:val="superscript"/>
                <w:lang w:val="en-AU" w:eastAsia="en-AU"/>
              </w:rPr>
              <w:t>d</w:t>
            </w:r>
          </w:p>
        </w:tc>
        <w:tc>
          <w:tcPr>
            <w:tcW w:w="3156" w:type="dxa"/>
            <w:tcBorders>
              <w:top w:val="single" w:sz="4" w:space="0" w:color="auto"/>
              <w:bottom w:val="nil"/>
            </w:tcBorders>
            <w:shd w:val="clear" w:color="auto" w:fill="FFFFFF" w:themeFill="background1"/>
            <w:vAlign w:val="center"/>
          </w:tcPr>
          <w:p w14:paraId="1572147C" w14:textId="77777777" w:rsidR="00F0210B" w:rsidRPr="00AC0CC1" w:rsidRDefault="00CC75AA"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IWL; low reliability; Fresh</w:t>
            </w:r>
            <w:r w:rsidR="00F0210B" w:rsidRPr="00AC0CC1">
              <w:rPr>
                <w:rFonts w:asciiTheme="minorHAnsi" w:hAnsiTheme="minorHAnsi" w:cstheme="minorHAnsi"/>
                <w:b w:val="0"/>
                <w:sz w:val="20"/>
                <w:lang w:val="en-AU" w:eastAsia="en-AU"/>
              </w:rPr>
              <w:t>water</w:t>
            </w:r>
          </w:p>
        </w:tc>
        <w:tc>
          <w:tcPr>
            <w:tcW w:w="1564" w:type="dxa"/>
            <w:tcBorders>
              <w:top w:val="single" w:sz="4" w:space="0" w:color="auto"/>
              <w:bottom w:val="nil"/>
            </w:tcBorders>
            <w:shd w:val="clear" w:color="auto" w:fill="FFFFFF" w:themeFill="background1"/>
            <w:vAlign w:val="center"/>
          </w:tcPr>
          <w:p w14:paraId="1572147D" w14:textId="77777777" w:rsidR="00F0210B" w:rsidRPr="00AC0CC1" w:rsidRDefault="00F0210B"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900</w:t>
            </w:r>
          </w:p>
        </w:tc>
        <w:tc>
          <w:tcPr>
            <w:tcW w:w="2425" w:type="dxa"/>
            <w:gridSpan w:val="2"/>
            <w:tcBorders>
              <w:top w:val="single" w:sz="4" w:space="0" w:color="auto"/>
              <w:bottom w:val="nil"/>
            </w:tcBorders>
            <w:shd w:val="clear" w:color="auto" w:fill="FFFFFF" w:themeFill="background1"/>
            <w:vAlign w:val="center"/>
          </w:tcPr>
          <w:p w14:paraId="1572147E" w14:textId="77777777" w:rsidR="00F0210B" w:rsidRPr="00AC0CC1" w:rsidRDefault="00F0210B"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w:t>
            </w:r>
          </w:p>
        </w:tc>
      </w:tr>
      <w:tr w:rsidR="00F0210B" w:rsidRPr="00AC0CC1" w14:paraId="15721487" w14:textId="77777777" w:rsidTr="008C7DB4">
        <w:trPr>
          <w:trHeight w:val="408"/>
        </w:trPr>
        <w:tc>
          <w:tcPr>
            <w:cnfStyle w:val="001000000000" w:firstRow="0" w:lastRow="0" w:firstColumn="1" w:lastColumn="0" w:oddVBand="0" w:evenVBand="0" w:oddHBand="0" w:evenHBand="0" w:firstRowFirstColumn="0" w:firstRowLastColumn="0" w:lastRowFirstColumn="0" w:lastRowLastColumn="0"/>
            <w:tcW w:w="1667" w:type="dxa"/>
            <w:tcBorders>
              <w:bottom w:val="single" w:sz="8" w:space="0" w:color="auto"/>
            </w:tcBorders>
            <w:shd w:val="clear" w:color="auto" w:fill="FFFFFF" w:themeFill="background1"/>
            <w:vAlign w:val="center"/>
          </w:tcPr>
          <w:p w14:paraId="15721480" w14:textId="77777777" w:rsidR="00F0210B" w:rsidRPr="00AC0CC1" w:rsidRDefault="00F0210B" w:rsidP="00AC0CC1">
            <w:pPr>
              <w:pStyle w:val="Caption"/>
              <w:rPr>
                <w:rFonts w:asciiTheme="minorHAnsi" w:hAnsiTheme="minorHAnsi" w:cstheme="minorHAnsi"/>
                <w:color w:val="auto"/>
                <w:sz w:val="20"/>
                <w:lang w:val="en-AU" w:eastAsia="en-AU"/>
              </w:rPr>
            </w:pPr>
          </w:p>
        </w:tc>
        <w:tc>
          <w:tcPr>
            <w:tcW w:w="1660" w:type="dxa"/>
            <w:tcBorders>
              <w:top w:val="nil"/>
              <w:bottom w:val="single" w:sz="8" w:space="0" w:color="auto"/>
            </w:tcBorders>
            <w:shd w:val="clear" w:color="auto" w:fill="FFFFFF" w:themeFill="background1"/>
            <w:vAlign w:val="center"/>
          </w:tcPr>
          <w:p w14:paraId="15721481" w14:textId="77777777" w:rsidR="00F0210B" w:rsidRPr="001C5A8A"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single" w:sz="8" w:space="0" w:color="auto"/>
            </w:tcBorders>
            <w:shd w:val="clear" w:color="auto" w:fill="FFFFFF" w:themeFill="background1"/>
            <w:vAlign w:val="center"/>
          </w:tcPr>
          <w:p w14:paraId="15721482"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single" w:sz="8" w:space="0" w:color="auto"/>
            </w:tcBorders>
            <w:shd w:val="clear" w:color="auto" w:fill="FFFFFF" w:themeFill="background1"/>
            <w:vAlign w:val="center"/>
          </w:tcPr>
          <w:p w14:paraId="15721483" w14:textId="77777777" w:rsidR="00F0210B" w:rsidRPr="00AC0CC1"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1,800</w:t>
            </w:r>
            <w:r w:rsidR="00662785">
              <w:rPr>
                <w:rFonts w:asciiTheme="minorHAnsi" w:hAnsiTheme="minorHAnsi" w:cstheme="minorHAnsi"/>
                <w:b w:val="0"/>
                <w:sz w:val="20"/>
                <w:vertAlign w:val="superscript"/>
                <w:lang w:val="en-AU" w:eastAsia="en-AU"/>
              </w:rPr>
              <w:t>d</w:t>
            </w:r>
          </w:p>
        </w:tc>
        <w:tc>
          <w:tcPr>
            <w:tcW w:w="3156" w:type="dxa"/>
            <w:tcBorders>
              <w:top w:val="nil"/>
              <w:bottom w:val="single" w:sz="8" w:space="0" w:color="auto"/>
            </w:tcBorders>
            <w:shd w:val="clear" w:color="auto" w:fill="FFFFFF" w:themeFill="background1"/>
            <w:vAlign w:val="center"/>
          </w:tcPr>
          <w:p w14:paraId="15721484"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 xml:space="preserve">IWL; low reliability; Marine water </w:t>
            </w:r>
          </w:p>
        </w:tc>
        <w:tc>
          <w:tcPr>
            <w:tcW w:w="1564" w:type="dxa"/>
            <w:tcBorders>
              <w:top w:val="nil"/>
              <w:bottom w:val="single" w:sz="2" w:space="0" w:color="auto"/>
            </w:tcBorders>
            <w:shd w:val="clear" w:color="auto" w:fill="FFFFFF" w:themeFill="background1"/>
            <w:vAlign w:val="center"/>
          </w:tcPr>
          <w:p w14:paraId="15721485" w14:textId="77777777" w:rsidR="00F0210B" w:rsidRPr="00AC0CC1" w:rsidRDefault="00F0210B"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1,600</w:t>
            </w:r>
          </w:p>
        </w:tc>
        <w:tc>
          <w:tcPr>
            <w:tcW w:w="2425" w:type="dxa"/>
            <w:gridSpan w:val="2"/>
            <w:tcBorders>
              <w:top w:val="nil"/>
              <w:bottom w:val="single" w:sz="2" w:space="0" w:color="auto"/>
            </w:tcBorders>
            <w:shd w:val="clear" w:color="auto" w:fill="FFFFFF" w:themeFill="background1"/>
            <w:vAlign w:val="center"/>
          </w:tcPr>
          <w:p w14:paraId="15721486" w14:textId="77777777" w:rsidR="00F0210B" w:rsidRPr="00AC0CC1" w:rsidRDefault="00F0210B"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PC95; moderate reliability</w:t>
            </w:r>
          </w:p>
        </w:tc>
      </w:tr>
      <w:tr w:rsidR="002118E1" w:rsidRPr="00AC0CC1" w14:paraId="1572148F" w14:textId="77777777" w:rsidTr="008C7DB4">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bottom w:val="single" w:sz="8" w:space="0" w:color="auto"/>
            </w:tcBorders>
            <w:shd w:val="clear" w:color="auto" w:fill="FFFFFF" w:themeFill="background1"/>
            <w:vAlign w:val="center"/>
          </w:tcPr>
          <w:p w14:paraId="15721488"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Fipronil</w:t>
            </w:r>
          </w:p>
        </w:tc>
        <w:tc>
          <w:tcPr>
            <w:tcW w:w="1660" w:type="dxa"/>
            <w:tcBorders>
              <w:top w:val="nil"/>
              <w:bottom w:val="single" w:sz="8" w:space="0" w:color="auto"/>
            </w:tcBorders>
            <w:shd w:val="clear" w:color="auto" w:fill="FFFFFF" w:themeFill="background1"/>
            <w:vAlign w:val="center"/>
          </w:tcPr>
          <w:p w14:paraId="15721489" w14:textId="63CA651C" w:rsidR="00DA631C" w:rsidRPr="001C5A8A"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3.</w:t>
            </w:r>
            <w:r w:rsidR="00A9131E">
              <w:rPr>
                <w:rFonts w:asciiTheme="minorHAnsi" w:hAnsiTheme="minorHAnsi" w:cstheme="minorHAnsi"/>
                <w:b w:val="0"/>
                <w:sz w:val="20"/>
                <w:lang w:val="en-AU" w:eastAsia="en-AU"/>
              </w:rPr>
              <w:t>4</w:t>
            </w:r>
          </w:p>
        </w:tc>
        <w:tc>
          <w:tcPr>
            <w:tcW w:w="3536" w:type="dxa"/>
            <w:tcBorders>
              <w:top w:val="nil"/>
              <w:bottom w:val="single" w:sz="8" w:space="0" w:color="auto"/>
            </w:tcBorders>
            <w:shd w:val="clear" w:color="auto" w:fill="FFFFFF" w:themeFill="background1"/>
            <w:vAlign w:val="center"/>
          </w:tcPr>
          <w:p w14:paraId="1572148A"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top w:val="nil"/>
              <w:bottom w:val="single" w:sz="8" w:space="0" w:color="auto"/>
            </w:tcBorders>
            <w:shd w:val="clear" w:color="auto" w:fill="FFFFFF" w:themeFill="background1"/>
            <w:vAlign w:val="center"/>
          </w:tcPr>
          <w:p w14:paraId="1572148B"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nil"/>
              <w:bottom w:val="single" w:sz="8" w:space="0" w:color="auto"/>
            </w:tcBorders>
            <w:shd w:val="clear" w:color="auto" w:fill="FFFFFF" w:themeFill="background1"/>
            <w:vAlign w:val="center"/>
          </w:tcPr>
          <w:p w14:paraId="1572148C"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nil"/>
              <w:bottom w:val="single" w:sz="2" w:space="0" w:color="auto"/>
            </w:tcBorders>
            <w:shd w:val="clear" w:color="auto" w:fill="FFFFFF" w:themeFill="background1"/>
            <w:vAlign w:val="center"/>
          </w:tcPr>
          <w:p w14:paraId="1572148D"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nil"/>
              <w:bottom w:val="single" w:sz="2" w:space="0" w:color="auto"/>
            </w:tcBorders>
            <w:shd w:val="clear" w:color="auto" w:fill="FFFFFF" w:themeFill="background1"/>
            <w:vAlign w:val="center"/>
          </w:tcPr>
          <w:p w14:paraId="1572148E"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497" w14:textId="77777777" w:rsidTr="008C7DB4">
        <w:trPr>
          <w:trHeight w:val="408"/>
        </w:trPr>
        <w:tc>
          <w:tcPr>
            <w:cnfStyle w:val="001000000000" w:firstRow="0" w:lastRow="0" w:firstColumn="1" w:lastColumn="0" w:oddVBand="0" w:evenVBand="0" w:oddHBand="0" w:evenHBand="0" w:firstRowFirstColumn="0" w:firstRowLastColumn="0" w:lastRowFirstColumn="0" w:lastRowLastColumn="0"/>
            <w:tcW w:w="1667" w:type="dxa"/>
            <w:tcBorders>
              <w:bottom w:val="single" w:sz="8" w:space="0" w:color="auto"/>
            </w:tcBorders>
            <w:shd w:val="clear" w:color="auto" w:fill="FFFFFF" w:themeFill="background1"/>
            <w:vAlign w:val="center"/>
          </w:tcPr>
          <w:p w14:paraId="15721490"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Fluometuron</w:t>
            </w:r>
          </w:p>
        </w:tc>
        <w:tc>
          <w:tcPr>
            <w:tcW w:w="1660" w:type="dxa"/>
            <w:tcBorders>
              <w:top w:val="nil"/>
              <w:bottom w:val="single" w:sz="8" w:space="0" w:color="auto"/>
            </w:tcBorders>
            <w:shd w:val="clear" w:color="auto" w:fill="FFFFFF" w:themeFill="background1"/>
            <w:vAlign w:val="center"/>
          </w:tcPr>
          <w:p w14:paraId="15721491" w14:textId="5B05CD9F" w:rsidR="00DA631C" w:rsidRPr="001C5A8A" w:rsidRDefault="00A9131E"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20,0</w:t>
            </w:r>
            <w:r w:rsidR="00DA631C" w:rsidRPr="001C5A8A">
              <w:rPr>
                <w:rFonts w:asciiTheme="minorHAnsi" w:hAnsiTheme="minorHAnsi" w:cstheme="minorHAnsi"/>
                <w:b w:val="0"/>
                <w:sz w:val="20"/>
                <w:lang w:val="en-AU" w:eastAsia="en-AU"/>
              </w:rPr>
              <w:t>00</w:t>
            </w:r>
          </w:p>
        </w:tc>
        <w:tc>
          <w:tcPr>
            <w:tcW w:w="3536" w:type="dxa"/>
            <w:tcBorders>
              <w:top w:val="nil"/>
              <w:bottom w:val="single" w:sz="8" w:space="0" w:color="auto"/>
            </w:tcBorders>
            <w:shd w:val="clear" w:color="auto" w:fill="FFFFFF" w:themeFill="background1"/>
            <w:vAlign w:val="center"/>
          </w:tcPr>
          <w:p w14:paraId="15721492"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top w:val="nil"/>
              <w:bottom w:val="single" w:sz="8" w:space="0" w:color="auto"/>
            </w:tcBorders>
            <w:shd w:val="clear" w:color="auto" w:fill="FFFFFF" w:themeFill="background1"/>
            <w:vAlign w:val="center"/>
          </w:tcPr>
          <w:p w14:paraId="15721493"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nil"/>
              <w:bottom w:val="single" w:sz="8" w:space="0" w:color="auto"/>
            </w:tcBorders>
            <w:shd w:val="clear" w:color="auto" w:fill="FFFFFF" w:themeFill="background1"/>
            <w:vAlign w:val="center"/>
          </w:tcPr>
          <w:p w14:paraId="15721494"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nil"/>
              <w:bottom w:val="single" w:sz="2" w:space="0" w:color="auto"/>
            </w:tcBorders>
            <w:shd w:val="clear" w:color="auto" w:fill="FFFFFF" w:themeFill="background1"/>
            <w:vAlign w:val="center"/>
          </w:tcPr>
          <w:p w14:paraId="15721495"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nil"/>
              <w:bottom w:val="single" w:sz="2" w:space="0" w:color="auto"/>
            </w:tcBorders>
            <w:shd w:val="clear" w:color="auto" w:fill="FFFFFF" w:themeFill="background1"/>
            <w:vAlign w:val="center"/>
          </w:tcPr>
          <w:p w14:paraId="15721496"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49F" w14:textId="77777777" w:rsidTr="008C7DB4">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bottom w:val="single" w:sz="8" w:space="0" w:color="auto"/>
            </w:tcBorders>
            <w:shd w:val="clear" w:color="auto" w:fill="FFFFFF" w:themeFill="background1"/>
            <w:vAlign w:val="center"/>
          </w:tcPr>
          <w:p w14:paraId="15721498"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Fluroxypyr</w:t>
            </w:r>
          </w:p>
        </w:tc>
        <w:tc>
          <w:tcPr>
            <w:tcW w:w="1660" w:type="dxa"/>
            <w:tcBorders>
              <w:top w:val="nil"/>
              <w:bottom w:val="single" w:sz="8" w:space="0" w:color="auto"/>
            </w:tcBorders>
            <w:shd w:val="clear" w:color="auto" w:fill="FFFFFF" w:themeFill="background1"/>
            <w:vAlign w:val="center"/>
          </w:tcPr>
          <w:p w14:paraId="15721499" w14:textId="16EB9040" w:rsidR="00DA631C" w:rsidRPr="001C5A8A" w:rsidRDefault="00A9131E"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87</w:t>
            </w:r>
            <w:r w:rsidR="00DA631C" w:rsidRPr="001C5A8A">
              <w:rPr>
                <w:rFonts w:asciiTheme="minorHAnsi" w:hAnsiTheme="minorHAnsi" w:cstheme="minorHAnsi"/>
                <w:b w:val="0"/>
                <w:sz w:val="20"/>
                <w:lang w:val="en-AU" w:eastAsia="en-AU"/>
              </w:rPr>
              <w:t>,000</w:t>
            </w:r>
          </w:p>
        </w:tc>
        <w:tc>
          <w:tcPr>
            <w:tcW w:w="3536" w:type="dxa"/>
            <w:tcBorders>
              <w:top w:val="nil"/>
              <w:bottom w:val="single" w:sz="8" w:space="0" w:color="auto"/>
            </w:tcBorders>
            <w:shd w:val="clear" w:color="auto" w:fill="FFFFFF" w:themeFill="background1"/>
            <w:vAlign w:val="center"/>
          </w:tcPr>
          <w:p w14:paraId="1572149A"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top w:val="nil"/>
              <w:bottom w:val="single" w:sz="8" w:space="0" w:color="auto"/>
            </w:tcBorders>
            <w:shd w:val="clear" w:color="auto" w:fill="FFFFFF" w:themeFill="background1"/>
            <w:vAlign w:val="center"/>
          </w:tcPr>
          <w:p w14:paraId="1572149B"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nil"/>
              <w:bottom w:val="single" w:sz="8" w:space="0" w:color="auto"/>
            </w:tcBorders>
            <w:shd w:val="clear" w:color="auto" w:fill="FFFFFF" w:themeFill="background1"/>
            <w:vAlign w:val="center"/>
          </w:tcPr>
          <w:p w14:paraId="1572149C"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nil"/>
              <w:bottom w:val="single" w:sz="2" w:space="0" w:color="auto"/>
            </w:tcBorders>
            <w:shd w:val="clear" w:color="auto" w:fill="FFFFFF" w:themeFill="background1"/>
            <w:vAlign w:val="center"/>
          </w:tcPr>
          <w:p w14:paraId="1572149D"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nil"/>
              <w:bottom w:val="single" w:sz="2" w:space="0" w:color="auto"/>
            </w:tcBorders>
            <w:shd w:val="clear" w:color="auto" w:fill="FFFFFF" w:themeFill="background1"/>
            <w:vAlign w:val="center"/>
          </w:tcPr>
          <w:p w14:paraId="1572149E"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4A7" w14:textId="77777777" w:rsidTr="008C7DB4">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bottom w:val="single" w:sz="8" w:space="0" w:color="auto"/>
            </w:tcBorders>
            <w:shd w:val="clear" w:color="auto" w:fill="FFFFFF" w:themeFill="background1"/>
            <w:vAlign w:val="center"/>
          </w:tcPr>
          <w:p w14:paraId="157214A0"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Haloxyfop</w:t>
            </w:r>
          </w:p>
        </w:tc>
        <w:tc>
          <w:tcPr>
            <w:tcW w:w="1660" w:type="dxa"/>
            <w:tcBorders>
              <w:top w:val="single" w:sz="8" w:space="0" w:color="auto"/>
              <w:bottom w:val="single" w:sz="8" w:space="0" w:color="auto"/>
            </w:tcBorders>
            <w:shd w:val="clear" w:color="auto" w:fill="FFFFFF" w:themeFill="background1"/>
            <w:vAlign w:val="center"/>
          </w:tcPr>
          <w:p w14:paraId="157214A1" w14:textId="5BD42C12" w:rsidR="00DA631C" w:rsidRPr="001C5A8A" w:rsidRDefault="00A9131E"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589</w:t>
            </w:r>
            <w:r w:rsidR="00DA631C" w:rsidRPr="001C5A8A">
              <w:rPr>
                <w:rFonts w:asciiTheme="minorHAnsi" w:hAnsiTheme="minorHAnsi" w:cstheme="minorHAnsi"/>
                <w:b w:val="0"/>
                <w:sz w:val="20"/>
                <w:lang w:val="en-AU" w:eastAsia="en-AU"/>
              </w:rPr>
              <w:t>,000</w:t>
            </w:r>
          </w:p>
        </w:tc>
        <w:tc>
          <w:tcPr>
            <w:tcW w:w="3536" w:type="dxa"/>
            <w:tcBorders>
              <w:top w:val="single" w:sz="8" w:space="0" w:color="auto"/>
              <w:bottom w:val="single" w:sz="8" w:space="0" w:color="auto"/>
            </w:tcBorders>
            <w:shd w:val="clear" w:color="auto" w:fill="FFFFFF" w:themeFill="background1"/>
            <w:vAlign w:val="center"/>
          </w:tcPr>
          <w:p w14:paraId="157214A2"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low reliability; Marine water</w:t>
            </w:r>
          </w:p>
        </w:tc>
        <w:tc>
          <w:tcPr>
            <w:tcW w:w="1551" w:type="dxa"/>
            <w:tcBorders>
              <w:top w:val="single" w:sz="8" w:space="0" w:color="auto"/>
              <w:bottom w:val="single" w:sz="8" w:space="0" w:color="auto"/>
            </w:tcBorders>
            <w:shd w:val="clear" w:color="auto" w:fill="FFFFFF" w:themeFill="background1"/>
            <w:vAlign w:val="center"/>
          </w:tcPr>
          <w:p w14:paraId="157214A3"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8" w:space="0" w:color="auto"/>
              <w:bottom w:val="single" w:sz="8" w:space="0" w:color="auto"/>
            </w:tcBorders>
            <w:shd w:val="clear" w:color="auto" w:fill="FFFFFF" w:themeFill="background1"/>
            <w:vAlign w:val="center"/>
          </w:tcPr>
          <w:p w14:paraId="157214A4"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4A5"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2" w:space="0" w:color="auto"/>
            </w:tcBorders>
            <w:shd w:val="clear" w:color="auto" w:fill="FFFFFF" w:themeFill="background1"/>
            <w:vAlign w:val="center"/>
          </w:tcPr>
          <w:p w14:paraId="157214A6"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4AF" w14:textId="77777777" w:rsidTr="008C7DB4">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bottom w:val="single" w:sz="8" w:space="0" w:color="auto"/>
            </w:tcBorders>
            <w:shd w:val="clear" w:color="auto" w:fill="FFFFFF" w:themeFill="background1"/>
            <w:vAlign w:val="center"/>
          </w:tcPr>
          <w:p w14:paraId="157214A8"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Hexazinone</w:t>
            </w:r>
          </w:p>
        </w:tc>
        <w:tc>
          <w:tcPr>
            <w:tcW w:w="1660" w:type="dxa"/>
            <w:tcBorders>
              <w:top w:val="single" w:sz="8" w:space="0" w:color="auto"/>
              <w:bottom w:val="single" w:sz="8" w:space="0" w:color="auto"/>
            </w:tcBorders>
            <w:shd w:val="clear" w:color="auto" w:fill="FFFFFF" w:themeFill="background1"/>
            <w:vAlign w:val="center"/>
          </w:tcPr>
          <w:p w14:paraId="157214A9" w14:textId="069510F4" w:rsidR="00DA631C" w:rsidRPr="001C5A8A"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1,</w:t>
            </w:r>
            <w:r w:rsidR="00A9131E">
              <w:rPr>
                <w:rFonts w:asciiTheme="minorHAnsi" w:hAnsiTheme="minorHAnsi" w:cstheme="minorHAnsi"/>
                <w:b w:val="0"/>
                <w:sz w:val="20"/>
                <w:lang w:val="en-AU" w:eastAsia="en-AU"/>
              </w:rPr>
              <w:t>8</w:t>
            </w:r>
            <w:r w:rsidRPr="001C5A8A">
              <w:rPr>
                <w:rFonts w:asciiTheme="minorHAnsi" w:hAnsiTheme="minorHAnsi" w:cstheme="minorHAnsi"/>
                <w:b w:val="0"/>
                <w:sz w:val="20"/>
                <w:lang w:val="en-AU" w:eastAsia="en-AU"/>
              </w:rPr>
              <w:t>00</w:t>
            </w:r>
          </w:p>
        </w:tc>
        <w:tc>
          <w:tcPr>
            <w:tcW w:w="3536" w:type="dxa"/>
            <w:tcBorders>
              <w:top w:val="single" w:sz="8" w:space="0" w:color="auto"/>
              <w:bottom w:val="single" w:sz="8" w:space="0" w:color="auto"/>
            </w:tcBorders>
            <w:shd w:val="clear" w:color="auto" w:fill="FFFFFF" w:themeFill="background1"/>
            <w:vAlign w:val="center"/>
          </w:tcPr>
          <w:p w14:paraId="157214AA" w14:textId="5551CA32"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 xml:space="preserve">PC99; </w:t>
            </w:r>
            <w:r w:rsidR="00A9131E">
              <w:rPr>
                <w:rFonts w:asciiTheme="minorHAnsi" w:hAnsiTheme="minorHAnsi" w:cstheme="minorHAnsi"/>
                <w:b w:val="0"/>
                <w:sz w:val="20"/>
                <w:lang w:val="en-AU" w:eastAsia="en-AU"/>
              </w:rPr>
              <w:t>low</w:t>
            </w:r>
            <w:r w:rsidRPr="00AC0CC1">
              <w:rPr>
                <w:rFonts w:asciiTheme="minorHAnsi" w:hAnsiTheme="minorHAnsi" w:cstheme="minorHAnsi"/>
                <w:b w:val="0"/>
                <w:sz w:val="20"/>
                <w:lang w:val="en-AU" w:eastAsia="en-AU"/>
              </w:rPr>
              <w:t xml:space="preserve"> reliability; Marine water</w:t>
            </w:r>
          </w:p>
        </w:tc>
        <w:tc>
          <w:tcPr>
            <w:tcW w:w="1551" w:type="dxa"/>
            <w:tcBorders>
              <w:top w:val="single" w:sz="8" w:space="0" w:color="auto"/>
              <w:bottom w:val="single" w:sz="8" w:space="0" w:color="auto"/>
            </w:tcBorders>
            <w:shd w:val="clear" w:color="auto" w:fill="FFFFFF" w:themeFill="background1"/>
            <w:vAlign w:val="center"/>
          </w:tcPr>
          <w:p w14:paraId="157214AB"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8" w:space="0" w:color="auto"/>
              <w:bottom w:val="single" w:sz="8" w:space="0" w:color="auto"/>
            </w:tcBorders>
            <w:shd w:val="clear" w:color="auto" w:fill="FFFFFF" w:themeFill="background1"/>
            <w:vAlign w:val="center"/>
          </w:tcPr>
          <w:p w14:paraId="157214AC"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4AD"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1,200</w:t>
            </w:r>
          </w:p>
        </w:tc>
        <w:tc>
          <w:tcPr>
            <w:tcW w:w="2425" w:type="dxa"/>
            <w:gridSpan w:val="2"/>
            <w:tcBorders>
              <w:top w:val="single" w:sz="2" w:space="0" w:color="auto"/>
              <w:bottom w:val="single" w:sz="2" w:space="0" w:color="auto"/>
            </w:tcBorders>
            <w:shd w:val="clear" w:color="auto" w:fill="FFFFFF" w:themeFill="background1"/>
            <w:vAlign w:val="center"/>
          </w:tcPr>
          <w:p w14:paraId="157214AE"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Low reliability</w:t>
            </w:r>
          </w:p>
        </w:tc>
      </w:tr>
      <w:tr w:rsidR="00DA631C" w:rsidRPr="00AC0CC1" w14:paraId="157214B7" w14:textId="77777777" w:rsidTr="008C7DB4">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bottom w:val="single" w:sz="8" w:space="0" w:color="auto"/>
            </w:tcBorders>
            <w:shd w:val="clear" w:color="auto" w:fill="FFFFFF" w:themeFill="background1"/>
            <w:vAlign w:val="center"/>
          </w:tcPr>
          <w:p w14:paraId="157214B0"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Imazapic</w:t>
            </w:r>
          </w:p>
        </w:tc>
        <w:tc>
          <w:tcPr>
            <w:tcW w:w="1660" w:type="dxa"/>
            <w:tcBorders>
              <w:top w:val="single" w:sz="8" w:space="0" w:color="auto"/>
              <w:bottom w:val="single" w:sz="8" w:space="0" w:color="auto"/>
            </w:tcBorders>
            <w:shd w:val="clear" w:color="auto" w:fill="FFFFFF" w:themeFill="background1"/>
            <w:vAlign w:val="center"/>
          </w:tcPr>
          <w:p w14:paraId="157214B1" w14:textId="6ED8DFFE" w:rsidR="00DA631C" w:rsidRPr="001C5A8A" w:rsidRDefault="00A9131E"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49</w:t>
            </w:r>
          </w:p>
        </w:tc>
        <w:tc>
          <w:tcPr>
            <w:tcW w:w="3536" w:type="dxa"/>
            <w:tcBorders>
              <w:top w:val="single" w:sz="8" w:space="0" w:color="auto"/>
              <w:bottom w:val="single" w:sz="8" w:space="0" w:color="auto"/>
            </w:tcBorders>
            <w:shd w:val="clear" w:color="auto" w:fill="FFFFFF" w:themeFill="background1"/>
            <w:vAlign w:val="center"/>
          </w:tcPr>
          <w:p w14:paraId="157214B2" w14:textId="70DE33F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 xml:space="preserve">PC99; </w:t>
            </w:r>
            <w:r w:rsidR="00A9131E">
              <w:rPr>
                <w:rFonts w:asciiTheme="minorHAnsi" w:hAnsiTheme="minorHAnsi" w:cstheme="minorHAnsi"/>
                <w:b w:val="0"/>
                <w:sz w:val="20"/>
                <w:lang w:val="en-AU" w:eastAsia="en-AU"/>
              </w:rPr>
              <w:t xml:space="preserve">very </w:t>
            </w:r>
            <w:r w:rsidRPr="00AC0CC1">
              <w:rPr>
                <w:rFonts w:asciiTheme="minorHAnsi" w:hAnsiTheme="minorHAnsi" w:cstheme="minorHAnsi"/>
                <w:b w:val="0"/>
                <w:sz w:val="20"/>
                <w:lang w:val="en-AU" w:eastAsia="en-AU"/>
              </w:rPr>
              <w:t>low reliability; Marine water</w:t>
            </w:r>
          </w:p>
        </w:tc>
        <w:tc>
          <w:tcPr>
            <w:tcW w:w="1551" w:type="dxa"/>
            <w:tcBorders>
              <w:top w:val="single" w:sz="8" w:space="0" w:color="auto"/>
              <w:bottom w:val="single" w:sz="8" w:space="0" w:color="auto"/>
            </w:tcBorders>
            <w:shd w:val="clear" w:color="auto" w:fill="FFFFFF" w:themeFill="background1"/>
            <w:vAlign w:val="center"/>
          </w:tcPr>
          <w:p w14:paraId="157214B3"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8" w:space="0" w:color="auto"/>
              <w:bottom w:val="single" w:sz="8" w:space="0" w:color="auto"/>
            </w:tcBorders>
            <w:shd w:val="clear" w:color="auto" w:fill="FFFFFF" w:themeFill="background1"/>
            <w:vAlign w:val="center"/>
          </w:tcPr>
          <w:p w14:paraId="157214B4"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4B5"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2" w:space="0" w:color="auto"/>
            </w:tcBorders>
            <w:shd w:val="clear" w:color="auto" w:fill="FFFFFF" w:themeFill="background1"/>
            <w:vAlign w:val="center"/>
          </w:tcPr>
          <w:p w14:paraId="157214B6"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4BF" w14:textId="77777777" w:rsidTr="008C7DB4">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bottom w:val="single" w:sz="8" w:space="0" w:color="auto"/>
            </w:tcBorders>
            <w:shd w:val="clear" w:color="auto" w:fill="FFFFFF" w:themeFill="background1"/>
            <w:vAlign w:val="center"/>
          </w:tcPr>
          <w:p w14:paraId="157214B8"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Imidacloprid</w:t>
            </w:r>
          </w:p>
        </w:tc>
        <w:tc>
          <w:tcPr>
            <w:tcW w:w="1660" w:type="dxa"/>
            <w:tcBorders>
              <w:top w:val="single" w:sz="8" w:space="0" w:color="auto"/>
              <w:bottom w:val="single" w:sz="8" w:space="0" w:color="auto"/>
            </w:tcBorders>
            <w:shd w:val="clear" w:color="auto" w:fill="FFFFFF" w:themeFill="background1"/>
            <w:vAlign w:val="center"/>
          </w:tcPr>
          <w:p w14:paraId="157214B9" w14:textId="4A607F83" w:rsidR="00DA631C" w:rsidRPr="001C5A8A"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3</w:t>
            </w:r>
            <w:r w:rsidR="00A9131E">
              <w:rPr>
                <w:rFonts w:asciiTheme="minorHAnsi" w:hAnsiTheme="minorHAnsi" w:cstheme="minorHAnsi"/>
                <w:b w:val="0"/>
                <w:sz w:val="20"/>
                <w:lang w:val="en-AU" w:eastAsia="en-AU"/>
              </w:rPr>
              <w:t>4</w:t>
            </w:r>
          </w:p>
        </w:tc>
        <w:tc>
          <w:tcPr>
            <w:tcW w:w="3536" w:type="dxa"/>
            <w:tcBorders>
              <w:top w:val="single" w:sz="8" w:space="0" w:color="auto"/>
              <w:bottom w:val="single" w:sz="8" w:space="0" w:color="auto"/>
            </w:tcBorders>
            <w:shd w:val="clear" w:color="auto" w:fill="FFFFFF" w:themeFill="background1"/>
            <w:vAlign w:val="center"/>
          </w:tcPr>
          <w:p w14:paraId="157214BA"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top w:val="single" w:sz="8" w:space="0" w:color="auto"/>
              <w:bottom w:val="single" w:sz="8" w:space="0" w:color="auto"/>
            </w:tcBorders>
            <w:shd w:val="clear" w:color="auto" w:fill="FFFFFF" w:themeFill="background1"/>
            <w:vAlign w:val="center"/>
          </w:tcPr>
          <w:p w14:paraId="157214BB"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8" w:space="0" w:color="auto"/>
              <w:bottom w:val="single" w:sz="8" w:space="0" w:color="auto"/>
            </w:tcBorders>
            <w:shd w:val="clear" w:color="auto" w:fill="FFFFFF" w:themeFill="background1"/>
            <w:vAlign w:val="center"/>
          </w:tcPr>
          <w:p w14:paraId="157214BC"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4BD"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2" w:space="0" w:color="auto"/>
            </w:tcBorders>
            <w:shd w:val="clear" w:color="auto" w:fill="FFFFFF" w:themeFill="background1"/>
            <w:vAlign w:val="center"/>
          </w:tcPr>
          <w:p w14:paraId="157214BE"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4C7" w14:textId="77777777" w:rsidTr="00A9131E">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bottom w:val="single" w:sz="2" w:space="0" w:color="auto"/>
            </w:tcBorders>
            <w:shd w:val="clear" w:color="auto" w:fill="FFFFFF" w:themeFill="background1"/>
            <w:vAlign w:val="center"/>
          </w:tcPr>
          <w:p w14:paraId="157214C0"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MCPA</w:t>
            </w:r>
          </w:p>
        </w:tc>
        <w:tc>
          <w:tcPr>
            <w:tcW w:w="1660" w:type="dxa"/>
            <w:tcBorders>
              <w:top w:val="nil"/>
              <w:bottom w:val="single" w:sz="2" w:space="0" w:color="auto"/>
            </w:tcBorders>
            <w:shd w:val="clear" w:color="auto" w:fill="FFFFFF" w:themeFill="background1"/>
            <w:vAlign w:val="center"/>
          </w:tcPr>
          <w:p w14:paraId="157214C1" w14:textId="0CF96DAC" w:rsidR="00DA631C" w:rsidRPr="001C5A8A" w:rsidRDefault="00A9131E"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1,000</w:t>
            </w:r>
          </w:p>
        </w:tc>
        <w:tc>
          <w:tcPr>
            <w:tcW w:w="3536" w:type="dxa"/>
            <w:tcBorders>
              <w:top w:val="nil"/>
              <w:bottom w:val="single" w:sz="2" w:space="0" w:color="auto"/>
            </w:tcBorders>
            <w:shd w:val="clear" w:color="auto" w:fill="FFFFFF" w:themeFill="background1"/>
            <w:vAlign w:val="center"/>
          </w:tcPr>
          <w:p w14:paraId="157214C2" w14:textId="0BAE0D0F"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 xml:space="preserve">PC99; </w:t>
            </w:r>
            <w:r w:rsidR="00A9131E">
              <w:rPr>
                <w:rFonts w:asciiTheme="minorHAnsi" w:hAnsiTheme="minorHAnsi" w:cstheme="minorHAnsi"/>
                <w:b w:val="0"/>
                <w:sz w:val="20"/>
                <w:lang w:val="en-AU" w:eastAsia="en-AU"/>
              </w:rPr>
              <w:t xml:space="preserve">low </w:t>
            </w:r>
            <w:r w:rsidRPr="00AC0CC1">
              <w:rPr>
                <w:rFonts w:asciiTheme="minorHAnsi" w:hAnsiTheme="minorHAnsi" w:cstheme="minorHAnsi"/>
                <w:b w:val="0"/>
                <w:sz w:val="20"/>
                <w:lang w:val="en-AU" w:eastAsia="en-AU"/>
              </w:rPr>
              <w:t>reliability; Marine water</w:t>
            </w:r>
          </w:p>
        </w:tc>
        <w:tc>
          <w:tcPr>
            <w:tcW w:w="1551" w:type="dxa"/>
            <w:tcBorders>
              <w:top w:val="nil"/>
              <w:bottom w:val="single" w:sz="2" w:space="0" w:color="auto"/>
            </w:tcBorders>
            <w:shd w:val="clear" w:color="auto" w:fill="FFFFFF" w:themeFill="background1"/>
            <w:vAlign w:val="center"/>
          </w:tcPr>
          <w:p w14:paraId="157214C3"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nil"/>
              <w:bottom w:val="single" w:sz="2" w:space="0" w:color="auto"/>
            </w:tcBorders>
            <w:shd w:val="clear" w:color="auto" w:fill="FFFFFF" w:themeFill="background1"/>
            <w:vAlign w:val="center"/>
          </w:tcPr>
          <w:p w14:paraId="157214C4"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bottom w:val="single" w:sz="2" w:space="0" w:color="auto"/>
            </w:tcBorders>
            <w:shd w:val="clear" w:color="auto" w:fill="FFFFFF" w:themeFill="background1"/>
            <w:vAlign w:val="center"/>
          </w:tcPr>
          <w:p w14:paraId="157214C5"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bottom w:val="single" w:sz="2" w:space="0" w:color="auto"/>
            </w:tcBorders>
            <w:shd w:val="clear" w:color="auto" w:fill="FFFFFF" w:themeFill="background1"/>
            <w:vAlign w:val="center"/>
          </w:tcPr>
          <w:p w14:paraId="157214C6"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A9131E" w:rsidRPr="00AC0CC1" w14:paraId="305B1D20" w14:textId="77777777" w:rsidTr="00A9131E">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026E409C" w14:textId="77777777" w:rsidR="00A9131E" w:rsidRPr="00AC0CC1" w:rsidRDefault="00A9131E" w:rsidP="00A96AAF">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Metolachlor</w:t>
            </w:r>
          </w:p>
        </w:tc>
        <w:tc>
          <w:tcPr>
            <w:tcW w:w="1660" w:type="dxa"/>
            <w:shd w:val="clear" w:color="auto" w:fill="auto"/>
          </w:tcPr>
          <w:p w14:paraId="5AB14FBA" w14:textId="77777777" w:rsidR="00A9131E" w:rsidRPr="001C5A8A" w:rsidRDefault="00A9131E" w:rsidP="00A96AAF">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Marine data n.a.</w:t>
            </w:r>
          </w:p>
        </w:tc>
        <w:tc>
          <w:tcPr>
            <w:tcW w:w="3536" w:type="dxa"/>
            <w:shd w:val="clear" w:color="auto" w:fill="auto"/>
          </w:tcPr>
          <w:p w14:paraId="5F4C6F1C" w14:textId="77777777" w:rsidR="00A9131E" w:rsidRPr="00AC0CC1" w:rsidRDefault="00A9131E" w:rsidP="00A96AAF">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51" w:type="dxa"/>
            <w:shd w:val="clear" w:color="auto" w:fill="auto"/>
          </w:tcPr>
          <w:p w14:paraId="124F5C2B" w14:textId="77777777" w:rsidR="00A9131E" w:rsidRPr="00AC0CC1" w:rsidRDefault="00A9131E" w:rsidP="00A96AAF">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20</w:t>
            </w:r>
            <w:r>
              <w:rPr>
                <w:rFonts w:asciiTheme="minorHAnsi" w:hAnsiTheme="minorHAnsi" w:cstheme="minorHAnsi"/>
                <w:b w:val="0"/>
                <w:sz w:val="20"/>
                <w:vertAlign w:val="superscript"/>
                <w:lang w:val="en-AU" w:eastAsia="en-AU"/>
              </w:rPr>
              <w:t>d</w:t>
            </w:r>
          </w:p>
        </w:tc>
        <w:tc>
          <w:tcPr>
            <w:tcW w:w="3156" w:type="dxa"/>
            <w:shd w:val="clear" w:color="auto" w:fill="auto"/>
          </w:tcPr>
          <w:p w14:paraId="098F8CAE" w14:textId="77777777" w:rsidR="00A9131E" w:rsidRPr="00AC0CC1" w:rsidRDefault="00A9131E" w:rsidP="00A96AAF">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IWL, low reliability; Freshwater</w:t>
            </w:r>
          </w:p>
        </w:tc>
        <w:tc>
          <w:tcPr>
            <w:tcW w:w="1564" w:type="dxa"/>
            <w:shd w:val="clear" w:color="auto" w:fill="auto"/>
          </w:tcPr>
          <w:p w14:paraId="6314A562" w14:textId="77777777" w:rsidR="00A9131E" w:rsidRPr="00AC0CC1" w:rsidRDefault="00A9131E" w:rsidP="00A96AAF">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shd w:val="clear" w:color="auto" w:fill="auto"/>
          </w:tcPr>
          <w:p w14:paraId="2A1986F5" w14:textId="77777777" w:rsidR="00A9131E" w:rsidRPr="00AC0CC1" w:rsidRDefault="00A9131E" w:rsidP="00A96AAF">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A9131E" w:rsidRPr="00AC0CC1" w14:paraId="0F8427DB" w14:textId="77777777" w:rsidTr="00A9131E">
        <w:trPr>
          <w:trHeight w:val="408"/>
        </w:trPr>
        <w:tc>
          <w:tcPr>
            <w:cnfStyle w:val="001000000000" w:firstRow="0" w:lastRow="0" w:firstColumn="1" w:lastColumn="0" w:oddVBand="0" w:evenVBand="0" w:oddHBand="0" w:evenHBand="0" w:firstRowFirstColumn="0" w:firstRowLastColumn="0" w:lastRowFirstColumn="0" w:lastRowLastColumn="0"/>
            <w:tcW w:w="1667" w:type="dxa"/>
            <w:shd w:val="clear" w:color="auto" w:fill="auto"/>
          </w:tcPr>
          <w:p w14:paraId="32793057" w14:textId="77777777" w:rsidR="00A9131E" w:rsidRPr="00AC0CC1" w:rsidRDefault="00A9131E" w:rsidP="00A96AAF">
            <w:pPr>
              <w:pStyle w:val="Caption"/>
              <w:rPr>
                <w:rFonts w:asciiTheme="minorHAnsi" w:hAnsiTheme="minorHAnsi" w:cstheme="minorHAnsi"/>
                <w:color w:val="auto"/>
                <w:sz w:val="20"/>
                <w:lang w:val="en-AU" w:eastAsia="en-AU"/>
              </w:rPr>
            </w:pPr>
          </w:p>
        </w:tc>
        <w:tc>
          <w:tcPr>
            <w:tcW w:w="1660" w:type="dxa"/>
            <w:shd w:val="clear" w:color="auto" w:fill="auto"/>
          </w:tcPr>
          <w:p w14:paraId="6E4039AB" w14:textId="01E47960" w:rsidR="00A9131E" w:rsidRPr="001C5A8A" w:rsidRDefault="00A9131E" w:rsidP="00A96AAF">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bCs w:val="0"/>
                <w:sz w:val="20"/>
                <w:lang w:val="en-AU" w:eastAsia="en-AU"/>
              </w:rPr>
              <w:t>Freshwater:</w:t>
            </w:r>
            <w:r>
              <w:rPr>
                <w:rFonts w:asciiTheme="minorHAnsi" w:hAnsiTheme="minorHAnsi" w:cstheme="minorHAnsi"/>
                <w:b w:val="0"/>
                <w:bCs w:val="0"/>
                <w:sz w:val="20"/>
                <w:lang w:val="en-AU" w:eastAsia="en-AU"/>
              </w:rPr>
              <w:t xml:space="preserve"> 16</w:t>
            </w:r>
          </w:p>
        </w:tc>
        <w:tc>
          <w:tcPr>
            <w:tcW w:w="3536" w:type="dxa"/>
            <w:shd w:val="clear" w:color="auto" w:fill="auto"/>
          </w:tcPr>
          <w:p w14:paraId="30F13A93" w14:textId="77777777" w:rsidR="00A9131E" w:rsidRPr="00AC0CC1" w:rsidRDefault="00A9131E" w:rsidP="00A96AAF">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51" w:type="dxa"/>
            <w:shd w:val="clear" w:color="auto" w:fill="auto"/>
          </w:tcPr>
          <w:p w14:paraId="3160F125" w14:textId="77777777" w:rsidR="00A9131E" w:rsidRPr="00AC0CC1" w:rsidRDefault="00A9131E" w:rsidP="00A96AAF">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20</w:t>
            </w:r>
            <w:r>
              <w:rPr>
                <w:rFonts w:asciiTheme="minorHAnsi" w:hAnsiTheme="minorHAnsi" w:cstheme="minorHAnsi"/>
                <w:b w:val="0"/>
                <w:sz w:val="20"/>
                <w:vertAlign w:val="superscript"/>
                <w:lang w:val="en-AU" w:eastAsia="en-AU"/>
              </w:rPr>
              <w:t>d</w:t>
            </w:r>
          </w:p>
        </w:tc>
        <w:tc>
          <w:tcPr>
            <w:tcW w:w="3156" w:type="dxa"/>
            <w:shd w:val="clear" w:color="auto" w:fill="auto"/>
          </w:tcPr>
          <w:p w14:paraId="6F0FE6D0" w14:textId="77777777" w:rsidR="00A9131E" w:rsidRPr="00AC0CC1" w:rsidRDefault="00A9131E" w:rsidP="00A96AAF">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IWL, low reliability; Marine water</w:t>
            </w:r>
          </w:p>
        </w:tc>
        <w:tc>
          <w:tcPr>
            <w:tcW w:w="1564" w:type="dxa"/>
            <w:shd w:val="clear" w:color="auto" w:fill="auto"/>
          </w:tcPr>
          <w:p w14:paraId="5016B99D" w14:textId="77777777" w:rsidR="00A9131E" w:rsidRPr="00AC0CC1" w:rsidRDefault="00A9131E" w:rsidP="00A96AAF">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shd w:val="clear" w:color="auto" w:fill="auto"/>
          </w:tcPr>
          <w:p w14:paraId="12DBA636" w14:textId="77777777" w:rsidR="00A9131E" w:rsidRPr="00AC0CC1" w:rsidRDefault="00A9131E" w:rsidP="00A96AAF">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A9131E" w:rsidRPr="00A9131E" w14:paraId="292A06B9" w14:textId="77777777" w:rsidTr="00A9131E">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2" w:space="0" w:color="auto"/>
              <w:bottom w:val="single" w:sz="4" w:space="0" w:color="auto"/>
            </w:tcBorders>
            <w:shd w:val="clear" w:color="auto" w:fill="auto"/>
          </w:tcPr>
          <w:p w14:paraId="154BF784" w14:textId="77777777" w:rsidR="00A9131E" w:rsidRPr="00A9131E" w:rsidRDefault="00A9131E" w:rsidP="00A96AAF">
            <w:pPr>
              <w:pStyle w:val="Caption"/>
              <w:rPr>
                <w:rFonts w:asciiTheme="minorHAnsi" w:hAnsiTheme="minorHAnsi" w:cstheme="minorHAnsi"/>
                <w:color w:val="auto"/>
                <w:sz w:val="20"/>
                <w:lang w:val="en-AU" w:eastAsia="en-AU"/>
              </w:rPr>
            </w:pPr>
            <w:r w:rsidRPr="00A9131E">
              <w:rPr>
                <w:rFonts w:asciiTheme="minorHAnsi" w:hAnsiTheme="minorHAnsi" w:cstheme="minorHAnsi"/>
                <w:color w:val="auto"/>
                <w:sz w:val="20"/>
                <w:lang w:val="en-AU" w:eastAsia="en-AU"/>
              </w:rPr>
              <w:t>Metribuzin</w:t>
            </w:r>
          </w:p>
        </w:tc>
        <w:tc>
          <w:tcPr>
            <w:tcW w:w="1660" w:type="dxa"/>
            <w:tcBorders>
              <w:top w:val="single" w:sz="2" w:space="0" w:color="auto"/>
              <w:bottom w:val="single" w:sz="4" w:space="0" w:color="auto"/>
            </w:tcBorders>
            <w:shd w:val="clear" w:color="auto" w:fill="auto"/>
          </w:tcPr>
          <w:p w14:paraId="1E635046" w14:textId="5D9E83DB" w:rsidR="00A9131E" w:rsidRPr="00A9131E" w:rsidRDefault="00A9131E" w:rsidP="00A9131E">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2,0</w:t>
            </w:r>
            <w:r w:rsidRPr="00A9131E">
              <w:rPr>
                <w:rFonts w:asciiTheme="minorHAnsi" w:hAnsiTheme="minorHAnsi" w:cstheme="minorHAnsi"/>
                <w:b w:val="0"/>
                <w:sz w:val="20"/>
                <w:lang w:val="en-AU" w:eastAsia="en-AU"/>
              </w:rPr>
              <w:t>00</w:t>
            </w:r>
          </w:p>
        </w:tc>
        <w:tc>
          <w:tcPr>
            <w:tcW w:w="3536" w:type="dxa"/>
            <w:tcBorders>
              <w:top w:val="single" w:sz="2" w:space="0" w:color="auto"/>
              <w:bottom w:val="single" w:sz="4" w:space="0" w:color="auto"/>
            </w:tcBorders>
            <w:shd w:val="clear" w:color="auto" w:fill="auto"/>
          </w:tcPr>
          <w:p w14:paraId="630B430A" w14:textId="77777777" w:rsidR="00A9131E" w:rsidRPr="00A9131E" w:rsidRDefault="00A9131E" w:rsidP="00A96AAF">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9131E">
              <w:rPr>
                <w:rFonts w:asciiTheme="minorHAnsi" w:hAnsiTheme="minorHAnsi" w:cstheme="minorHAnsi"/>
                <w:b w:val="0"/>
                <w:sz w:val="20"/>
                <w:lang w:val="en-AU" w:eastAsia="en-AU"/>
              </w:rPr>
              <w:t>PC99; moderate reliability; Marine water</w:t>
            </w:r>
          </w:p>
        </w:tc>
        <w:tc>
          <w:tcPr>
            <w:tcW w:w="1551" w:type="dxa"/>
            <w:tcBorders>
              <w:top w:val="single" w:sz="2" w:space="0" w:color="auto"/>
              <w:bottom w:val="single" w:sz="4" w:space="0" w:color="auto"/>
            </w:tcBorders>
            <w:shd w:val="clear" w:color="auto" w:fill="auto"/>
          </w:tcPr>
          <w:p w14:paraId="4217C244" w14:textId="77777777" w:rsidR="00A9131E" w:rsidRPr="00A9131E" w:rsidRDefault="00A9131E" w:rsidP="00A9131E">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2" w:space="0" w:color="auto"/>
              <w:bottom w:val="single" w:sz="4" w:space="0" w:color="auto"/>
            </w:tcBorders>
            <w:shd w:val="clear" w:color="auto" w:fill="auto"/>
          </w:tcPr>
          <w:p w14:paraId="248494F4" w14:textId="77777777" w:rsidR="00A9131E" w:rsidRPr="00A9131E" w:rsidRDefault="00A9131E" w:rsidP="00A96AAF">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4" w:space="0" w:color="auto"/>
            </w:tcBorders>
            <w:shd w:val="clear" w:color="auto" w:fill="auto"/>
          </w:tcPr>
          <w:p w14:paraId="0D531DD9" w14:textId="77777777" w:rsidR="00A9131E" w:rsidRPr="00A9131E" w:rsidRDefault="00A9131E" w:rsidP="00A9131E">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4" w:space="0" w:color="auto"/>
            </w:tcBorders>
            <w:shd w:val="clear" w:color="auto" w:fill="auto"/>
          </w:tcPr>
          <w:p w14:paraId="48ACD311" w14:textId="77777777" w:rsidR="00A9131E" w:rsidRPr="00A9131E" w:rsidRDefault="00A9131E" w:rsidP="00A96AAF">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662785" w:rsidRPr="00AC0CC1" w14:paraId="157214D0" w14:textId="77777777" w:rsidTr="00A9131E">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4" w:space="0" w:color="auto"/>
              <w:bottom w:val="single" w:sz="2" w:space="0" w:color="auto"/>
            </w:tcBorders>
            <w:shd w:val="clear" w:color="auto" w:fill="FFFFFF" w:themeFill="background1"/>
            <w:vAlign w:val="center"/>
          </w:tcPr>
          <w:p w14:paraId="157214C8" w14:textId="77777777" w:rsidR="00662785" w:rsidRPr="00662785" w:rsidRDefault="00662785" w:rsidP="00AC0CC1">
            <w:pPr>
              <w:pStyle w:val="Caption"/>
              <w:rPr>
                <w:rFonts w:asciiTheme="minorHAnsi" w:hAnsiTheme="minorHAnsi" w:cstheme="minorHAnsi"/>
                <w:color w:val="auto"/>
                <w:sz w:val="20"/>
                <w:lang w:val="en-AU" w:eastAsia="en-AU"/>
              </w:rPr>
            </w:pPr>
            <w:r w:rsidRPr="00662785">
              <w:rPr>
                <w:rFonts w:asciiTheme="minorHAnsi" w:hAnsiTheme="minorHAnsi" w:cstheme="minorHAnsi"/>
                <w:color w:val="auto"/>
                <w:sz w:val="20"/>
                <w:lang w:val="en-AU" w:eastAsia="en-AU"/>
              </w:rPr>
              <w:t>Metsulfuron methyl</w:t>
            </w:r>
          </w:p>
        </w:tc>
        <w:tc>
          <w:tcPr>
            <w:tcW w:w="1660" w:type="dxa"/>
            <w:tcBorders>
              <w:top w:val="single" w:sz="4" w:space="0" w:color="auto"/>
              <w:bottom w:val="single" w:sz="2" w:space="0" w:color="auto"/>
            </w:tcBorders>
            <w:shd w:val="clear" w:color="auto" w:fill="FFFFFF" w:themeFill="background1"/>
            <w:vAlign w:val="center"/>
          </w:tcPr>
          <w:p w14:paraId="157214C9" w14:textId="4813C051" w:rsidR="00662785" w:rsidRPr="001C5A8A" w:rsidRDefault="00115AAD"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Marine data</w:t>
            </w:r>
            <w:r w:rsidR="00A9131E">
              <w:rPr>
                <w:rFonts w:asciiTheme="minorHAnsi" w:hAnsiTheme="minorHAnsi" w:cstheme="minorHAnsi"/>
                <w:b w:val="0"/>
                <w:sz w:val="20"/>
                <w:lang w:val="en-AU" w:eastAsia="en-AU"/>
              </w:rPr>
              <w:t xml:space="preserve"> n.a.</w:t>
            </w:r>
          </w:p>
          <w:p w14:paraId="157214CA" w14:textId="021B7E04" w:rsidR="00115AAD" w:rsidRPr="001C5A8A" w:rsidRDefault="00115AAD" w:rsidP="00115AAD">
            <w:pPr>
              <w:cnfStyle w:val="000000000000" w:firstRow="0" w:lastRow="0" w:firstColumn="0" w:lastColumn="0" w:oddVBand="0" w:evenVBand="0" w:oddHBand="0" w:evenHBand="0" w:firstRowFirstColumn="0" w:firstRowLastColumn="0" w:lastRowFirstColumn="0" w:lastRowLastColumn="0"/>
              <w:rPr>
                <w:lang w:val="en-AU" w:eastAsia="en-AU"/>
              </w:rPr>
            </w:pPr>
            <w:r w:rsidRPr="001C5A8A">
              <w:rPr>
                <w:rFonts w:asciiTheme="minorHAnsi" w:hAnsiTheme="minorHAnsi" w:cstheme="minorHAnsi"/>
                <w:bCs/>
                <w:sz w:val="20"/>
                <w:szCs w:val="18"/>
                <w:lang w:val="en-AU" w:eastAsia="en-AU"/>
              </w:rPr>
              <w:t>Freshwater</w:t>
            </w:r>
            <w:r w:rsidRPr="001C5A8A">
              <w:rPr>
                <w:rFonts w:asciiTheme="minorHAnsi" w:hAnsiTheme="minorHAnsi" w:cstheme="minorHAnsi"/>
                <w:bCs/>
                <w:sz w:val="20"/>
                <w:lang w:val="en-AU" w:eastAsia="en-AU"/>
              </w:rPr>
              <w:t>:</w:t>
            </w:r>
            <w:r w:rsidRPr="001C5A8A">
              <w:rPr>
                <w:rFonts w:asciiTheme="minorHAnsi" w:hAnsiTheme="minorHAnsi" w:cstheme="minorHAnsi"/>
                <w:bCs/>
                <w:sz w:val="20"/>
                <w:szCs w:val="18"/>
                <w:lang w:val="en-AU" w:eastAsia="en-AU"/>
              </w:rPr>
              <w:t xml:space="preserve"> </w:t>
            </w:r>
            <w:r w:rsidR="00A9131E">
              <w:rPr>
                <w:rFonts w:asciiTheme="minorHAnsi" w:hAnsiTheme="minorHAnsi" w:cstheme="minorHAnsi"/>
                <w:bCs/>
                <w:sz w:val="20"/>
                <w:lang w:val="en-AU" w:eastAsia="en-AU"/>
              </w:rPr>
              <w:t>4.7</w:t>
            </w:r>
          </w:p>
        </w:tc>
        <w:tc>
          <w:tcPr>
            <w:tcW w:w="3536" w:type="dxa"/>
            <w:tcBorders>
              <w:top w:val="single" w:sz="4" w:space="0" w:color="auto"/>
              <w:bottom w:val="single" w:sz="2" w:space="0" w:color="auto"/>
            </w:tcBorders>
            <w:shd w:val="clear" w:color="auto" w:fill="FFFFFF" w:themeFill="background1"/>
            <w:vAlign w:val="center"/>
          </w:tcPr>
          <w:p w14:paraId="157214CB" w14:textId="77777777" w:rsidR="00662785" w:rsidRPr="00AC0CC1" w:rsidRDefault="00662785"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single" w:sz="4" w:space="0" w:color="auto"/>
              <w:bottom w:val="single" w:sz="2" w:space="0" w:color="auto"/>
            </w:tcBorders>
            <w:shd w:val="clear" w:color="auto" w:fill="FFFFFF" w:themeFill="background1"/>
            <w:vAlign w:val="center"/>
          </w:tcPr>
          <w:p w14:paraId="157214CC" w14:textId="77777777" w:rsidR="00662785" w:rsidRPr="00AC0CC1" w:rsidRDefault="00662785"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4" w:space="0" w:color="auto"/>
              <w:bottom w:val="single" w:sz="2" w:space="0" w:color="auto"/>
            </w:tcBorders>
            <w:shd w:val="clear" w:color="auto" w:fill="FFFFFF" w:themeFill="background1"/>
            <w:vAlign w:val="center"/>
          </w:tcPr>
          <w:p w14:paraId="157214CD" w14:textId="77777777" w:rsidR="00662785" w:rsidRPr="00AC0CC1" w:rsidRDefault="00662785"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4" w:space="0" w:color="auto"/>
              <w:bottom w:val="single" w:sz="2" w:space="0" w:color="auto"/>
            </w:tcBorders>
            <w:shd w:val="clear" w:color="auto" w:fill="FFFFFF" w:themeFill="background1"/>
            <w:vAlign w:val="center"/>
          </w:tcPr>
          <w:p w14:paraId="157214CE" w14:textId="77777777" w:rsidR="00662785" w:rsidRPr="00AC0CC1" w:rsidRDefault="00662785"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4" w:space="0" w:color="auto"/>
              <w:bottom w:val="single" w:sz="2" w:space="0" w:color="auto"/>
            </w:tcBorders>
            <w:shd w:val="clear" w:color="auto" w:fill="FFFFFF" w:themeFill="background1"/>
            <w:vAlign w:val="center"/>
          </w:tcPr>
          <w:p w14:paraId="157214CF" w14:textId="77777777" w:rsidR="00662785" w:rsidRPr="00AC0CC1" w:rsidRDefault="00662785"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4F0" w14:textId="77777777" w:rsidTr="008C7DB4">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2" w:space="0" w:color="auto"/>
              <w:bottom w:val="single" w:sz="2" w:space="0" w:color="auto"/>
            </w:tcBorders>
            <w:shd w:val="clear" w:color="auto" w:fill="FFFFFF" w:themeFill="background1"/>
            <w:vAlign w:val="center"/>
          </w:tcPr>
          <w:p w14:paraId="157214E9"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Pendimethalin</w:t>
            </w:r>
          </w:p>
        </w:tc>
        <w:tc>
          <w:tcPr>
            <w:tcW w:w="1660" w:type="dxa"/>
            <w:tcBorders>
              <w:top w:val="single" w:sz="2" w:space="0" w:color="auto"/>
              <w:bottom w:val="single" w:sz="2" w:space="0" w:color="auto"/>
            </w:tcBorders>
            <w:shd w:val="clear" w:color="auto" w:fill="FFFFFF" w:themeFill="background1"/>
            <w:vAlign w:val="center"/>
          </w:tcPr>
          <w:p w14:paraId="157214EA" w14:textId="0AD6FD93" w:rsidR="00DA631C" w:rsidRPr="001C5A8A" w:rsidRDefault="00A9131E"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240</w:t>
            </w:r>
          </w:p>
        </w:tc>
        <w:tc>
          <w:tcPr>
            <w:tcW w:w="3536" w:type="dxa"/>
            <w:tcBorders>
              <w:top w:val="single" w:sz="2" w:space="0" w:color="auto"/>
              <w:bottom w:val="single" w:sz="2" w:space="0" w:color="auto"/>
            </w:tcBorders>
            <w:shd w:val="clear" w:color="auto" w:fill="FFFFFF" w:themeFill="background1"/>
            <w:vAlign w:val="center"/>
          </w:tcPr>
          <w:p w14:paraId="157214EB"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top w:val="single" w:sz="2" w:space="0" w:color="auto"/>
              <w:bottom w:val="single" w:sz="2" w:space="0" w:color="auto"/>
            </w:tcBorders>
            <w:shd w:val="clear" w:color="auto" w:fill="FFFFFF" w:themeFill="background1"/>
            <w:vAlign w:val="center"/>
          </w:tcPr>
          <w:p w14:paraId="157214EC"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2" w:space="0" w:color="auto"/>
              <w:bottom w:val="single" w:sz="2" w:space="0" w:color="auto"/>
            </w:tcBorders>
            <w:shd w:val="clear" w:color="auto" w:fill="FFFFFF" w:themeFill="background1"/>
            <w:vAlign w:val="center"/>
          </w:tcPr>
          <w:p w14:paraId="157214ED"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4EE"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2" w:space="0" w:color="auto"/>
            </w:tcBorders>
            <w:shd w:val="clear" w:color="auto" w:fill="FFFFFF" w:themeFill="background1"/>
            <w:vAlign w:val="center"/>
          </w:tcPr>
          <w:p w14:paraId="157214EF"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3363A0" w:rsidRPr="00AC0CC1" w14:paraId="157214F8" w14:textId="77777777" w:rsidTr="008C7DB4">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2" w:space="0" w:color="auto"/>
              <w:bottom w:val="single" w:sz="2" w:space="0" w:color="auto"/>
            </w:tcBorders>
            <w:shd w:val="clear" w:color="auto" w:fill="FFFFFF" w:themeFill="background1"/>
            <w:vAlign w:val="center"/>
          </w:tcPr>
          <w:p w14:paraId="157214F1" w14:textId="77777777" w:rsidR="003363A0" w:rsidRPr="00AC0CC1" w:rsidRDefault="003363A0"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Prometryn</w:t>
            </w:r>
          </w:p>
        </w:tc>
        <w:tc>
          <w:tcPr>
            <w:tcW w:w="1660" w:type="dxa"/>
            <w:tcBorders>
              <w:top w:val="single" w:sz="2" w:space="0" w:color="auto"/>
              <w:bottom w:val="single" w:sz="2" w:space="0" w:color="auto"/>
            </w:tcBorders>
            <w:shd w:val="clear" w:color="auto" w:fill="FFFFFF" w:themeFill="background1"/>
            <w:vAlign w:val="center"/>
          </w:tcPr>
          <w:p w14:paraId="157214F2" w14:textId="77777777" w:rsidR="003363A0" w:rsidRPr="001C5A8A" w:rsidRDefault="00CC75AA"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110</w:t>
            </w:r>
          </w:p>
        </w:tc>
        <w:tc>
          <w:tcPr>
            <w:tcW w:w="3536" w:type="dxa"/>
            <w:tcBorders>
              <w:top w:val="single" w:sz="2" w:space="0" w:color="auto"/>
              <w:bottom w:val="single" w:sz="2" w:space="0" w:color="auto"/>
            </w:tcBorders>
            <w:shd w:val="clear" w:color="auto" w:fill="FFFFFF" w:themeFill="background1"/>
            <w:vAlign w:val="center"/>
          </w:tcPr>
          <w:p w14:paraId="157214F3" w14:textId="3AF44862" w:rsidR="003363A0" w:rsidRPr="00AC0CC1" w:rsidRDefault="00A9131E"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top w:val="single" w:sz="2" w:space="0" w:color="auto"/>
              <w:bottom w:val="single" w:sz="2" w:space="0" w:color="auto"/>
            </w:tcBorders>
            <w:shd w:val="clear" w:color="auto" w:fill="FFFFFF" w:themeFill="background1"/>
            <w:vAlign w:val="center"/>
          </w:tcPr>
          <w:p w14:paraId="157214F4" w14:textId="77777777" w:rsidR="003363A0" w:rsidRPr="00AC0CC1" w:rsidRDefault="003363A0"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2" w:space="0" w:color="auto"/>
              <w:bottom w:val="single" w:sz="2" w:space="0" w:color="auto"/>
            </w:tcBorders>
            <w:shd w:val="clear" w:color="auto" w:fill="FFFFFF" w:themeFill="background1"/>
            <w:vAlign w:val="center"/>
          </w:tcPr>
          <w:p w14:paraId="157214F5" w14:textId="77777777" w:rsidR="003363A0" w:rsidRPr="00AC0CC1" w:rsidRDefault="003363A0"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4F6" w14:textId="77777777" w:rsidR="003363A0" w:rsidRPr="00AC0CC1" w:rsidRDefault="003363A0"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2" w:space="0" w:color="auto"/>
            </w:tcBorders>
            <w:shd w:val="clear" w:color="auto" w:fill="FFFFFF" w:themeFill="background1"/>
            <w:vAlign w:val="center"/>
          </w:tcPr>
          <w:p w14:paraId="157214F7" w14:textId="77777777" w:rsidR="003363A0" w:rsidRPr="00AC0CC1" w:rsidRDefault="003363A0"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500" w14:textId="77777777" w:rsidTr="008C7DB4">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2" w:space="0" w:color="auto"/>
              <w:bottom w:val="single" w:sz="2" w:space="0" w:color="auto"/>
            </w:tcBorders>
            <w:shd w:val="clear" w:color="auto" w:fill="FFFFFF" w:themeFill="background1"/>
            <w:vAlign w:val="center"/>
          </w:tcPr>
          <w:p w14:paraId="157214F9"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Propazine</w:t>
            </w:r>
          </w:p>
        </w:tc>
        <w:tc>
          <w:tcPr>
            <w:tcW w:w="1660" w:type="dxa"/>
            <w:tcBorders>
              <w:top w:val="single" w:sz="2" w:space="0" w:color="auto"/>
              <w:bottom w:val="single" w:sz="2" w:space="0" w:color="auto"/>
            </w:tcBorders>
            <w:shd w:val="clear" w:color="auto" w:fill="FFFFFF" w:themeFill="background1"/>
            <w:vAlign w:val="center"/>
          </w:tcPr>
          <w:p w14:paraId="157214FA" w14:textId="34CF9B85" w:rsidR="00DA631C" w:rsidRPr="001C5A8A" w:rsidRDefault="00A9131E"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2,200</w:t>
            </w:r>
          </w:p>
        </w:tc>
        <w:tc>
          <w:tcPr>
            <w:tcW w:w="3536" w:type="dxa"/>
            <w:tcBorders>
              <w:top w:val="single" w:sz="2" w:space="0" w:color="auto"/>
              <w:bottom w:val="single" w:sz="2" w:space="0" w:color="auto"/>
            </w:tcBorders>
            <w:shd w:val="clear" w:color="auto" w:fill="FFFFFF" w:themeFill="background1"/>
            <w:vAlign w:val="center"/>
          </w:tcPr>
          <w:p w14:paraId="157214FB" w14:textId="3AE78435"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 xml:space="preserve">PC99; </w:t>
            </w:r>
            <w:r w:rsidR="00A9131E">
              <w:rPr>
                <w:rFonts w:asciiTheme="minorHAnsi" w:hAnsiTheme="minorHAnsi" w:cstheme="minorHAnsi"/>
                <w:b w:val="0"/>
                <w:sz w:val="20"/>
                <w:lang w:val="en-AU" w:eastAsia="en-AU"/>
              </w:rPr>
              <w:t>low</w:t>
            </w:r>
            <w:r w:rsidRPr="00AC0CC1">
              <w:rPr>
                <w:rFonts w:asciiTheme="minorHAnsi" w:hAnsiTheme="minorHAnsi" w:cstheme="minorHAnsi"/>
                <w:b w:val="0"/>
                <w:sz w:val="20"/>
                <w:lang w:val="en-AU" w:eastAsia="en-AU"/>
              </w:rPr>
              <w:t xml:space="preserve"> reliability; Marine water</w:t>
            </w:r>
          </w:p>
        </w:tc>
        <w:tc>
          <w:tcPr>
            <w:tcW w:w="1551" w:type="dxa"/>
            <w:tcBorders>
              <w:top w:val="single" w:sz="2" w:space="0" w:color="auto"/>
              <w:bottom w:val="single" w:sz="2" w:space="0" w:color="auto"/>
            </w:tcBorders>
            <w:shd w:val="clear" w:color="auto" w:fill="FFFFFF" w:themeFill="background1"/>
            <w:vAlign w:val="center"/>
          </w:tcPr>
          <w:p w14:paraId="157214FC"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2" w:space="0" w:color="auto"/>
              <w:bottom w:val="single" w:sz="2" w:space="0" w:color="auto"/>
            </w:tcBorders>
            <w:shd w:val="clear" w:color="auto" w:fill="FFFFFF" w:themeFill="background1"/>
            <w:vAlign w:val="center"/>
          </w:tcPr>
          <w:p w14:paraId="157214FD"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4FE"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2" w:space="0" w:color="auto"/>
            </w:tcBorders>
            <w:shd w:val="clear" w:color="auto" w:fill="FFFFFF" w:themeFill="background1"/>
            <w:vAlign w:val="center"/>
          </w:tcPr>
          <w:p w14:paraId="157214FF"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508" w14:textId="77777777" w:rsidTr="008C7DB4">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2" w:space="0" w:color="auto"/>
              <w:bottom w:val="single" w:sz="2" w:space="0" w:color="auto"/>
            </w:tcBorders>
            <w:shd w:val="clear" w:color="auto" w:fill="FFFFFF" w:themeFill="background1"/>
            <w:vAlign w:val="center"/>
          </w:tcPr>
          <w:p w14:paraId="15721501"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Propiconazole</w:t>
            </w:r>
          </w:p>
        </w:tc>
        <w:tc>
          <w:tcPr>
            <w:tcW w:w="1660" w:type="dxa"/>
            <w:tcBorders>
              <w:top w:val="single" w:sz="2" w:space="0" w:color="auto"/>
              <w:bottom w:val="single" w:sz="2" w:space="0" w:color="auto"/>
            </w:tcBorders>
            <w:shd w:val="clear" w:color="auto" w:fill="FFFFFF" w:themeFill="background1"/>
            <w:vAlign w:val="center"/>
          </w:tcPr>
          <w:p w14:paraId="15721502" w14:textId="25BE227F" w:rsidR="00DA631C" w:rsidRPr="001C5A8A" w:rsidRDefault="00A9131E"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2,100</w:t>
            </w:r>
          </w:p>
        </w:tc>
        <w:tc>
          <w:tcPr>
            <w:tcW w:w="3536" w:type="dxa"/>
            <w:tcBorders>
              <w:top w:val="single" w:sz="2" w:space="0" w:color="auto"/>
              <w:bottom w:val="single" w:sz="2" w:space="0" w:color="auto"/>
            </w:tcBorders>
            <w:shd w:val="clear" w:color="auto" w:fill="FFFFFF" w:themeFill="background1"/>
            <w:vAlign w:val="center"/>
          </w:tcPr>
          <w:p w14:paraId="15721503"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top w:val="single" w:sz="2" w:space="0" w:color="auto"/>
              <w:bottom w:val="single" w:sz="2" w:space="0" w:color="auto"/>
            </w:tcBorders>
            <w:shd w:val="clear" w:color="auto" w:fill="FFFFFF" w:themeFill="background1"/>
            <w:vAlign w:val="center"/>
          </w:tcPr>
          <w:p w14:paraId="15721504"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2" w:space="0" w:color="auto"/>
              <w:bottom w:val="single" w:sz="2" w:space="0" w:color="auto"/>
            </w:tcBorders>
            <w:shd w:val="clear" w:color="auto" w:fill="FFFFFF" w:themeFill="background1"/>
            <w:vAlign w:val="center"/>
          </w:tcPr>
          <w:p w14:paraId="15721505"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506"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2" w:space="0" w:color="auto"/>
            </w:tcBorders>
            <w:shd w:val="clear" w:color="auto" w:fill="FFFFFF" w:themeFill="background1"/>
            <w:vAlign w:val="center"/>
          </w:tcPr>
          <w:p w14:paraId="15721507"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510" w14:textId="77777777" w:rsidTr="00CC75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tcBorders>
            <w:shd w:val="clear" w:color="auto" w:fill="FFFFFF" w:themeFill="background1"/>
            <w:vAlign w:val="center"/>
          </w:tcPr>
          <w:p w14:paraId="15721509"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Simazine</w:t>
            </w:r>
          </w:p>
        </w:tc>
        <w:tc>
          <w:tcPr>
            <w:tcW w:w="1660" w:type="dxa"/>
            <w:tcBorders>
              <w:top w:val="single" w:sz="8" w:space="0" w:color="auto"/>
              <w:bottom w:val="nil"/>
            </w:tcBorders>
            <w:shd w:val="clear" w:color="auto" w:fill="FFFFFF" w:themeFill="background1"/>
            <w:vAlign w:val="center"/>
          </w:tcPr>
          <w:p w14:paraId="1572150A" w14:textId="1B04FBF9" w:rsidR="00DA631C" w:rsidRPr="001C5A8A" w:rsidRDefault="00CC75AA"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2</w:t>
            </w:r>
            <w:r w:rsidR="00A9131E">
              <w:rPr>
                <w:rFonts w:asciiTheme="minorHAnsi" w:hAnsiTheme="minorHAnsi" w:cstheme="minorHAnsi"/>
                <w:b w:val="0"/>
                <w:sz w:val="20"/>
                <w:lang w:val="en-AU" w:eastAsia="en-AU"/>
              </w:rPr>
              <w:t>8</w:t>
            </w:r>
            <w:r w:rsidR="00DA631C" w:rsidRPr="001C5A8A">
              <w:rPr>
                <w:rFonts w:asciiTheme="minorHAnsi" w:hAnsiTheme="minorHAnsi" w:cstheme="minorHAnsi"/>
                <w:b w:val="0"/>
                <w:sz w:val="20"/>
                <w:lang w:val="en-AU" w:eastAsia="en-AU"/>
              </w:rPr>
              <w:t>,</w:t>
            </w:r>
            <w:r w:rsidRPr="001C5A8A">
              <w:rPr>
                <w:rFonts w:asciiTheme="minorHAnsi" w:hAnsiTheme="minorHAnsi" w:cstheme="minorHAnsi"/>
                <w:b w:val="0"/>
                <w:sz w:val="20"/>
                <w:lang w:val="en-AU" w:eastAsia="en-AU"/>
              </w:rPr>
              <w:t>0</w:t>
            </w:r>
            <w:r w:rsidR="00DA631C" w:rsidRPr="001C5A8A">
              <w:rPr>
                <w:rFonts w:asciiTheme="minorHAnsi" w:hAnsiTheme="minorHAnsi" w:cstheme="minorHAnsi"/>
                <w:b w:val="0"/>
                <w:sz w:val="20"/>
                <w:lang w:val="en-AU" w:eastAsia="en-AU"/>
              </w:rPr>
              <w:t>00</w:t>
            </w:r>
          </w:p>
        </w:tc>
        <w:tc>
          <w:tcPr>
            <w:tcW w:w="3536" w:type="dxa"/>
            <w:tcBorders>
              <w:top w:val="single" w:sz="8" w:space="0" w:color="auto"/>
              <w:bottom w:val="nil"/>
            </w:tcBorders>
            <w:shd w:val="clear" w:color="auto" w:fill="FFFFFF" w:themeFill="background1"/>
            <w:vAlign w:val="center"/>
          </w:tcPr>
          <w:p w14:paraId="1572150B" w14:textId="5EA83C8F"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 xml:space="preserve">PC99; </w:t>
            </w:r>
            <w:r w:rsidR="00A9131E">
              <w:rPr>
                <w:rFonts w:asciiTheme="minorHAnsi" w:hAnsiTheme="minorHAnsi" w:cstheme="minorHAnsi"/>
                <w:b w:val="0"/>
                <w:sz w:val="20"/>
                <w:lang w:val="en-AU" w:eastAsia="en-AU"/>
              </w:rPr>
              <w:t>low</w:t>
            </w:r>
            <w:r w:rsidRPr="00AC0CC1">
              <w:rPr>
                <w:rFonts w:asciiTheme="minorHAnsi" w:hAnsiTheme="minorHAnsi" w:cstheme="minorHAnsi"/>
                <w:b w:val="0"/>
                <w:sz w:val="20"/>
                <w:lang w:val="en-AU" w:eastAsia="en-AU"/>
              </w:rPr>
              <w:t xml:space="preserve"> reliability; Marine water</w:t>
            </w:r>
          </w:p>
        </w:tc>
        <w:tc>
          <w:tcPr>
            <w:tcW w:w="1551" w:type="dxa"/>
            <w:tcBorders>
              <w:top w:val="single" w:sz="8" w:space="0" w:color="auto"/>
              <w:bottom w:val="nil"/>
            </w:tcBorders>
            <w:shd w:val="clear" w:color="auto" w:fill="FFFFFF" w:themeFill="background1"/>
            <w:vAlign w:val="center"/>
          </w:tcPr>
          <w:p w14:paraId="1572150C"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200</w:t>
            </w:r>
          </w:p>
        </w:tc>
        <w:tc>
          <w:tcPr>
            <w:tcW w:w="3156" w:type="dxa"/>
            <w:tcBorders>
              <w:top w:val="single" w:sz="8" w:space="0" w:color="auto"/>
              <w:bottom w:val="nil"/>
            </w:tcBorders>
            <w:shd w:val="clear" w:color="auto" w:fill="FFFFFF" w:themeFill="background1"/>
            <w:vAlign w:val="center"/>
          </w:tcPr>
          <w:p w14:paraId="1572150D" w14:textId="77777777" w:rsidR="00DA631C" w:rsidRPr="00AC0CC1" w:rsidRDefault="00CC75AA"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PC99; Fresh</w:t>
            </w:r>
            <w:r w:rsidR="00DA631C" w:rsidRPr="00AC0CC1">
              <w:rPr>
                <w:rFonts w:asciiTheme="minorHAnsi" w:hAnsiTheme="minorHAnsi" w:cstheme="minorHAnsi"/>
                <w:b w:val="0"/>
                <w:sz w:val="20"/>
                <w:lang w:val="en-AU" w:eastAsia="en-AU"/>
              </w:rPr>
              <w:t>water</w:t>
            </w:r>
          </w:p>
        </w:tc>
        <w:tc>
          <w:tcPr>
            <w:tcW w:w="1564" w:type="dxa"/>
            <w:tcBorders>
              <w:top w:val="single" w:sz="2" w:space="0" w:color="auto"/>
              <w:bottom w:val="nil"/>
            </w:tcBorders>
            <w:shd w:val="clear" w:color="auto" w:fill="FFFFFF" w:themeFill="background1"/>
            <w:vAlign w:val="center"/>
          </w:tcPr>
          <w:p w14:paraId="1572150E"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200</w:t>
            </w:r>
          </w:p>
        </w:tc>
        <w:tc>
          <w:tcPr>
            <w:tcW w:w="2425" w:type="dxa"/>
            <w:gridSpan w:val="2"/>
            <w:tcBorders>
              <w:top w:val="single" w:sz="2" w:space="0" w:color="auto"/>
              <w:bottom w:val="nil"/>
            </w:tcBorders>
            <w:shd w:val="clear" w:color="auto" w:fill="FFFFFF" w:themeFill="background1"/>
            <w:vAlign w:val="center"/>
          </w:tcPr>
          <w:p w14:paraId="1572150F"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Low reliability</w:t>
            </w:r>
          </w:p>
        </w:tc>
      </w:tr>
      <w:tr w:rsidR="00DA631C" w:rsidRPr="00AC0CC1" w14:paraId="15721518" w14:textId="77777777" w:rsidTr="00CC75AA">
        <w:trPr>
          <w:trHeight w:val="408"/>
        </w:trPr>
        <w:tc>
          <w:tcPr>
            <w:cnfStyle w:val="001000000000" w:firstRow="0" w:lastRow="0" w:firstColumn="1" w:lastColumn="0" w:oddVBand="0" w:evenVBand="0" w:oddHBand="0" w:evenHBand="0" w:firstRowFirstColumn="0" w:firstRowLastColumn="0" w:lastRowFirstColumn="0" w:lastRowLastColumn="0"/>
            <w:tcW w:w="1667" w:type="dxa"/>
            <w:shd w:val="clear" w:color="auto" w:fill="FFFFFF" w:themeFill="background1"/>
            <w:vAlign w:val="center"/>
          </w:tcPr>
          <w:p w14:paraId="15721511" w14:textId="77777777" w:rsidR="00DA631C" w:rsidRPr="00AC0CC1" w:rsidRDefault="00DA631C" w:rsidP="00AC0CC1">
            <w:pPr>
              <w:pStyle w:val="Caption"/>
              <w:rPr>
                <w:rFonts w:asciiTheme="minorHAnsi" w:hAnsiTheme="minorHAnsi" w:cstheme="minorHAnsi"/>
                <w:color w:val="auto"/>
                <w:sz w:val="20"/>
                <w:lang w:val="en-AU" w:eastAsia="en-AU"/>
              </w:rPr>
            </w:pPr>
          </w:p>
        </w:tc>
        <w:tc>
          <w:tcPr>
            <w:tcW w:w="1660" w:type="dxa"/>
            <w:tcBorders>
              <w:top w:val="nil"/>
              <w:bottom w:val="nil"/>
            </w:tcBorders>
            <w:shd w:val="clear" w:color="auto" w:fill="FFFFFF" w:themeFill="background1"/>
            <w:vAlign w:val="center"/>
          </w:tcPr>
          <w:p w14:paraId="15721512" w14:textId="77777777" w:rsidR="00DA631C" w:rsidRPr="001C5A8A"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nil"/>
            </w:tcBorders>
            <w:shd w:val="clear" w:color="auto" w:fill="FFFFFF" w:themeFill="background1"/>
            <w:vAlign w:val="center"/>
          </w:tcPr>
          <w:p w14:paraId="15721513"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nil"/>
            </w:tcBorders>
            <w:shd w:val="clear" w:color="auto" w:fill="FFFFFF" w:themeFill="background1"/>
            <w:vAlign w:val="center"/>
          </w:tcPr>
          <w:p w14:paraId="15721514"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3,200</w:t>
            </w:r>
          </w:p>
        </w:tc>
        <w:tc>
          <w:tcPr>
            <w:tcW w:w="3156" w:type="dxa"/>
            <w:tcBorders>
              <w:top w:val="nil"/>
              <w:bottom w:val="nil"/>
            </w:tcBorders>
            <w:shd w:val="clear" w:color="auto" w:fill="FFFFFF" w:themeFill="background1"/>
            <w:vAlign w:val="center"/>
          </w:tcPr>
          <w:p w14:paraId="15721515" w14:textId="77777777" w:rsidR="00DA631C" w:rsidRPr="00AC0CC1" w:rsidRDefault="00CC75AA"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PC95; Fresh</w:t>
            </w:r>
            <w:r w:rsidR="00DA631C" w:rsidRPr="00AC0CC1">
              <w:rPr>
                <w:rFonts w:asciiTheme="minorHAnsi" w:hAnsiTheme="minorHAnsi" w:cstheme="minorHAnsi"/>
                <w:b w:val="0"/>
                <w:sz w:val="20"/>
                <w:lang w:val="en-AU" w:eastAsia="en-AU"/>
              </w:rPr>
              <w:t>water</w:t>
            </w:r>
          </w:p>
        </w:tc>
        <w:tc>
          <w:tcPr>
            <w:tcW w:w="1564" w:type="dxa"/>
            <w:tcBorders>
              <w:top w:val="nil"/>
              <w:bottom w:val="nil"/>
            </w:tcBorders>
            <w:shd w:val="clear" w:color="auto" w:fill="FFFFFF" w:themeFill="background1"/>
            <w:vAlign w:val="center"/>
          </w:tcPr>
          <w:p w14:paraId="15721516"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nil"/>
              <w:bottom w:val="nil"/>
            </w:tcBorders>
            <w:shd w:val="clear" w:color="auto" w:fill="FFFFFF" w:themeFill="background1"/>
            <w:vAlign w:val="center"/>
          </w:tcPr>
          <w:p w14:paraId="15721517"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CC75AA" w:rsidRPr="00CC75AA" w14:paraId="15721520" w14:textId="77777777" w:rsidTr="00CC75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bottom w:val="single" w:sz="2" w:space="0" w:color="auto"/>
            </w:tcBorders>
            <w:shd w:val="clear" w:color="auto" w:fill="FFFFFF" w:themeFill="background1"/>
            <w:vAlign w:val="center"/>
          </w:tcPr>
          <w:p w14:paraId="15721519" w14:textId="77777777" w:rsidR="00CC75AA" w:rsidRPr="00CC75AA" w:rsidRDefault="00CC75AA" w:rsidP="006900CE">
            <w:pPr>
              <w:pStyle w:val="Caption"/>
              <w:rPr>
                <w:rFonts w:asciiTheme="minorHAnsi" w:hAnsiTheme="minorHAnsi" w:cstheme="minorHAnsi"/>
                <w:color w:val="auto"/>
                <w:sz w:val="20"/>
                <w:lang w:val="en-AU" w:eastAsia="en-AU"/>
              </w:rPr>
            </w:pPr>
          </w:p>
        </w:tc>
        <w:tc>
          <w:tcPr>
            <w:tcW w:w="1660" w:type="dxa"/>
            <w:tcBorders>
              <w:top w:val="nil"/>
              <w:bottom w:val="single" w:sz="2" w:space="0" w:color="auto"/>
            </w:tcBorders>
            <w:shd w:val="clear" w:color="auto" w:fill="FFFFFF" w:themeFill="background1"/>
            <w:vAlign w:val="center"/>
          </w:tcPr>
          <w:p w14:paraId="1572151A" w14:textId="77777777" w:rsidR="00CC75AA" w:rsidRPr="001C5A8A" w:rsidRDefault="00CC75AA" w:rsidP="006900CE">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single" w:sz="2" w:space="0" w:color="auto"/>
            </w:tcBorders>
            <w:shd w:val="clear" w:color="auto" w:fill="FFFFFF" w:themeFill="background1"/>
            <w:vAlign w:val="center"/>
          </w:tcPr>
          <w:p w14:paraId="1572151B" w14:textId="77777777" w:rsidR="00CC75AA" w:rsidRPr="00CC75AA" w:rsidRDefault="00CC75AA" w:rsidP="006900CE">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single" w:sz="2" w:space="0" w:color="auto"/>
            </w:tcBorders>
            <w:shd w:val="clear" w:color="auto" w:fill="FFFFFF" w:themeFill="background1"/>
            <w:vAlign w:val="center"/>
          </w:tcPr>
          <w:p w14:paraId="1572151C" w14:textId="77777777" w:rsidR="00CC75AA" w:rsidRPr="00CC75AA" w:rsidRDefault="00CC75AA" w:rsidP="006900CE">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ID</w:t>
            </w:r>
          </w:p>
        </w:tc>
        <w:tc>
          <w:tcPr>
            <w:tcW w:w="3156" w:type="dxa"/>
            <w:tcBorders>
              <w:top w:val="nil"/>
              <w:bottom w:val="single" w:sz="2" w:space="0" w:color="auto"/>
            </w:tcBorders>
            <w:shd w:val="clear" w:color="auto" w:fill="FFFFFF" w:themeFill="background1"/>
            <w:vAlign w:val="center"/>
          </w:tcPr>
          <w:p w14:paraId="1572151D" w14:textId="77777777" w:rsidR="00CC75AA" w:rsidRPr="00CC75AA" w:rsidRDefault="00CC75AA" w:rsidP="006900CE">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PC99/95: Marine water</w:t>
            </w:r>
          </w:p>
        </w:tc>
        <w:tc>
          <w:tcPr>
            <w:tcW w:w="1564" w:type="dxa"/>
            <w:tcBorders>
              <w:top w:val="nil"/>
              <w:bottom w:val="single" w:sz="2" w:space="0" w:color="auto"/>
            </w:tcBorders>
            <w:shd w:val="clear" w:color="auto" w:fill="FFFFFF" w:themeFill="background1"/>
            <w:vAlign w:val="center"/>
          </w:tcPr>
          <w:p w14:paraId="1572151E" w14:textId="77777777" w:rsidR="00CC75AA" w:rsidRPr="00CC75AA" w:rsidRDefault="00CC75AA" w:rsidP="006900CE">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nil"/>
              <w:bottom w:val="single" w:sz="2" w:space="0" w:color="auto"/>
            </w:tcBorders>
            <w:shd w:val="clear" w:color="auto" w:fill="FFFFFF" w:themeFill="background1"/>
            <w:vAlign w:val="center"/>
          </w:tcPr>
          <w:p w14:paraId="1572151F" w14:textId="77777777" w:rsidR="00CC75AA" w:rsidRPr="00CC75AA" w:rsidRDefault="00CC75AA" w:rsidP="006900CE">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DA631C" w:rsidRPr="00AC0CC1" w14:paraId="15721528" w14:textId="77777777" w:rsidTr="00CC75AA">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tcBorders>
            <w:shd w:val="clear" w:color="auto" w:fill="FFFFFF" w:themeFill="background1"/>
            <w:vAlign w:val="center"/>
          </w:tcPr>
          <w:p w14:paraId="15721521" w14:textId="77777777" w:rsidR="00DA631C" w:rsidRPr="00AC0CC1" w:rsidRDefault="00DA631C" w:rsidP="00AC0CC1">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Tebuthiuron</w:t>
            </w:r>
          </w:p>
        </w:tc>
        <w:tc>
          <w:tcPr>
            <w:tcW w:w="1660" w:type="dxa"/>
            <w:tcBorders>
              <w:top w:val="single" w:sz="8" w:space="0" w:color="auto"/>
              <w:bottom w:val="nil"/>
            </w:tcBorders>
            <w:shd w:val="clear" w:color="auto" w:fill="FFFFFF" w:themeFill="background1"/>
            <w:vAlign w:val="center"/>
          </w:tcPr>
          <w:p w14:paraId="15721522" w14:textId="77777777" w:rsidR="00DA631C" w:rsidRPr="001C5A8A"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4,700</w:t>
            </w:r>
          </w:p>
        </w:tc>
        <w:tc>
          <w:tcPr>
            <w:tcW w:w="3536" w:type="dxa"/>
            <w:tcBorders>
              <w:top w:val="single" w:sz="8" w:space="0" w:color="auto"/>
              <w:bottom w:val="nil"/>
            </w:tcBorders>
            <w:shd w:val="clear" w:color="auto" w:fill="FFFFFF" w:themeFill="background1"/>
            <w:vAlign w:val="center"/>
          </w:tcPr>
          <w:p w14:paraId="15721523"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top w:val="single" w:sz="8" w:space="0" w:color="auto"/>
              <w:bottom w:val="nil"/>
            </w:tcBorders>
            <w:shd w:val="clear" w:color="auto" w:fill="FFFFFF" w:themeFill="background1"/>
            <w:vAlign w:val="center"/>
          </w:tcPr>
          <w:p w14:paraId="15721524"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20</w:t>
            </w:r>
          </w:p>
        </w:tc>
        <w:tc>
          <w:tcPr>
            <w:tcW w:w="3156" w:type="dxa"/>
            <w:tcBorders>
              <w:top w:val="single" w:sz="8" w:space="0" w:color="auto"/>
              <w:bottom w:val="nil"/>
            </w:tcBorders>
            <w:shd w:val="clear" w:color="auto" w:fill="FFFFFF" w:themeFill="background1"/>
            <w:vAlign w:val="center"/>
          </w:tcPr>
          <w:p w14:paraId="15721525" w14:textId="77777777" w:rsidR="00DA631C" w:rsidRPr="00AC0CC1" w:rsidRDefault="00CC75AA"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PC99; Fresh</w:t>
            </w:r>
            <w:r w:rsidR="00DA631C" w:rsidRPr="00AC0CC1">
              <w:rPr>
                <w:rFonts w:asciiTheme="minorHAnsi" w:hAnsiTheme="minorHAnsi" w:cstheme="minorHAnsi"/>
                <w:b w:val="0"/>
                <w:sz w:val="20"/>
                <w:lang w:val="en-AU" w:eastAsia="en-AU"/>
              </w:rPr>
              <w:t>water</w:t>
            </w:r>
          </w:p>
        </w:tc>
        <w:tc>
          <w:tcPr>
            <w:tcW w:w="1564" w:type="dxa"/>
            <w:tcBorders>
              <w:top w:val="single" w:sz="2" w:space="0" w:color="auto"/>
              <w:bottom w:val="nil"/>
            </w:tcBorders>
            <w:shd w:val="clear" w:color="auto" w:fill="FFFFFF" w:themeFill="background1"/>
            <w:vAlign w:val="center"/>
          </w:tcPr>
          <w:p w14:paraId="15721526" w14:textId="77777777" w:rsidR="00DA631C" w:rsidRPr="00AC0CC1" w:rsidRDefault="00DA631C" w:rsidP="00AC0CC1">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20</w:t>
            </w:r>
          </w:p>
        </w:tc>
        <w:tc>
          <w:tcPr>
            <w:tcW w:w="2425" w:type="dxa"/>
            <w:gridSpan w:val="2"/>
            <w:tcBorders>
              <w:top w:val="single" w:sz="2" w:space="0" w:color="auto"/>
              <w:bottom w:val="nil"/>
            </w:tcBorders>
            <w:shd w:val="clear" w:color="auto" w:fill="FFFFFF" w:themeFill="background1"/>
            <w:vAlign w:val="center"/>
          </w:tcPr>
          <w:p w14:paraId="15721527" w14:textId="77777777" w:rsidR="00DA631C" w:rsidRPr="00AC0CC1" w:rsidRDefault="00DA631C" w:rsidP="00AC0CC1">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low reliability</w:t>
            </w:r>
          </w:p>
        </w:tc>
      </w:tr>
      <w:tr w:rsidR="00DA631C" w:rsidRPr="00AC0CC1" w14:paraId="15721530" w14:textId="77777777" w:rsidTr="00CC75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shd w:val="clear" w:color="auto" w:fill="FFFFFF" w:themeFill="background1"/>
            <w:vAlign w:val="center"/>
          </w:tcPr>
          <w:p w14:paraId="15721529" w14:textId="77777777" w:rsidR="00DA631C" w:rsidRPr="00AC0CC1" w:rsidRDefault="00DA631C" w:rsidP="00AC0CC1">
            <w:pPr>
              <w:pStyle w:val="Caption"/>
              <w:rPr>
                <w:rFonts w:asciiTheme="minorHAnsi" w:hAnsiTheme="minorHAnsi" w:cstheme="minorHAnsi"/>
                <w:color w:val="auto"/>
                <w:sz w:val="20"/>
                <w:lang w:val="en-AU" w:eastAsia="en-AU"/>
              </w:rPr>
            </w:pPr>
          </w:p>
        </w:tc>
        <w:tc>
          <w:tcPr>
            <w:tcW w:w="1660" w:type="dxa"/>
            <w:tcBorders>
              <w:top w:val="nil"/>
              <w:bottom w:val="nil"/>
            </w:tcBorders>
            <w:shd w:val="clear" w:color="auto" w:fill="FFFFFF" w:themeFill="background1"/>
            <w:vAlign w:val="center"/>
          </w:tcPr>
          <w:p w14:paraId="1572152A" w14:textId="77777777" w:rsidR="00DA631C" w:rsidRPr="001C5A8A"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nil"/>
            </w:tcBorders>
            <w:shd w:val="clear" w:color="auto" w:fill="FFFFFF" w:themeFill="background1"/>
            <w:vAlign w:val="center"/>
          </w:tcPr>
          <w:p w14:paraId="1572152B"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nil"/>
            </w:tcBorders>
            <w:shd w:val="clear" w:color="auto" w:fill="FFFFFF" w:themeFill="background1"/>
            <w:vAlign w:val="center"/>
          </w:tcPr>
          <w:p w14:paraId="1572152C"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2,200</w:t>
            </w:r>
          </w:p>
        </w:tc>
        <w:tc>
          <w:tcPr>
            <w:tcW w:w="3156" w:type="dxa"/>
            <w:tcBorders>
              <w:top w:val="nil"/>
              <w:bottom w:val="nil"/>
            </w:tcBorders>
            <w:shd w:val="clear" w:color="auto" w:fill="FFFFFF" w:themeFill="background1"/>
            <w:vAlign w:val="center"/>
          </w:tcPr>
          <w:p w14:paraId="1572152D" w14:textId="77777777" w:rsidR="00DA631C" w:rsidRPr="00AC0CC1" w:rsidRDefault="00CC75AA"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PC95; Fresh</w:t>
            </w:r>
            <w:r w:rsidR="00DA631C" w:rsidRPr="00AC0CC1">
              <w:rPr>
                <w:rFonts w:asciiTheme="minorHAnsi" w:hAnsiTheme="minorHAnsi" w:cstheme="minorHAnsi"/>
                <w:b w:val="0"/>
                <w:sz w:val="20"/>
                <w:lang w:val="en-AU" w:eastAsia="en-AU"/>
              </w:rPr>
              <w:t>water</w:t>
            </w:r>
          </w:p>
        </w:tc>
        <w:tc>
          <w:tcPr>
            <w:tcW w:w="1564" w:type="dxa"/>
            <w:tcBorders>
              <w:top w:val="nil"/>
              <w:bottom w:val="nil"/>
            </w:tcBorders>
            <w:shd w:val="clear" w:color="auto" w:fill="FFFFFF" w:themeFill="background1"/>
            <w:vAlign w:val="center"/>
          </w:tcPr>
          <w:p w14:paraId="1572152E" w14:textId="77777777" w:rsidR="00DA631C" w:rsidRPr="00AC0CC1" w:rsidRDefault="00DA631C" w:rsidP="00AC0CC1">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nil"/>
              <w:bottom w:val="nil"/>
            </w:tcBorders>
            <w:shd w:val="clear" w:color="auto" w:fill="FFFFFF" w:themeFill="background1"/>
            <w:vAlign w:val="center"/>
          </w:tcPr>
          <w:p w14:paraId="1572152F" w14:textId="77777777" w:rsidR="00DA631C" w:rsidRPr="00AC0CC1" w:rsidRDefault="00DA631C" w:rsidP="00AC0CC1">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CC75AA" w:rsidRPr="00CC75AA" w14:paraId="15721538" w14:textId="77777777" w:rsidTr="00CC75AA">
        <w:trPr>
          <w:trHeight w:val="408"/>
        </w:trPr>
        <w:tc>
          <w:tcPr>
            <w:cnfStyle w:val="001000000000" w:firstRow="0" w:lastRow="0" w:firstColumn="1" w:lastColumn="0" w:oddVBand="0" w:evenVBand="0" w:oddHBand="0" w:evenHBand="0" w:firstRowFirstColumn="0" w:firstRowLastColumn="0" w:lastRowFirstColumn="0" w:lastRowLastColumn="0"/>
            <w:tcW w:w="1667" w:type="dxa"/>
            <w:tcBorders>
              <w:bottom w:val="single" w:sz="2" w:space="0" w:color="auto"/>
            </w:tcBorders>
            <w:shd w:val="clear" w:color="auto" w:fill="FFFFFF" w:themeFill="background1"/>
            <w:vAlign w:val="center"/>
          </w:tcPr>
          <w:p w14:paraId="15721531" w14:textId="77777777" w:rsidR="00CC75AA" w:rsidRPr="00CC75AA" w:rsidRDefault="00CC75AA" w:rsidP="00CC75AA">
            <w:pPr>
              <w:pStyle w:val="Caption"/>
              <w:rPr>
                <w:rFonts w:asciiTheme="minorHAnsi" w:hAnsiTheme="minorHAnsi" w:cstheme="minorHAnsi"/>
                <w:color w:val="auto"/>
                <w:sz w:val="20"/>
                <w:lang w:val="en-AU" w:eastAsia="en-AU"/>
              </w:rPr>
            </w:pPr>
          </w:p>
        </w:tc>
        <w:tc>
          <w:tcPr>
            <w:tcW w:w="1660" w:type="dxa"/>
            <w:tcBorders>
              <w:top w:val="nil"/>
              <w:bottom w:val="single" w:sz="2" w:space="0" w:color="auto"/>
            </w:tcBorders>
            <w:shd w:val="clear" w:color="auto" w:fill="FFFFFF" w:themeFill="background1"/>
            <w:vAlign w:val="center"/>
          </w:tcPr>
          <w:p w14:paraId="15721532" w14:textId="77777777" w:rsidR="00CC75AA" w:rsidRPr="001C5A8A"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single" w:sz="2" w:space="0" w:color="auto"/>
            </w:tcBorders>
            <w:shd w:val="clear" w:color="auto" w:fill="FFFFFF" w:themeFill="background1"/>
            <w:vAlign w:val="center"/>
          </w:tcPr>
          <w:p w14:paraId="15721533" w14:textId="77777777" w:rsidR="00CC75AA" w:rsidRPr="00CC75AA"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single" w:sz="2" w:space="0" w:color="auto"/>
            </w:tcBorders>
            <w:shd w:val="clear" w:color="auto" w:fill="FFFFFF" w:themeFill="background1"/>
            <w:vAlign w:val="center"/>
          </w:tcPr>
          <w:p w14:paraId="15721534" w14:textId="77777777" w:rsidR="00CC75AA" w:rsidRPr="00CC75AA" w:rsidRDefault="00CC75AA" w:rsidP="00CC75AA">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ID</w:t>
            </w:r>
          </w:p>
        </w:tc>
        <w:tc>
          <w:tcPr>
            <w:tcW w:w="3156" w:type="dxa"/>
            <w:tcBorders>
              <w:top w:val="nil"/>
              <w:bottom w:val="single" w:sz="2" w:space="0" w:color="auto"/>
            </w:tcBorders>
            <w:shd w:val="clear" w:color="auto" w:fill="FFFFFF" w:themeFill="background1"/>
            <w:vAlign w:val="center"/>
          </w:tcPr>
          <w:p w14:paraId="15721535" w14:textId="77777777" w:rsidR="00CC75AA" w:rsidRPr="00CC75AA"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PC99/95: Marine water</w:t>
            </w:r>
          </w:p>
        </w:tc>
        <w:tc>
          <w:tcPr>
            <w:tcW w:w="1564" w:type="dxa"/>
            <w:tcBorders>
              <w:top w:val="nil"/>
              <w:bottom w:val="single" w:sz="2" w:space="0" w:color="auto"/>
            </w:tcBorders>
            <w:shd w:val="clear" w:color="auto" w:fill="FFFFFF" w:themeFill="background1"/>
            <w:vAlign w:val="center"/>
          </w:tcPr>
          <w:p w14:paraId="15721536" w14:textId="77777777" w:rsidR="00CC75AA" w:rsidRPr="00CC75AA"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nil"/>
              <w:bottom w:val="single" w:sz="2" w:space="0" w:color="auto"/>
            </w:tcBorders>
            <w:shd w:val="clear" w:color="auto" w:fill="FFFFFF" w:themeFill="background1"/>
            <w:vAlign w:val="center"/>
          </w:tcPr>
          <w:p w14:paraId="15721537" w14:textId="77777777" w:rsidR="00CC75AA" w:rsidRPr="00CC75AA"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CC75AA" w:rsidRPr="00AC0CC1" w14:paraId="15721540" w14:textId="77777777" w:rsidTr="008C7DB4">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2" w:space="0" w:color="auto"/>
              <w:bottom w:val="single" w:sz="2" w:space="0" w:color="auto"/>
            </w:tcBorders>
            <w:shd w:val="clear" w:color="auto" w:fill="FFFFFF" w:themeFill="background1"/>
            <w:vAlign w:val="center"/>
          </w:tcPr>
          <w:p w14:paraId="15721539" w14:textId="77777777" w:rsidR="00CC75AA" w:rsidRPr="00AC0CC1" w:rsidRDefault="00CC75AA" w:rsidP="00CC75AA">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Terbuthylazine</w:t>
            </w:r>
          </w:p>
        </w:tc>
        <w:tc>
          <w:tcPr>
            <w:tcW w:w="1660" w:type="dxa"/>
            <w:tcBorders>
              <w:top w:val="single" w:sz="2" w:space="0" w:color="auto"/>
              <w:bottom w:val="single" w:sz="2" w:space="0" w:color="auto"/>
            </w:tcBorders>
            <w:shd w:val="clear" w:color="auto" w:fill="FFFFFF" w:themeFill="background1"/>
            <w:vAlign w:val="center"/>
          </w:tcPr>
          <w:p w14:paraId="1572153A" w14:textId="02809694" w:rsidR="00CC75AA" w:rsidRPr="001C5A8A" w:rsidRDefault="00CC75AA" w:rsidP="00CC75AA">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1C5A8A">
              <w:rPr>
                <w:rFonts w:asciiTheme="minorHAnsi" w:hAnsiTheme="minorHAnsi" w:cstheme="minorHAnsi"/>
                <w:b w:val="0"/>
                <w:sz w:val="20"/>
                <w:lang w:val="en-AU" w:eastAsia="en-AU"/>
              </w:rPr>
              <w:t>4</w:t>
            </w:r>
            <w:r w:rsidR="007813C2">
              <w:rPr>
                <w:rFonts w:asciiTheme="minorHAnsi" w:hAnsiTheme="minorHAnsi" w:cstheme="minorHAnsi"/>
                <w:b w:val="0"/>
                <w:sz w:val="20"/>
                <w:lang w:val="en-AU" w:eastAsia="en-AU"/>
              </w:rPr>
              <w:t>0</w:t>
            </w:r>
            <w:r w:rsidRPr="001C5A8A">
              <w:rPr>
                <w:rFonts w:asciiTheme="minorHAnsi" w:hAnsiTheme="minorHAnsi" w:cstheme="minorHAnsi"/>
                <w:b w:val="0"/>
                <w:sz w:val="20"/>
                <w:lang w:val="en-AU" w:eastAsia="en-AU"/>
              </w:rPr>
              <w:t>0</w:t>
            </w:r>
          </w:p>
        </w:tc>
        <w:tc>
          <w:tcPr>
            <w:tcW w:w="3536" w:type="dxa"/>
            <w:tcBorders>
              <w:top w:val="single" w:sz="2" w:space="0" w:color="auto"/>
              <w:bottom w:val="single" w:sz="2" w:space="0" w:color="auto"/>
            </w:tcBorders>
            <w:shd w:val="clear" w:color="auto" w:fill="FFFFFF" w:themeFill="background1"/>
            <w:vAlign w:val="center"/>
          </w:tcPr>
          <w:p w14:paraId="1572153B" w14:textId="677FA6ED"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 xml:space="preserve">PC99; </w:t>
            </w:r>
            <w:r w:rsidR="007813C2">
              <w:rPr>
                <w:rFonts w:asciiTheme="minorHAnsi" w:hAnsiTheme="minorHAnsi" w:cstheme="minorHAnsi"/>
                <w:b w:val="0"/>
                <w:sz w:val="20"/>
                <w:lang w:val="en-AU" w:eastAsia="en-AU"/>
              </w:rPr>
              <w:t>moderate</w:t>
            </w:r>
            <w:r w:rsidRPr="00AC0CC1">
              <w:rPr>
                <w:rFonts w:asciiTheme="minorHAnsi" w:hAnsiTheme="minorHAnsi" w:cstheme="minorHAnsi"/>
                <w:b w:val="0"/>
                <w:sz w:val="20"/>
                <w:lang w:val="en-AU" w:eastAsia="en-AU"/>
              </w:rPr>
              <w:t xml:space="preserve"> reliability; Marine water</w:t>
            </w:r>
          </w:p>
        </w:tc>
        <w:tc>
          <w:tcPr>
            <w:tcW w:w="1551" w:type="dxa"/>
            <w:tcBorders>
              <w:top w:val="single" w:sz="2" w:space="0" w:color="auto"/>
              <w:bottom w:val="single" w:sz="2" w:space="0" w:color="auto"/>
            </w:tcBorders>
            <w:shd w:val="clear" w:color="auto" w:fill="FFFFFF" w:themeFill="background1"/>
            <w:vAlign w:val="center"/>
          </w:tcPr>
          <w:p w14:paraId="1572153C" w14:textId="77777777" w:rsidR="00CC75AA" w:rsidRPr="00AC0CC1" w:rsidRDefault="00CC75AA" w:rsidP="00CC75AA">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2" w:space="0" w:color="auto"/>
              <w:bottom w:val="single" w:sz="2" w:space="0" w:color="auto"/>
            </w:tcBorders>
            <w:shd w:val="clear" w:color="auto" w:fill="FFFFFF" w:themeFill="background1"/>
            <w:vAlign w:val="center"/>
          </w:tcPr>
          <w:p w14:paraId="1572153D" w14:textId="77777777"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53E" w14:textId="77777777" w:rsidR="00CC75AA" w:rsidRPr="00AC0CC1" w:rsidRDefault="00CC75AA" w:rsidP="00CC75AA">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2" w:space="0" w:color="auto"/>
            </w:tcBorders>
            <w:shd w:val="clear" w:color="auto" w:fill="FFFFFF" w:themeFill="background1"/>
            <w:vAlign w:val="center"/>
          </w:tcPr>
          <w:p w14:paraId="1572153F" w14:textId="77777777"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CC75AA" w:rsidRPr="00AC0CC1" w14:paraId="15721548" w14:textId="77777777" w:rsidTr="008C7DB4">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2" w:space="0" w:color="auto"/>
              <w:bottom w:val="single" w:sz="2" w:space="0" w:color="auto"/>
            </w:tcBorders>
            <w:shd w:val="clear" w:color="auto" w:fill="FFFFFF" w:themeFill="background1"/>
            <w:vAlign w:val="center"/>
          </w:tcPr>
          <w:p w14:paraId="15721541" w14:textId="77777777" w:rsidR="00CC75AA" w:rsidRPr="00AC0CC1" w:rsidRDefault="00CC75AA" w:rsidP="00CC75AA">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Terbutryn</w:t>
            </w:r>
          </w:p>
        </w:tc>
        <w:tc>
          <w:tcPr>
            <w:tcW w:w="1660" w:type="dxa"/>
            <w:tcBorders>
              <w:top w:val="single" w:sz="2" w:space="0" w:color="auto"/>
              <w:bottom w:val="single" w:sz="2" w:space="0" w:color="auto"/>
            </w:tcBorders>
            <w:shd w:val="clear" w:color="auto" w:fill="FFFFFF" w:themeFill="background1"/>
            <w:vAlign w:val="center"/>
          </w:tcPr>
          <w:p w14:paraId="15721542" w14:textId="21819751" w:rsidR="00CC75AA" w:rsidRPr="001C5A8A" w:rsidRDefault="007813C2" w:rsidP="00CC75AA">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79</w:t>
            </w:r>
          </w:p>
        </w:tc>
        <w:tc>
          <w:tcPr>
            <w:tcW w:w="3536" w:type="dxa"/>
            <w:tcBorders>
              <w:top w:val="single" w:sz="2" w:space="0" w:color="auto"/>
              <w:bottom w:val="single" w:sz="2" w:space="0" w:color="auto"/>
            </w:tcBorders>
            <w:shd w:val="clear" w:color="auto" w:fill="FFFFFF" w:themeFill="background1"/>
            <w:vAlign w:val="center"/>
          </w:tcPr>
          <w:p w14:paraId="15721543" w14:textId="77777777" w:rsidR="00CC75AA" w:rsidRPr="00AC0CC1"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moderate reliability; Marine water</w:t>
            </w:r>
          </w:p>
        </w:tc>
        <w:tc>
          <w:tcPr>
            <w:tcW w:w="1551" w:type="dxa"/>
            <w:tcBorders>
              <w:top w:val="single" w:sz="2" w:space="0" w:color="auto"/>
              <w:bottom w:val="single" w:sz="2" w:space="0" w:color="auto"/>
            </w:tcBorders>
            <w:shd w:val="clear" w:color="auto" w:fill="FFFFFF" w:themeFill="background1"/>
            <w:vAlign w:val="center"/>
          </w:tcPr>
          <w:p w14:paraId="15721544" w14:textId="77777777" w:rsidR="00CC75AA" w:rsidRPr="00AC0CC1" w:rsidRDefault="00CC75AA" w:rsidP="00CC75AA">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2" w:space="0" w:color="auto"/>
              <w:bottom w:val="single" w:sz="2" w:space="0" w:color="auto"/>
            </w:tcBorders>
            <w:shd w:val="clear" w:color="auto" w:fill="FFFFFF" w:themeFill="background1"/>
            <w:vAlign w:val="center"/>
          </w:tcPr>
          <w:p w14:paraId="15721545" w14:textId="77777777" w:rsidR="00CC75AA" w:rsidRPr="00AC0CC1"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546" w14:textId="77777777" w:rsidR="00CC75AA" w:rsidRPr="00AC0CC1" w:rsidRDefault="00CC75AA" w:rsidP="00CC75AA">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2" w:space="0" w:color="auto"/>
            </w:tcBorders>
            <w:shd w:val="clear" w:color="auto" w:fill="FFFFFF" w:themeFill="background1"/>
            <w:vAlign w:val="center"/>
          </w:tcPr>
          <w:p w14:paraId="15721547" w14:textId="77777777" w:rsidR="00CC75AA" w:rsidRPr="00AC0CC1"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CC75AA" w:rsidRPr="00AC0CC1" w14:paraId="15721550" w14:textId="77777777" w:rsidTr="00CC75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2" w:space="0" w:color="auto"/>
              <w:bottom w:val="single" w:sz="8" w:space="0" w:color="auto"/>
            </w:tcBorders>
            <w:shd w:val="clear" w:color="auto" w:fill="FFFFFF" w:themeFill="background1"/>
            <w:vAlign w:val="center"/>
          </w:tcPr>
          <w:p w14:paraId="15721549" w14:textId="77777777" w:rsidR="00CC75AA" w:rsidRPr="00AC0CC1" w:rsidRDefault="00CC75AA" w:rsidP="00CC75AA">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Triclopyr</w:t>
            </w:r>
          </w:p>
        </w:tc>
        <w:tc>
          <w:tcPr>
            <w:tcW w:w="1660" w:type="dxa"/>
            <w:tcBorders>
              <w:top w:val="single" w:sz="2" w:space="0" w:color="auto"/>
              <w:bottom w:val="single" w:sz="2" w:space="0" w:color="auto"/>
            </w:tcBorders>
            <w:shd w:val="clear" w:color="auto" w:fill="FFFFFF" w:themeFill="background1"/>
            <w:vAlign w:val="center"/>
          </w:tcPr>
          <w:p w14:paraId="1572154A" w14:textId="46CA1AF7" w:rsidR="00CC75AA" w:rsidRPr="001C5A8A" w:rsidRDefault="007813C2" w:rsidP="00CC75AA">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36</w:t>
            </w:r>
          </w:p>
        </w:tc>
        <w:tc>
          <w:tcPr>
            <w:tcW w:w="3536" w:type="dxa"/>
            <w:tcBorders>
              <w:top w:val="single" w:sz="2" w:space="0" w:color="auto"/>
              <w:bottom w:val="single" w:sz="2" w:space="0" w:color="auto"/>
            </w:tcBorders>
            <w:shd w:val="clear" w:color="auto" w:fill="FFFFFF" w:themeFill="background1"/>
            <w:vAlign w:val="center"/>
          </w:tcPr>
          <w:p w14:paraId="1572154B" w14:textId="77777777"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low reliability; Marine water</w:t>
            </w:r>
          </w:p>
        </w:tc>
        <w:tc>
          <w:tcPr>
            <w:tcW w:w="1551" w:type="dxa"/>
            <w:tcBorders>
              <w:top w:val="single" w:sz="2" w:space="0" w:color="auto"/>
              <w:bottom w:val="single" w:sz="2" w:space="0" w:color="auto"/>
            </w:tcBorders>
            <w:shd w:val="clear" w:color="auto" w:fill="FFFFFF" w:themeFill="background1"/>
            <w:vAlign w:val="center"/>
          </w:tcPr>
          <w:p w14:paraId="1572154C" w14:textId="77777777" w:rsidR="00CC75AA" w:rsidRPr="00AC0CC1" w:rsidRDefault="00CC75AA" w:rsidP="00CC75AA">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156" w:type="dxa"/>
            <w:tcBorders>
              <w:top w:val="single" w:sz="2" w:space="0" w:color="auto"/>
              <w:bottom w:val="single" w:sz="2" w:space="0" w:color="auto"/>
            </w:tcBorders>
            <w:shd w:val="clear" w:color="auto" w:fill="FFFFFF" w:themeFill="background1"/>
            <w:vAlign w:val="center"/>
          </w:tcPr>
          <w:p w14:paraId="1572154D" w14:textId="77777777"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64" w:type="dxa"/>
            <w:tcBorders>
              <w:top w:val="single" w:sz="2" w:space="0" w:color="auto"/>
              <w:bottom w:val="single" w:sz="2" w:space="0" w:color="auto"/>
            </w:tcBorders>
            <w:shd w:val="clear" w:color="auto" w:fill="FFFFFF" w:themeFill="background1"/>
            <w:vAlign w:val="center"/>
          </w:tcPr>
          <w:p w14:paraId="1572154E" w14:textId="77777777" w:rsidR="00CC75AA" w:rsidRPr="00AC0CC1" w:rsidRDefault="00CC75AA" w:rsidP="00CC75AA">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top w:val="single" w:sz="2" w:space="0" w:color="auto"/>
              <w:bottom w:val="single" w:sz="2" w:space="0" w:color="auto"/>
            </w:tcBorders>
            <w:shd w:val="clear" w:color="auto" w:fill="FFFFFF" w:themeFill="background1"/>
            <w:vAlign w:val="center"/>
          </w:tcPr>
          <w:p w14:paraId="1572154F" w14:textId="77777777"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CC75AA" w:rsidRPr="00AC0CC1" w14:paraId="15721558" w14:textId="77777777" w:rsidTr="00CC75AA">
        <w:trPr>
          <w:trHeight w:val="408"/>
        </w:trPr>
        <w:tc>
          <w:tcPr>
            <w:cnfStyle w:val="001000000000" w:firstRow="0" w:lastRow="0" w:firstColumn="1" w:lastColumn="0" w:oddVBand="0" w:evenVBand="0" w:oddHBand="0" w:evenHBand="0" w:firstRowFirstColumn="0" w:firstRowLastColumn="0" w:lastRowFirstColumn="0" w:lastRowLastColumn="0"/>
            <w:tcW w:w="1667" w:type="dxa"/>
            <w:tcBorders>
              <w:top w:val="single" w:sz="8" w:space="0" w:color="auto"/>
            </w:tcBorders>
            <w:shd w:val="clear" w:color="auto" w:fill="FFFFFF" w:themeFill="background1"/>
            <w:vAlign w:val="center"/>
          </w:tcPr>
          <w:p w14:paraId="15721551" w14:textId="77777777" w:rsidR="00CC75AA" w:rsidRPr="00AC0CC1" w:rsidRDefault="00CC75AA" w:rsidP="00CC75AA">
            <w:pPr>
              <w:pStyle w:val="Caption"/>
              <w:rPr>
                <w:rFonts w:asciiTheme="minorHAnsi" w:hAnsiTheme="minorHAnsi" w:cstheme="minorHAnsi"/>
                <w:color w:val="auto"/>
                <w:sz w:val="20"/>
                <w:lang w:val="en-AU" w:eastAsia="en-AU"/>
              </w:rPr>
            </w:pPr>
            <w:r w:rsidRPr="00AC0CC1">
              <w:rPr>
                <w:rFonts w:asciiTheme="minorHAnsi" w:hAnsiTheme="minorHAnsi" w:cstheme="minorHAnsi"/>
                <w:color w:val="auto"/>
                <w:sz w:val="20"/>
                <w:lang w:val="en-AU" w:eastAsia="en-AU"/>
              </w:rPr>
              <w:t>Trifluralin</w:t>
            </w:r>
          </w:p>
        </w:tc>
        <w:tc>
          <w:tcPr>
            <w:tcW w:w="1660" w:type="dxa"/>
            <w:tcBorders>
              <w:top w:val="nil"/>
              <w:bottom w:val="nil"/>
            </w:tcBorders>
            <w:shd w:val="clear" w:color="auto" w:fill="FFFFFF" w:themeFill="background1"/>
            <w:vAlign w:val="center"/>
          </w:tcPr>
          <w:p w14:paraId="15721552" w14:textId="246BB62B" w:rsidR="00CC75AA" w:rsidRPr="00AC0CC1" w:rsidRDefault="007813C2" w:rsidP="007813C2">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w:t>
            </w:r>
          </w:p>
        </w:tc>
        <w:tc>
          <w:tcPr>
            <w:tcW w:w="3536" w:type="dxa"/>
            <w:tcBorders>
              <w:top w:val="nil"/>
              <w:bottom w:val="nil"/>
            </w:tcBorders>
            <w:shd w:val="clear" w:color="auto" w:fill="FFFFFF" w:themeFill="background1"/>
            <w:vAlign w:val="center"/>
          </w:tcPr>
          <w:p w14:paraId="15721553" w14:textId="77777777" w:rsidR="00CC75AA" w:rsidRPr="00AC0CC1"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nil"/>
            </w:tcBorders>
            <w:shd w:val="clear" w:color="auto" w:fill="FFFFFF" w:themeFill="background1"/>
            <w:vAlign w:val="center"/>
          </w:tcPr>
          <w:p w14:paraId="15721554" w14:textId="77777777" w:rsidR="00CC75AA" w:rsidRPr="00AC0CC1" w:rsidRDefault="00CC75AA" w:rsidP="00CC75AA">
            <w:pPr>
              <w:pStyle w:val="Caption"/>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2,600</w:t>
            </w:r>
          </w:p>
        </w:tc>
        <w:tc>
          <w:tcPr>
            <w:tcW w:w="3156" w:type="dxa"/>
            <w:tcBorders>
              <w:top w:val="nil"/>
              <w:bottom w:val="nil"/>
            </w:tcBorders>
            <w:shd w:val="clear" w:color="auto" w:fill="FFFFFF" w:themeFill="background1"/>
            <w:vAlign w:val="center"/>
          </w:tcPr>
          <w:p w14:paraId="15721555" w14:textId="77777777" w:rsidR="00CC75AA" w:rsidRPr="00AC0CC1"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AC0CC1">
              <w:rPr>
                <w:rFonts w:asciiTheme="minorHAnsi" w:hAnsiTheme="minorHAnsi" w:cstheme="minorHAnsi"/>
                <w:b w:val="0"/>
                <w:sz w:val="20"/>
                <w:lang w:val="en-AU" w:eastAsia="en-AU"/>
              </w:rPr>
              <w:t>PC99; Freshwater</w:t>
            </w:r>
          </w:p>
        </w:tc>
        <w:tc>
          <w:tcPr>
            <w:tcW w:w="1564" w:type="dxa"/>
            <w:shd w:val="clear" w:color="auto" w:fill="FFFFFF" w:themeFill="background1"/>
            <w:vAlign w:val="center"/>
          </w:tcPr>
          <w:p w14:paraId="15721556" w14:textId="77777777" w:rsidR="00CC75AA" w:rsidRPr="00AC0CC1"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shd w:val="clear" w:color="auto" w:fill="FFFFFF" w:themeFill="background1"/>
            <w:vAlign w:val="center"/>
          </w:tcPr>
          <w:p w14:paraId="15721557" w14:textId="77777777" w:rsidR="00CC75AA" w:rsidRPr="00AC0CC1" w:rsidRDefault="00CC75AA" w:rsidP="00CC75AA">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CC75AA" w:rsidRPr="00AC0CC1" w14:paraId="15721560" w14:textId="77777777" w:rsidTr="00CC75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667" w:type="dxa"/>
            <w:tcBorders>
              <w:bottom w:val="single" w:sz="2" w:space="0" w:color="auto"/>
            </w:tcBorders>
            <w:shd w:val="clear" w:color="auto" w:fill="FFFFFF" w:themeFill="background1"/>
            <w:vAlign w:val="center"/>
          </w:tcPr>
          <w:p w14:paraId="15721559" w14:textId="77777777" w:rsidR="00CC75AA" w:rsidRPr="00AC0CC1" w:rsidRDefault="00CC75AA" w:rsidP="00CC75AA">
            <w:pPr>
              <w:pStyle w:val="Caption"/>
              <w:rPr>
                <w:rFonts w:asciiTheme="minorHAnsi" w:hAnsiTheme="minorHAnsi" w:cstheme="minorHAnsi"/>
                <w:sz w:val="20"/>
                <w:lang w:val="en-AU" w:eastAsia="en-AU"/>
              </w:rPr>
            </w:pPr>
          </w:p>
        </w:tc>
        <w:tc>
          <w:tcPr>
            <w:tcW w:w="1660" w:type="dxa"/>
            <w:tcBorders>
              <w:top w:val="nil"/>
              <w:bottom w:val="single" w:sz="2" w:space="0" w:color="auto"/>
            </w:tcBorders>
            <w:shd w:val="clear" w:color="auto" w:fill="FFFFFF" w:themeFill="background1"/>
            <w:vAlign w:val="center"/>
          </w:tcPr>
          <w:p w14:paraId="1572155A" w14:textId="77777777"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3536" w:type="dxa"/>
            <w:tcBorders>
              <w:top w:val="nil"/>
              <w:bottom w:val="single" w:sz="2" w:space="0" w:color="auto"/>
            </w:tcBorders>
            <w:shd w:val="clear" w:color="auto" w:fill="FFFFFF" w:themeFill="background1"/>
            <w:vAlign w:val="center"/>
          </w:tcPr>
          <w:p w14:paraId="1572155B" w14:textId="77777777"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551" w:type="dxa"/>
            <w:tcBorders>
              <w:top w:val="nil"/>
              <w:bottom w:val="single" w:sz="2" w:space="0" w:color="auto"/>
            </w:tcBorders>
            <w:shd w:val="clear" w:color="auto" w:fill="FFFFFF" w:themeFill="background1"/>
            <w:vAlign w:val="center"/>
          </w:tcPr>
          <w:p w14:paraId="1572155C" w14:textId="77777777" w:rsidR="00CC75AA" w:rsidRPr="00AC0CC1" w:rsidRDefault="00CC75AA" w:rsidP="00CC75AA">
            <w:pPr>
              <w:pStyle w:val="Caption"/>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ID</w:t>
            </w:r>
          </w:p>
        </w:tc>
        <w:tc>
          <w:tcPr>
            <w:tcW w:w="3156" w:type="dxa"/>
            <w:tcBorders>
              <w:top w:val="nil"/>
              <w:bottom w:val="single" w:sz="2" w:space="0" w:color="auto"/>
            </w:tcBorders>
            <w:shd w:val="clear" w:color="auto" w:fill="FFFFFF" w:themeFill="background1"/>
            <w:vAlign w:val="center"/>
          </w:tcPr>
          <w:p w14:paraId="1572155D" w14:textId="77777777"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PC99/95: Marine water</w:t>
            </w:r>
          </w:p>
        </w:tc>
        <w:tc>
          <w:tcPr>
            <w:tcW w:w="1564" w:type="dxa"/>
            <w:tcBorders>
              <w:bottom w:val="single" w:sz="2" w:space="0" w:color="auto"/>
            </w:tcBorders>
            <w:shd w:val="clear" w:color="auto" w:fill="FFFFFF" w:themeFill="background1"/>
            <w:vAlign w:val="center"/>
          </w:tcPr>
          <w:p w14:paraId="1572155E" w14:textId="77777777"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2425" w:type="dxa"/>
            <w:gridSpan w:val="2"/>
            <w:tcBorders>
              <w:bottom w:val="single" w:sz="2" w:space="0" w:color="auto"/>
            </w:tcBorders>
            <w:shd w:val="clear" w:color="auto" w:fill="FFFFFF" w:themeFill="background1"/>
            <w:vAlign w:val="center"/>
          </w:tcPr>
          <w:p w14:paraId="1572155F" w14:textId="77777777" w:rsidR="00CC75AA" w:rsidRPr="00AC0CC1" w:rsidRDefault="00CC75AA" w:rsidP="00CC75AA">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bl>
    <w:p w14:paraId="15721561" w14:textId="2B2ECB93" w:rsidR="00662785" w:rsidRDefault="00D06199" w:rsidP="00015606">
      <w:pPr>
        <w:pStyle w:val="Caption"/>
        <w:spacing w:line="276" w:lineRule="auto"/>
        <w:rPr>
          <w:b w:val="0"/>
          <w:sz w:val="16"/>
          <w:lang w:val="en-AU" w:eastAsia="en-AU"/>
        </w:rPr>
      </w:pPr>
      <w:r w:rsidRPr="00D06199">
        <w:rPr>
          <w:b w:val="0"/>
          <w:sz w:val="16"/>
          <w:vertAlign w:val="superscript"/>
          <w:lang w:val="en-AU" w:eastAsia="en-AU"/>
        </w:rPr>
        <w:t>a</w:t>
      </w:r>
      <w:r w:rsidR="00CE36E8">
        <w:rPr>
          <w:b w:val="0"/>
          <w:sz w:val="16"/>
          <w:lang w:val="en-AU" w:eastAsia="en-AU"/>
        </w:rPr>
        <w:t xml:space="preserve"> </w:t>
      </w:r>
      <w:r w:rsidR="001C5A8A">
        <w:rPr>
          <w:b w:val="0"/>
          <w:sz w:val="16"/>
          <w:lang w:val="en-AU" w:eastAsia="en-AU"/>
        </w:rPr>
        <w:t xml:space="preserve">Reported in the 2017 Scientific Consensus Statement </w:t>
      </w:r>
      <w:r w:rsidR="001C5A8A">
        <w:rPr>
          <w:b w:val="0"/>
          <w:sz w:val="16"/>
          <w:lang w:val="en-AU" w:eastAsia="en-AU"/>
        </w:rPr>
        <w:fldChar w:fldCharType="begin"/>
      </w:r>
      <w:r w:rsidR="001C5A8A">
        <w:rPr>
          <w:b w:val="0"/>
          <w:sz w:val="16"/>
          <w:lang w:val="en-AU" w:eastAsia="en-AU"/>
        </w:rPr>
        <w:instrText xml:space="preserve"> ADDIN EN.CITE &lt;EndNote&gt;&lt;Cite&gt;&lt;Author&gt;Waterhouse&lt;/Author&gt;&lt;Year&gt;2017&lt;/Year&gt;&lt;RecNum&gt;103&lt;/RecNum&gt;&lt;DisplayText&gt;(Waterhouse et al., 2017a)&lt;/DisplayText&gt;&lt;record&gt;&lt;rec-number&gt;103&lt;/rec-number&gt;&lt;foreign-keys&gt;&lt;key app="EN" db-id="vvtrt2pt4xpx5teta99vvtwg50vzve2aexae" timestamp="1513803695"&gt;103&lt;/key&gt;&lt;/foreign-keys&gt;&lt;ref-type name="Report"&gt;27&lt;/ref-type&gt;&lt;contributors&gt;&lt;authors&gt;&lt;author&gt;Waterhouse, J.&lt;/author&gt;&lt;author&gt;Brodie, J.&lt;/author&gt;&lt;author&gt;Tracey, D.&lt;/author&gt;&lt;author&gt;Smith, R.&lt;/author&gt;&lt;author&gt;Vandergragt, M.&lt;/author&gt;&lt;author&gt;Collier, C.&lt;/author&gt;&lt;author&gt;Petus, C.&lt;/author&gt;&lt;author&gt;Baird, M.,&lt;/author&gt;&lt;author&gt;Kroon, F.&lt;/author&gt;&lt;author&gt;Mann, R.&lt;/author&gt;&lt;author&gt;Sutcliffe, T.&lt;/author&gt;&lt;author&gt;Waters, D.&lt;/author&gt;&lt;author&gt;Adame, F. &lt;/author&gt;&lt;/authors&gt;&lt;/contributors&gt;&lt;titles&gt;&lt;title&gt;Scientific Consensus Statement 2017: A synthesis of the science of land-based water quality impacts on the Great Barrier Reef, Chapter 3: The risk from anthropogenic pollutants to Great Barrier Reef coastal and marine ecosystems&lt;/title&gt;&lt;/titles&gt;&lt;dates&gt;&lt;year&gt;2017&lt;/year&gt;&lt;/dates&gt;&lt;publisher&gt;State of Queensland&lt;/publisher&gt;&lt;urls&gt;&lt;/urls&gt;&lt;/record&gt;&lt;/Cite&gt;&lt;/EndNote&gt;</w:instrText>
      </w:r>
      <w:r w:rsidR="001C5A8A">
        <w:rPr>
          <w:b w:val="0"/>
          <w:sz w:val="16"/>
          <w:lang w:val="en-AU" w:eastAsia="en-AU"/>
        </w:rPr>
        <w:fldChar w:fldCharType="separate"/>
      </w:r>
      <w:r w:rsidR="001C5A8A">
        <w:rPr>
          <w:b w:val="0"/>
          <w:noProof/>
          <w:sz w:val="16"/>
          <w:lang w:val="en-AU" w:eastAsia="en-AU"/>
        </w:rPr>
        <w:t>(Waterhouse et al., 2017a)</w:t>
      </w:r>
      <w:r w:rsidR="001C5A8A">
        <w:rPr>
          <w:b w:val="0"/>
          <w:sz w:val="16"/>
          <w:lang w:val="en-AU" w:eastAsia="en-AU"/>
        </w:rPr>
        <w:fldChar w:fldCharType="end"/>
      </w:r>
      <w:r w:rsidR="001C5A8A">
        <w:rPr>
          <w:b w:val="0"/>
          <w:sz w:val="16"/>
          <w:lang w:val="en-AU" w:eastAsia="en-AU"/>
        </w:rPr>
        <w:t xml:space="preserve"> as p</w:t>
      </w:r>
      <w:r w:rsidR="001C5A8A" w:rsidRPr="001C5A8A">
        <w:rPr>
          <w:b w:val="0"/>
          <w:sz w:val="16"/>
          <w:lang w:val="en-AU" w:eastAsia="en-AU"/>
        </w:rPr>
        <w:t>roposed ecotoxicity threshold values</w:t>
      </w:r>
    </w:p>
    <w:p w14:paraId="15721562" w14:textId="2F3E057C" w:rsidR="0059608E" w:rsidRPr="00D06199" w:rsidRDefault="00662785" w:rsidP="00015606">
      <w:pPr>
        <w:pStyle w:val="Caption"/>
        <w:spacing w:line="276" w:lineRule="auto"/>
        <w:rPr>
          <w:b w:val="0"/>
          <w:sz w:val="16"/>
          <w:lang w:val="en-AU" w:eastAsia="en-AU"/>
        </w:rPr>
      </w:pPr>
      <w:r w:rsidRPr="00B97E3E">
        <w:rPr>
          <w:sz w:val="16"/>
          <w:szCs w:val="16"/>
          <w:vertAlign w:val="superscript"/>
          <w:lang w:val="en-AU" w:eastAsia="en-AU"/>
        </w:rPr>
        <w:t>b</w:t>
      </w:r>
      <w:r w:rsidRPr="00B97E3E">
        <w:rPr>
          <w:sz w:val="16"/>
          <w:szCs w:val="16"/>
          <w:lang w:val="en-AU" w:eastAsia="en-AU"/>
        </w:rPr>
        <w:t xml:space="preserve"> </w:t>
      </w:r>
      <w:r w:rsidR="00CE36E8">
        <w:rPr>
          <w:b w:val="0"/>
          <w:sz w:val="16"/>
          <w:lang w:val="en-AU" w:eastAsia="en-AU"/>
        </w:rPr>
        <w:t>S</w:t>
      </w:r>
      <w:r w:rsidR="00D06199" w:rsidRPr="00D06199">
        <w:rPr>
          <w:b w:val="0"/>
          <w:sz w:val="16"/>
          <w:lang w:val="en-AU" w:eastAsia="en-AU"/>
        </w:rPr>
        <w:t xml:space="preserve">ourced from </w:t>
      </w:r>
      <w:r w:rsidR="00C91BF5">
        <w:rPr>
          <w:b w:val="0"/>
          <w:sz w:val="16"/>
          <w:lang w:val="en-AU" w:eastAsia="en-AU"/>
        </w:rPr>
        <w:fldChar w:fldCharType="begin"/>
      </w:r>
      <w:r w:rsidR="00CE0A33">
        <w:rPr>
          <w:b w:val="0"/>
          <w:sz w:val="16"/>
          <w:lang w:val="en-AU" w:eastAsia="en-AU"/>
        </w:rPr>
        <w:instrText xml:space="preserve"> ADDIN EN.CITE &lt;EndNote&gt;&lt;Cite AuthorYear="1"&gt;&lt;Author&gt;King&lt;/Author&gt;&lt;Year&gt;2017&lt;/Year&gt;&lt;RecNum&gt;33&lt;/RecNum&gt;&lt;DisplayText&gt;King et al. (2017a)&lt;/DisplayText&gt;&lt;record&gt;&lt;rec-number&gt;33&lt;/rec-number&gt;&lt;foreign-keys&gt;&lt;key app="EN" db-id="vvtrt2pt4xpx5teta99vvtwg50vzve2aexae" timestamp="1493157363"&gt;33&lt;/key&gt;&lt;/foreign-keys&gt;&lt;ref-type name="Report"&gt;27&lt;/ref-type&gt;&lt;contributors&gt;&lt;authors&gt;&lt;author&gt;King, O.C.&lt;/author&gt;&lt;author&gt;Smith, R.A.&lt;/author&gt;&lt;author&gt;Warne M. St J.&lt;/author&gt;&lt;/authors&gt;&lt;/contributors&gt;&lt;titles&gt;&lt;title&gt;Proposed Default Guideline Values for Toxicants: Diuron – Marine&lt;/title&gt;&lt;/titles&gt;&lt;pages&gt;pp 37 &lt;/pages&gt;&lt;dates&gt;&lt;year&gt;2017&lt;/year&gt;&lt;/dates&gt;&lt;pub-location&gt;Brisbane, Australia&lt;/pub-location&gt;&lt;publisher&gt;Department of Science, Information Technology and Innovation&lt;/publisher&gt;&lt;urls&gt;&lt;/urls&gt;&lt;/record&gt;&lt;/Cite&gt;&lt;/EndNote&gt;</w:instrText>
      </w:r>
      <w:r w:rsidR="00C91BF5">
        <w:rPr>
          <w:b w:val="0"/>
          <w:sz w:val="16"/>
          <w:lang w:val="en-AU" w:eastAsia="en-AU"/>
        </w:rPr>
        <w:fldChar w:fldCharType="separate"/>
      </w:r>
      <w:r w:rsidR="00CE0A33">
        <w:rPr>
          <w:b w:val="0"/>
          <w:noProof/>
          <w:sz w:val="16"/>
          <w:lang w:val="en-AU" w:eastAsia="en-AU"/>
        </w:rPr>
        <w:t>King et al. (2017a)</w:t>
      </w:r>
      <w:r w:rsidR="00C91BF5">
        <w:rPr>
          <w:b w:val="0"/>
          <w:sz w:val="16"/>
          <w:lang w:val="en-AU" w:eastAsia="en-AU"/>
        </w:rPr>
        <w:fldChar w:fldCharType="end"/>
      </w:r>
      <w:r w:rsidR="00FB5CF0">
        <w:rPr>
          <w:b w:val="0"/>
          <w:sz w:val="16"/>
          <w:lang w:val="en-AU" w:eastAsia="en-AU"/>
        </w:rPr>
        <w:t xml:space="preserve"> (PC99, PC95, PC90 and PC80 are </w:t>
      </w:r>
      <w:r w:rsidR="002118E1">
        <w:rPr>
          <w:b w:val="0"/>
          <w:sz w:val="16"/>
          <w:lang w:val="en-AU" w:eastAsia="en-AU"/>
        </w:rPr>
        <w:t>derived</w:t>
      </w:r>
      <w:r w:rsidR="00FB5CF0">
        <w:rPr>
          <w:b w:val="0"/>
          <w:sz w:val="16"/>
          <w:lang w:val="en-AU" w:eastAsia="en-AU"/>
        </w:rPr>
        <w:t>, only PC99 relevant to the Reef</w:t>
      </w:r>
      <w:r w:rsidR="002118E1" w:rsidRPr="002118E1">
        <w:rPr>
          <w:b w:val="0"/>
          <w:sz w:val="16"/>
          <w:lang w:val="en-AU" w:eastAsia="en-AU"/>
        </w:rPr>
        <w:t xml:space="preserve"> </w:t>
      </w:r>
      <w:r w:rsidR="002118E1">
        <w:rPr>
          <w:b w:val="0"/>
          <w:sz w:val="16"/>
          <w:lang w:val="en-AU" w:eastAsia="en-AU"/>
        </w:rPr>
        <w:t>reported in the table</w:t>
      </w:r>
      <w:r w:rsidR="00FB5CF0">
        <w:rPr>
          <w:b w:val="0"/>
          <w:sz w:val="16"/>
          <w:lang w:val="en-AU" w:eastAsia="en-AU"/>
        </w:rPr>
        <w:t>)</w:t>
      </w:r>
    </w:p>
    <w:p w14:paraId="15721563" w14:textId="7B4A6464" w:rsidR="004C5727" w:rsidRDefault="00662785" w:rsidP="00015606">
      <w:pPr>
        <w:spacing w:line="276" w:lineRule="auto"/>
        <w:jc w:val="left"/>
        <w:rPr>
          <w:sz w:val="16"/>
          <w:szCs w:val="16"/>
          <w:lang w:val="en-AU" w:eastAsia="en-AU"/>
        </w:rPr>
      </w:pPr>
      <w:r w:rsidRPr="004C5727">
        <w:rPr>
          <w:sz w:val="16"/>
          <w:szCs w:val="16"/>
          <w:vertAlign w:val="superscript"/>
          <w:lang w:val="en-AU" w:eastAsia="en-AU"/>
        </w:rPr>
        <w:t>c</w:t>
      </w:r>
      <w:r>
        <w:rPr>
          <w:sz w:val="16"/>
          <w:szCs w:val="16"/>
          <w:lang w:val="en-AU" w:eastAsia="en-AU"/>
        </w:rPr>
        <w:t xml:space="preserve"> </w:t>
      </w:r>
      <w:r w:rsidR="0059608E" w:rsidRPr="00B97E3E">
        <w:rPr>
          <w:sz w:val="16"/>
          <w:szCs w:val="16"/>
          <w:lang w:val="en-AU" w:eastAsia="en-AU"/>
        </w:rPr>
        <w:t xml:space="preserve">Sourced from Table 3.4-1 of the ANZECC </w:t>
      </w:r>
      <w:r w:rsidR="0059608E">
        <w:rPr>
          <w:sz w:val="16"/>
          <w:szCs w:val="16"/>
          <w:lang w:val="en-AU" w:eastAsia="en-AU"/>
        </w:rPr>
        <w:t>and</w:t>
      </w:r>
      <w:r w:rsidR="0059608E" w:rsidRPr="00B97E3E">
        <w:rPr>
          <w:sz w:val="16"/>
          <w:szCs w:val="16"/>
          <w:lang w:val="en-AU" w:eastAsia="en-AU"/>
        </w:rPr>
        <w:t xml:space="preserve"> ARMCANZ </w:t>
      </w:r>
      <w:r w:rsidR="0059608E">
        <w:rPr>
          <w:sz w:val="16"/>
          <w:szCs w:val="16"/>
          <w:lang w:val="en-AU" w:eastAsia="en-AU"/>
        </w:rPr>
        <w:t>G</w:t>
      </w:r>
      <w:r w:rsidR="0059608E" w:rsidRPr="00B97E3E">
        <w:rPr>
          <w:sz w:val="16"/>
          <w:szCs w:val="16"/>
          <w:lang w:val="en-AU" w:eastAsia="en-AU"/>
        </w:rPr>
        <w:t>uidelines</w:t>
      </w:r>
      <w:r w:rsidR="004C5727">
        <w:rPr>
          <w:sz w:val="16"/>
          <w:szCs w:val="16"/>
          <w:lang w:val="en-AU" w:eastAsia="en-AU"/>
        </w:rPr>
        <w:t>, Volume 1</w:t>
      </w:r>
      <w:r w:rsidR="00F47C7E">
        <w:rPr>
          <w:sz w:val="16"/>
          <w:szCs w:val="16"/>
          <w:lang w:val="en-AU" w:eastAsia="en-AU"/>
        </w:rPr>
        <w:t xml:space="preserve"> </w:t>
      </w:r>
      <w:r w:rsidR="00C91BF5">
        <w:rPr>
          <w:sz w:val="16"/>
          <w:szCs w:val="16"/>
          <w:lang w:val="en-AU" w:eastAsia="en-AU"/>
        </w:rPr>
        <w:fldChar w:fldCharType="begin"/>
      </w:r>
      <w:r w:rsidR="009D4492">
        <w:rPr>
          <w:sz w:val="16"/>
          <w:szCs w:val="16"/>
          <w:lang w:val="en-AU" w:eastAsia="en-AU"/>
        </w:rPr>
        <w:instrText xml:space="preserve"> ADDIN EN.CITE &lt;EndNote&gt;&lt;Cite&gt;&lt;Author&gt;ANZECC&lt;/Author&gt;&lt;Year&gt;2000&lt;/Year&gt;&lt;RecNum&gt;26&lt;/RecNum&gt;&lt;DisplayText&gt;(ANZECC and ARMCANZ, 2000a)&lt;/DisplayText&gt;&lt;record&gt;&lt;rec-number&gt;26&lt;/rec-number&gt;&lt;foreign-keys&gt;&lt;key app="EN" db-id="vvtrt2pt4xpx5teta99vvtwg50vzve2aexae" timestamp="1493157355"&gt;26&lt;/key&gt;&lt;/foreign-keys&gt;&lt;ref-type name="Report"&gt;27&lt;/ref-type&gt;&lt;contributors&gt;&lt;authors&gt;&lt;author&gt;ANZECC&lt;/author&gt;&lt;author&gt;ARMCANZ&lt;/author&gt;&lt;/authors&gt;&lt;/contributors&gt;&lt;titles&gt;&lt;title&gt;Australian and New Zealand Guidelines for Fresh and Marine Water Quality. Volume 1. The Guidelines (Chapters 1-7). National Water Quality Management Strategy Paper No. 4.&lt;/title&gt;&lt;/titles&gt;&lt;volume&gt;1&lt;/volume&gt;&lt;dates&gt;&lt;year&gt;2000&lt;/year&gt;&lt;/dates&gt;&lt;pub-location&gt;Australian &amp;amp; New Zealand Environment &amp;amp; Conservation Council and the Agriculture &amp;amp; Resource Management Council of Australia &amp;amp; New Zealand.&lt;/pub-location&gt;&lt;urls&gt;&lt;/urls&gt;&lt;/record&gt;&lt;/Cite&gt;&lt;/EndNote&gt;</w:instrText>
      </w:r>
      <w:r w:rsidR="00C91BF5">
        <w:rPr>
          <w:sz w:val="16"/>
          <w:szCs w:val="16"/>
          <w:lang w:val="en-AU" w:eastAsia="en-AU"/>
        </w:rPr>
        <w:fldChar w:fldCharType="separate"/>
      </w:r>
      <w:r w:rsidR="009D4492">
        <w:rPr>
          <w:noProof/>
          <w:sz w:val="16"/>
          <w:szCs w:val="16"/>
          <w:lang w:val="en-AU" w:eastAsia="en-AU"/>
        </w:rPr>
        <w:t>(ANZECC and ARMCANZ, 2000a)</w:t>
      </w:r>
      <w:r w:rsidR="00C91BF5">
        <w:rPr>
          <w:sz w:val="16"/>
          <w:szCs w:val="16"/>
          <w:lang w:val="en-AU" w:eastAsia="en-AU"/>
        </w:rPr>
        <w:fldChar w:fldCharType="end"/>
      </w:r>
    </w:p>
    <w:p w14:paraId="15721564" w14:textId="689960FE" w:rsidR="0059608E" w:rsidRPr="00B97E3E" w:rsidRDefault="00662785" w:rsidP="00015606">
      <w:pPr>
        <w:spacing w:line="276" w:lineRule="auto"/>
        <w:jc w:val="left"/>
        <w:rPr>
          <w:sz w:val="16"/>
          <w:szCs w:val="16"/>
          <w:lang w:val="en-AU" w:eastAsia="en-AU"/>
        </w:rPr>
      </w:pPr>
      <w:r>
        <w:rPr>
          <w:sz w:val="16"/>
          <w:szCs w:val="16"/>
          <w:vertAlign w:val="superscript"/>
          <w:lang w:val="en-AU" w:eastAsia="en-AU"/>
        </w:rPr>
        <w:t>d</w:t>
      </w:r>
      <w:r w:rsidRPr="00C65116">
        <w:rPr>
          <w:sz w:val="16"/>
          <w:szCs w:val="16"/>
          <w:lang w:val="en-AU" w:eastAsia="en-AU"/>
        </w:rPr>
        <w:t xml:space="preserve"> </w:t>
      </w:r>
      <w:r w:rsidR="00F47C7E">
        <w:rPr>
          <w:sz w:val="16"/>
          <w:szCs w:val="16"/>
          <w:lang w:val="en-AU" w:eastAsia="en-AU"/>
        </w:rPr>
        <w:t>Interim Working Level</w:t>
      </w:r>
      <w:r w:rsidR="0059608E" w:rsidRPr="00B97E3E">
        <w:rPr>
          <w:sz w:val="16"/>
          <w:szCs w:val="16"/>
          <w:lang w:val="en-AU" w:eastAsia="en-AU"/>
        </w:rPr>
        <w:t xml:space="preserve"> </w:t>
      </w:r>
      <w:r w:rsidR="004C5727">
        <w:rPr>
          <w:sz w:val="16"/>
          <w:szCs w:val="16"/>
          <w:lang w:val="en-AU" w:eastAsia="en-AU"/>
        </w:rPr>
        <w:t xml:space="preserve">(IWL) </w:t>
      </w:r>
      <w:r w:rsidR="00F47C7E">
        <w:rPr>
          <w:sz w:val="16"/>
          <w:szCs w:val="16"/>
          <w:lang w:val="en-AU" w:eastAsia="en-AU"/>
        </w:rPr>
        <w:t xml:space="preserve">(rather than </w:t>
      </w:r>
      <w:r>
        <w:rPr>
          <w:sz w:val="16"/>
          <w:szCs w:val="16"/>
          <w:lang w:val="en-AU" w:eastAsia="en-AU"/>
        </w:rPr>
        <w:t>trigger value</w:t>
      </w:r>
      <w:r w:rsidR="00F47C7E">
        <w:rPr>
          <w:sz w:val="16"/>
          <w:szCs w:val="16"/>
          <w:lang w:val="en-AU" w:eastAsia="en-AU"/>
        </w:rPr>
        <w:t>)</w:t>
      </w:r>
      <w:r w:rsidR="0059608E" w:rsidRPr="00B97E3E">
        <w:rPr>
          <w:sz w:val="16"/>
          <w:szCs w:val="16"/>
          <w:lang w:val="en-AU" w:eastAsia="en-AU"/>
        </w:rPr>
        <w:t xml:space="preserve"> as indicated in</w:t>
      </w:r>
      <w:r w:rsidR="004C5727">
        <w:rPr>
          <w:sz w:val="16"/>
          <w:szCs w:val="16"/>
          <w:lang w:val="en-AU" w:eastAsia="en-AU"/>
        </w:rPr>
        <w:t xml:space="preserve"> </w:t>
      </w:r>
      <w:r w:rsidR="004C5727" w:rsidRPr="00B97E3E">
        <w:rPr>
          <w:sz w:val="16"/>
          <w:szCs w:val="16"/>
          <w:lang w:val="en-AU" w:eastAsia="en-AU"/>
        </w:rPr>
        <w:t>Volume</w:t>
      </w:r>
      <w:r w:rsidR="0059608E" w:rsidRPr="00B97E3E">
        <w:rPr>
          <w:sz w:val="16"/>
          <w:szCs w:val="16"/>
          <w:lang w:val="en-AU" w:eastAsia="en-AU"/>
        </w:rPr>
        <w:t xml:space="preserve"> 2</w:t>
      </w:r>
      <w:r w:rsidR="005A7CD5">
        <w:rPr>
          <w:sz w:val="16"/>
          <w:szCs w:val="16"/>
          <w:lang w:val="en-AU" w:eastAsia="en-AU"/>
        </w:rPr>
        <w:t>,</w:t>
      </w:r>
      <w:r w:rsidR="0059608E" w:rsidRPr="00B97E3E">
        <w:rPr>
          <w:sz w:val="16"/>
          <w:szCs w:val="16"/>
          <w:lang w:val="en-AU" w:eastAsia="en-AU"/>
        </w:rPr>
        <w:t xml:space="preserve"> </w:t>
      </w:r>
      <w:r w:rsidR="005A7CD5" w:rsidRPr="00B97E3E">
        <w:rPr>
          <w:sz w:val="16"/>
          <w:szCs w:val="16"/>
          <w:lang w:val="en-AU" w:eastAsia="en-AU"/>
        </w:rPr>
        <w:t>Chapter 8.3.7</w:t>
      </w:r>
      <w:r w:rsidR="00F47C7E">
        <w:rPr>
          <w:sz w:val="16"/>
          <w:szCs w:val="16"/>
          <w:lang w:val="en-AU" w:eastAsia="en-AU"/>
        </w:rPr>
        <w:t xml:space="preserve"> </w:t>
      </w:r>
      <w:r w:rsidR="00F47C7E" w:rsidRPr="00B97E3E">
        <w:rPr>
          <w:sz w:val="16"/>
          <w:szCs w:val="16"/>
          <w:lang w:val="en-AU" w:eastAsia="en-AU"/>
        </w:rPr>
        <w:t xml:space="preserve">of the ANZECC </w:t>
      </w:r>
      <w:r w:rsidR="00F47C7E">
        <w:rPr>
          <w:sz w:val="16"/>
          <w:szCs w:val="16"/>
          <w:lang w:val="en-AU" w:eastAsia="en-AU"/>
        </w:rPr>
        <w:t>and</w:t>
      </w:r>
      <w:r w:rsidR="00F47C7E" w:rsidRPr="00B97E3E">
        <w:rPr>
          <w:sz w:val="16"/>
          <w:szCs w:val="16"/>
          <w:lang w:val="en-AU" w:eastAsia="en-AU"/>
        </w:rPr>
        <w:t xml:space="preserve"> ARMCANZ </w:t>
      </w:r>
      <w:r w:rsidR="00F47C7E">
        <w:rPr>
          <w:sz w:val="16"/>
          <w:szCs w:val="16"/>
          <w:lang w:val="en-AU" w:eastAsia="en-AU"/>
        </w:rPr>
        <w:t>G</w:t>
      </w:r>
      <w:r w:rsidR="00F47C7E" w:rsidRPr="00B97E3E">
        <w:rPr>
          <w:sz w:val="16"/>
          <w:szCs w:val="16"/>
          <w:lang w:val="en-AU" w:eastAsia="en-AU"/>
        </w:rPr>
        <w:t>uidelines</w:t>
      </w:r>
      <w:r w:rsidR="005A7CD5">
        <w:rPr>
          <w:sz w:val="16"/>
          <w:szCs w:val="16"/>
          <w:lang w:val="en-AU" w:eastAsia="en-AU"/>
        </w:rPr>
        <w:t xml:space="preserve"> </w:t>
      </w:r>
      <w:r w:rsidR="00C91BF5">
        <w:rPr>
          <w:sz w:val="16"/>
          <w:szCs w:val="16"/>
          <w:lang w:val="en-AU" w:eastAsia="en-AU"/>
        </w:rPr>
        <w:fldChar w:fldCharType="begin"/>
      </w:r>
      <w:r w:rsidR="009D4492">
        <w:rPr>
          <w:sz w:val="16"/>
          <w:szCs w:val="16"/>
          <w:lang w:val="en-AU" w:eastAsia="en-AU"/>
        </w:rPr>
        <w:instrText xml:space="preserve"> ADDIN EN.CITE &lt;EndNote&gt;&lt;Cite&gt;&lt;Author&gt;ANZECC&lt;/Author&gt;&lt;Year&gt;2000&lt;/Year&gt;&lt;RecNum&gt;82&lt;/RecNum&gt;&lt;DisplayText&gt;(ANZECC and ARMCANZ, 2000b)&lt;/DisplayText&gt;&lt;record&gt;&lt;rec-number&gt;82&lt;/rec-number&gt;&lt;foreign-keys&gt;&lt;key app="EN" db-id="vvtrt2pt4xpx5teta99vvtwg50vzve2aexae" timestamp="1493157429"&gt;82&lt;/key&gt;&lt;/foreign-keys&gt;&lt;ref-type name="Report"&gt;27&lt;/ref-type&gt;&lt;contributors&gt;&lt;authors&gt;&lt;author&gt;ANZECC&lt;/author&gt;&lt;author&gt;ARMCANZ&lt;/author&gt;&lt;/authors&gt;&lt;/contributors&gt;&lt;titles&gt;&lt;title&gt;Australian and New Zealand Guidelines for Fresh and Marine Water Quality. Volume 2. Aquatic Ecosystems — Rationale and Background Information (Chapter 8). National Water Quality Management Strategy Paper No. 4.&lt;/title&gt;&lt;/titles&gt;&lt;volume&gt;2&lt;/volume&gt;&lt;dates&gt;&lt;year&gt;2000&lt;/year&gt;&lt;/dates&gt;&lt;pub-location&gt;Australian &amp;amp; New Zealand Environment &amp;amp; Conservation Council and the Agriculture &amp;amp; Resource Management Council of Australia &amp;amp; New Zealand.&lt;/pub-location&gt;&lt;urls&gt;&lt;/urls&gt;&lt;/record&gt;&lt;/Cite&gt;&lt;/EndNote&gt;</w:instrText>
      </w:r>
      <w:r w:rsidR="00C91BF5">
        <w:rPr>
          <w:sz w:val="16"/>
          <w:szCs w:val="16"/>
          <w:lang w:val="en-AU" w:eastAsia="en-AU"/>
        </w:rPr>
        <w:fldChar w:fldCharType="separate"/>
      </w:r>
      <w:r w:rsidR="009D4492">
        <w:rPr>
          <w:noProof/>
          <w:sz w:val="16"/>
          <w:szCs w:val="16"/>
          <w:lang w:val="en-AU" w:eastAsia="en-AU"/>
        </w:rPr>
        <w:t>(ANZECC and ARMCANZ, 2000b)</w:t>
      </w:r>
      <w:r w:rsidR="00C91BF5">
        <w:rPr>
          <w:sz w:val="16"/>
          <w:szCs w:val="16"/>
          <w:lang w:val="en-AU" w:eastAsia="en-AU"/>
        </w:rPr>
        <w:fldChar w:fldCharType="end"/>
      </w:r>
    </w:p>
    <w:p w14:paraId="15721565" w14:textId="734A79DD" w:rsidR="00CC75AA" w:rsidRDefault="00662785" w:rsidP="00CC75AA">
      <w:pPr>
        <w:spacing w:line="276" w:lineRule="auto"/>
        <w:jc w:val="left"/>
        <w:rPr>
          <w:sz w:val="16"/>
          <w:szCs w:val="16"/>
          <w:lang w:val="en-AU" w:eastAsia="en-AU"/>
        </w:rPr>
      </w:pPr>
      <w:r w:rsidRPr="00662785">
        <w:rPr>
          <w:sz w:val="16"/>
          <w:szCs w:val="16"/>
          <w:vertAlign w:val="superscript"/>
          <w:lang w:val="en-AU" w:eastAsia="en-AU"/>
        </w:rPr>
        <w:t>e</w:t>
      </w:r>
      <w:r>
        <w:rPr>
          <w:sz w:val="16"/>
          <w:szCs w:val="16"/>
          <w:lang w:val="en-AU" w:eastAsia="en-AU"/>
        </w:rPr>
        <w:t xml:space="preserve"> </w:t>
      </w:r>
      <w:r w:rsidR="005177E0" w:rsidRPr="00C65116">
        <w:rPr>
          <w:sz w:val="16"/>
          <w:szCs w:val="16"/>
          <w:lang w:val="en-AU" w:eastAsia="en-AU"/>
        </w:rPr>
        <w:t xml:space="preserve">Sourced from Table 26 &amp; Table 27 of the Water Quality Guidelines for the Great Barrier Reef Marine Park </w:t>
      </w:r>
      <w:r w:rsidR="00C91BF5">
        <w:rPr>
          <w:sz w:val="16"/>
          <w:szCs w:val="16"/>
          <w:lang w:val="en-AU" w:eastAsia="en-AU"/>
        </w:rPr>
        <w:fldChar w:fldCharType="begin"/>
      </w:r>
      <w:r w:rsidR="009D4492">
        <w:rPr>
          <w:sz w:val="16"/>
          <w:szCs w:val="16"/>
          <w:lang w:val="en-AU" w:eastAsia="en-AU"/>
        </w:rPr>
        <w:instrText xml:space="preserve"> ADDIN EN.CITE &lt;EndNote&gt;&lt;Cite&gt;&lt;Author&gt;GBRMPA&lt;/Author&gt;&lt;Year&gt;2010&lt;/Year&gt;&lt;RecNum&gt;29&lt;/RecNum&gt;&lt;DisplayText&gt;(GBRMPA, 2010)&lt;/DisplayText&gt;&lt;record&gt;&lt;rec-number&gt;29&lt;/rec-number&gt;&lt;foreign-keys&gt;&lt;key app="EN" db-id="vvtrt2pt4xpx5teta99vvtwg50vzve2aexae" timestamp="1493157359"&gt;29&lt;/key&gt;&lt;/foreign-keys&gt;&lt;ref-type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2010.&lt;/title&gt;&lt;/titles&gt;&lt;dates&gt;&lt;year&gt;2010&lt;/year&gt;&lt;/dates&gt;&lt;pub-location&gt;Great Barrier Reef Marine Park Authority, Townsville&lt;/pub-location&gt;&lt;urls&gt;&lt;/urls&gt;&lt;/record&gt;&lt;/Cite&gt;&lt;/EndNote&gt;</w:instrText>
      </w:r>
      <w:r w:rsidR="00C91BF5">
        <w:rPr>
          <w:sz w:val="16"/>
          <w:szCs w:val="16"/>
          <w:lang w:val="en-AU" w:eastAsia="en-AU"/>
        </w:rPr>
        <w:fldChar w:fldCharType="separate"/>
      </w:r>
      <w:r w:rsidR="009D4492">
        <w:rPr>
          <w:noProof/>
          <w:sz w:val="16"/>
          <w:szCs w:val="16"/>
          <w:lang w:val="en-AU" w:eastAsia="en-AU"/>
        </w:rPr>
        <w:t>(GBRMPA, 2010)</w:t>
      </w:r>
      <w:r w:rsidR="00C91BF5">
        <w:rPr>
          <w:sz w:val="16"/>
          <w:szCs w:val="16"/>
          <w:lang w:val="en-AU" w:eastAsia="en-AU"/>
        </w:rPr>
        <w:fldChar w:fldCharType="end"/>
      </w:r>
      <w:bookmarkStart w:id="761" w:name="_Toc461457786"/>
    </w:p>
    <w:p w14:paraId="15721566" w14:textId="77777777" w:rsidR="00CC75AA" w:rsidRPr="00CC75AA" w:rsidRDefault="00CC75AA" w:rsidP="00CC75AA">
      <w:pPr>
        <w:spacing w:line="276" w:lineRule="auto"/>
        <w:jc w:val="left"/>
        <w:rPr>
          <w:sz w:val="16"/>
          <w:szCs w:val="16"/>
          <w:lang w:val="en-AU" w:eastAsia="en-AU"/>
        </w:rPr>
        <w:sectPr w:rsidR="00CC75AA" w:rsidRPr="00CC75AA" w:rsidSect="0056354A">
          <w:pgSz w:w="16840" w:h="11907" w:orient="landscape" w:code="9"/>
          <w:pgMar w:top="720" w:right="720" w:bottom="720" w:left="720" w:header="709" w:footer="709" w:gutter="0"/>
          <w:cols w:space="708"/>
          <w:docGrid w:linePitch="360"/>
        </w:sectPr>
      </w:pPr>
      <w:r>
        <w:rPr>
          <w:sz w:val="16"/>
          <w:szCs w:val="16"/>
          <w:lang w:val="en-AU" w:eastAsia="en-AU"/>
        </w:rPr>
        <w:t xml:space="preserve">ID - </w:t>
      </w:r>
      <w:r w:rsidRPr="00CC75AA">
        <w:rPr>
          <w:sz w:val="16"/>
          <w:szCs w:val="16"/>
          <w:lang w:val="en-AU" w:eastAsia="en-AU"/>
        </w:rPr>
        <w:t xml:space="preserve">insufficient </w:t>
      </w:r>
      <w:r>
        <w:rPr>
          <w:sz w:val="16"/>
          <w:szCs w:val="16"/>
          <w:lang w:val="en-AU" w:eastAsia="en-AU"/>
        </w:rPr>
        <w:t xml:space="preserve">data </w:t>
      </w:r>
      <w:r w:rsidRPr="00CC75AA">
        <w:rPr>
          <w:sz w:val="16"/>
          <w:szCs w:val="16"/>
          <w:lang w:val="en-AU" w:eastAsia="en-AU"/>
        </w:rPr>
        <w:t xml:space="preserve">were available </w:t>
      </w:r>
      <w:r>
        <w:rPr>
          <w:sz w:val="16"/>
          <w:szCs w:val="16"/>
          <w:lang w:val="en-AU" w:eastAsia="en-AU"/>
        </w:rPr>
        <w:t>to determine a trigger value</w:t>
      </w:r>
    </w:p>
    <w:p w14:paraId="15721567" w14:textId="1B66F35A" w:rsidR="0059608E" w:rsidRDefault="00494403" w:rsidP="00C60B74">
      <w:pPr>
        <w:pStyle w:val="Heading7"/>
        <w:spacing w:after="240"/>
        <w:ind w:left="425" w:hanging="425"/>
      </w:pPr>
      <w:bookmarkStart w:id="762" w:name="_Ref480726820"/>
      <w:bookmarkStart w:id="763" w:name="_Ref480726901"/>
      <w:bookmarkStart w:id="764" w:name="_Ref480726972"/>
      <w:bookmarkStart w:id="765" w:name="_Toc502500029"/>
      <w:r>
        <w:t xml:space="preserve">Supporting literature for </w:t>
      </w:r>
      <w:r w:rsidR="0059608E">
        <w:t>PSII-</w:t>
      </w:r>
      <w:bookmarkEnd w:id="761"/>
      <w:r w:rsidR="009D307F">
        <w:t>HEq</w:t>
      </w:r>
      <w:r w:rsidR="00FF0A36">
        <w:t xml:space="preserve"> </w:t>
      </w:r>
      <w:r>
        <w:t>index</w:t>
      </w:r>
      <w:bookmarkEnd w:id="762"/>
      <w:bookmarkEnd w:id="763"/>
      <w:bookmarkEnd w:id="764"/>
      <w:bookmarkEnd w:id="765"/>
      <w:r>
        <w:t xml:space="preserve"> </w:t>
      </w:r>
    </w:p>
    <w:p w14:paraId="15721568" w14:textId="77777777" w:rsidR="00EB48FA" w:rsidRPr="00840E64" w:rsidRDefault="004A2E7A" w:rsidP="004A2E7A">
      <w:pPr>
        <w:pStyle w:val="Caption"/>
        <w:spacing w:after="120"/>
        <w:rPr>
          <w:b w:val="0"/>
        </w:rPr>
      </w:pPr>
      <w:bookmarkStart w:id="766" w:name="_Ref480881541"/>
      <w:bookmarkStart w:id="767" w:name="_Toc502499811"/>
      <w:r>
        <w:t xml:space="preserve">Table </w:t>
      </w:r>
      <w:r w:rsidR="00C91BF5">
        <w:fldChar w:fldCharType="begin"/>
      </w:r>
      <w:r w:rsidR="008C60F9">
        <w:instrText xml:space="preserve"> STYLEREF 7 \s </w:instrText>
      </w:r>
      <w:r w:rsidR="00C91BF5">
        <w:fldChar w:fldCharType="separate"/>
      </w:r>
      <w:r w:rsidR="00D12276">
        <w:rPr>
          <w:noProof/>
        </w:rPr>
        <w:t>C</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1</w:t>
      </w:r>
      <w:r w:rsidR="00C91BF5">
        <w:fldChar w:fldCharType="end"/>
      </w:r>
      <w:bookmarkEnd w:id="766"/>
      <w:r>
        <w:t xml:space="preserve">: </w:t>
      </w:r>
      <w:r w:rsidR="00EB48FA" w:rsidRPr="00840E64">
        <w:rPr>
          <w:b w:val="0"/>
        </w:rPr>
        <w:t>Scientific publications indicating the effect concentrations and the end-points for the reference PSII herbicide diuron used to define specific PSII-</w:t>
      </w:r>
      <w:r w:rsidR="009D307F">
        <w:rPr>
          <w:b w:val="0"/>
        </w:rPr>
        <w:t>HEq</w:t>
      </w:r>
      <w:r w:rsidR="00EB48FA" w:rsidRPr="00840E64">
        <w:rPr>
          <w:b w:val="0"/>
        </w:rPr>
        <w:t xml:space="preserve"> Index categories as an indicator for reporting purposes</w:t>
      </w:r>
      <w:bookmarkEnd w:id="767"/>
    </w:p>
    <w:tbl>
      <w:tblPr>
        <w:tblStyle w:val="TableGrid"/>
        <w:tblW w:w="15168" w:type="dxa"/>
        <w:tblLayout w:type="fixed"/>
        <w:tblLook w:val="04A0" w:firstRow="1" w:lastRow="0" w:firstColumn="1" w:lastColumn="0" w:noHBand="0" w:noVBand="1"/>
        <w:tblCaption w:val="Scientific publications indicating the effect concentrations and the end-points for the reference PSII herbicide diuron used to define specific PSII-HEq Index categories as an indicator for reporting purposes"/>
        <w:tblDescription w:val="Scientific publications indicating the effect concentrations and the end-points for the reference PSII herbicide diuron used to define specific PSII-HEq Index categories as an indicator for reporting purposes"/>
      </w:tblPr>
      <w:tblGrid>
        <w:gridCol w:w="959"/>
        <w:gridCol w:w="992"/>
        <w:gridCol w:w="5420"/>
        <w:gridCol w:w="1418"/>
        <w:gridCol w:w="1417"/>
        <w:gridCol w:w="1843"/>
        <w:gridCol w:w="992"/>
        <w:gridCol w:w="2127"/>
      </w:tblGrid>
      <w:tr w:rsidR="0059608E" w:rsidRPr="00AC0CC1" w14:paraId="1572156E" w14:textId="77777777" w:rsidTr="00333388">
        <w:trPr>
          <w:trHeight w:val="176"/>
          <w:tblHeader/>
        </w:trPr>
        <w:tc>
          <w:tcPr>
            <w:tcW w:w="959" w:type="dxa"/>
            <w:vMerge w:val="restart"/>
            <w:tcBorders>
              <w:top w:val="single" w:sz="4" w:space="0" w:color="auto"/>
              <w:left w:val="nil"/>
              <w:right w:val="nil"/>
            </w:tcBorders>
            <w:shd w:val="clear" w:color="auto" w:fill="F2F2F2" w:themeFill="background1" w:themeFillShade="F2"/>
            <w:noWrap/>
            <w:vAlign w:val="center"/>
            <w:hideMark/>
          </w:tcPr>
          <w:p w14:paraId="15721569" w14:textId="77777777" w:rsidR="0059608E" w:rsidRPr="00AC0CC1" w:rsidRDefault="0059608E" w:rsidP="00015606">
            <w:pPr>
              <w:spacing w:line="276" w:lineRule="auto"/>
              <w:jc w:val="center"/>
              <w:rPr>
                <w:rFonts w:asciiTheme="minorHAnsi" w:eastAsia="Times New Roman" w:hAnsiTheme="minorHAnsi" w:cstheme="minorHAnsi"/>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Category</w:t>
            </w:r>
          </w:p>
        </w:tc>
        <w:tc>
          <w:tcPr>
            <w:tcW w:w="992" w:type="dxa"/>
            <w:vMerge w:val="restart"/>
            <w:tcBorders>
              <w:top w:val="single" w:sz="4" w:space="0" w:color="auto"/>
              <w:left w:val="nil"/>
              <w:right w:val="nil"/>
            </w:tcBorders>
            <w:shd w:val="clear" w:color="auto" w:fill="F2F2F2" w:themeFill="background1" w:themeFillShade="F2"/>
            <w:noWrap/>
            <w:vAlign w:val="center"/>
            <w:hideMark/>
          </w:tcPr>
          <w:p w14:paraId="1572156A" w14:textId="77777777" w:rsidR="0059608E" w:rsidRPr="00AC0CC1"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PSII-</w:t>
            </w:r>
            <w:r w:rsidR="009D307F">
              <w:rPr>
                <w:rFonts w:asciiTheme="minorHAnsi" w:eastAsia="Times New Roman" w:hAnsiTheme="minorHAnsi" w:cstheme="minorHAnsi"/>
                <w:b/>
                <w:bCs/>
                <w:color w:val="000000"/>
                <w:sz w:val="18"/>
                <w:szCs w:val="16"/>
                <w:lang w:val="en-AU" w:eastAsia="en-AU"/>
              </w:rPr>
              <w:t>HEq</w:t>
            </w:r>
            <w:r w:rsidRPr="00AC0CC1">
              <w:rPr>
                <w:rFonts w:asciiTheme="minorHAnsi" w:eastAsia="Times New Roman" w:hAnsiTheme="minorHAnsi" w:cstheme="minorHAnsi"/>
                <w:b/>
                <w:bCs/>
                <w:color w:val="000000"/>
                <w:sz w:val="18"/>
                <w:szCs w:val="16"/>
                <w:lang w:val="en-AU" w:eastAsia="en-AU"/>
              </w:rPr>
              <w:t xml:space="preserve"> Range</w:t>
            </w:r>
          </w:p>
          <w:p w14:paraId="1572156B" w14:textId="77777777" w:rsidR="0059608E" w:rsidRPr="00AC0CC1" w:rsidRDefault="0059608E" w:rsidP="00015606">
            <w:pPr>
              <w:spacing w:line="276" w:lineRule="auto"/>
              <w:jc w:val="center"/>
              <w:rPr>
                <w:rFonts w:asciiTheme="minorHAnsi" w:eastAsia="Times New Roman" w:hAnsiTheme="minorHAnsi" w:cstheme="minorHAnsi"/>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(ng L</w:t>
            </w:r>
            <w:r w:rsidRPr="00AC0CC1">
              <w:rPr>
                <w:rFonts w:asciiTheme="minorHAnsi" w:eastAsia="Times New Roman" w:hAnsiTheme="minorHAnsi" w:cstheme="minorHAnsi"/>
                <w:b/>
                <w:bCs/>
                <w:color w:val="000000"/>
                <w:sz w:val="18"/>
                <w:szCs w:val="16"/>
                <w:vertAlign w:val="superscript"/>
                <w:lang w:val="en-AU" w:eastAsia="en-AU"/>
              </w:rPr>
              <w:t>-1</w:t>
            </w:r>
            <w:r w:rsidRPr="00AC0CC1">
              <w:rPr>
                <w:rFonts w:asciiTheme="minorHAnsi" w:eastAsia="Times New Roman" w:hAnsiTheme="minorHAnsi" w:cstheme="minorHAnsi"/>
                <w:b/>
                <w:bCs/>
                <w:color w:val="000000"/>
                <w:sz w:val="18"/>
                <w:szCs w:val="16"/>
                <w:lang w:val="en-AU" w:eastAsia="en-AU"/>
              </w:rPr>
              <w:t>)</w:t>
            </w:r>
          </w:p>
        </w:tc>
        <w:tc>
          <w:tcPr>
            <w:tcW w:w="5420" w:type="dxa"/>
            <w:tcBorders>
              <w:top w:val="single" w:sz="4" w:space="0" w:color="auto"/>
              <w:left w:val="nil"/>
              <w:right w:val="nil"/>
            </w:tcBorders>
            <w:shd w:val="clear" w:color="auto" w:fill="F2F2F2" w:themeFill="background1" w:themeFillShade="F2"/>
            <w:noWrap/>
            <w:vAlign w:val="center"/>
            <w:hideMark/>
          </w:tcPr>
          <w:p w14:paraId="1572156C" w14:textId="77777777" w:rsidR="0059608E" w:rsidRPr="00AC0CC1" w:rsidRDefault="0059608E" w:rsidP="00015606">
            <w:pPr>
              <w:spacing w:line="276" w:lineRule="auto"/>
              <w:jc w:val="center"/>
              <w:rPr>
                <w:rFonts w:asciiTheme="minorHAnsi" w:eastAsia="Times New Roman" w:hAnsiTheme="minorHAnsi" w:cstheme="minorHAnsi"/>
                <w:color w:val="000000"/>
                <w:sz w:val="18"/>
                <w:szCs w:val="16"/>
                <w:lang w:val="en-AU" w:eastAsia="en-AU"/>
              </w:rPr>
            </w:pPr>
          </w:p>
        </w:tc>
        <w:tc>
          <w:tcPr>
            <w:tcW w:w="7797" w:type="dxa"/>
            <w:gridSpan w:val="5"/>
            <w:tcBorders>
              <w:top w:val="single" w:sz="4" w:space="0" w:color="auto"/>
              <w:left w:val="nil"/>
              <w:right w:val="nil"/>
            </w:tcBorders>
            <w:shd w:val="clear" w:color="auto" w:fill="F2F2F2" w:themeFill="background1" w:themeFillShade="F2"/>
            <w:noWrap/>
            <w:vAlign w:val="center"/>
            <w:hideMark/>
          </w:tcPr>
          <w:p w14:paraId="1572156D" w14:textId="77777777" w:rsidR="0059608E" w:rsidRPr="00AC0CC1"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Supporting Literature with Respect to the Reference Chemical Diuron</w:t>
            </w:r>
          </w:p>
        </w:tc>
      </w:tr>
      <w:tr w:rsidR="0059608E" w:rsidRPr="00AC0CC1" w14:paraId="15721579" w14:textId="77777777" w:rsidTr="00333388">
        <w:trPr>
          <w:trHeight w:val="457"/>
          <w:tblHeader/>
        </w:trPr>
        <w:tc>
          <w:tcPr>
            <w:tcW w:w="959" w:type="dxa"/>
            <w:vMerge/>
            <w:tcBorders>
              <w:left w:val="nil"/>
              <w:bottom w:val="single" w:sz="4" w:space="0" w:color="auto"/>
              <w:right w:val="nil"/>
            </w:tcBorders>
            <w:shd w:val="clear" w:color="auto" w:fill="F2F2F2" w:themeFill="background1" w:themeFillShade="F2"/>
            <w:noWrap/>
            <w:vAlign w:val="center"/>
            <w:hideMark/>
          </w:tcPr>
          <w:p w14:paraId="1572156F" w14:textId="77777777" w:rsidR="0059608E" w:rsidRPr="00AC0CC1"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p>
        </w:tc>
        <w:tc>
          <w:tcPr>
            <w:tcW w:w="992" w:type="dxa"/>
            <w:vMerge/>
            <w:tcBorders>
              <w:left w:val="nil"/>
              <w:bottom w:val="single" w:sz="4" w:space="0" w:color="auto"/>
              <w:right w:val="nil"/>
            </w:tcBorders>
            <w:shd w:val="clear" w:color="auto" w:fill="F2F2F2" w:themeFill="background1" w:themeFillShade="F2"/>
            <w:noWrap/>
            <w:vAlign w:val="center"/>
            <w:hideMark/>
          </w:tcPr>
          <w:p w14:paraId="15721570" w14:textId="77777777" w:rsidR="0059608E" w:rsidRPr="00AC0CC1"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p>
        </w:tc>
        <w:tc>
          <w:tcPr>
            <w:tcW w:w="5420" w:type="dxa"/>
            <w:tcBorders>
              <w:left w:val="nil"/>
              <w:bottom w:val="single" w:sz="4" w:space="0" w:color="auto"/>
              <w:right w:val="nil"/>
            </w:tcBorders>
            <w:shd w:val="clear" w:color="auto" w:fill="F2F2F2" w:themeFill="background1" w:themeFillShade="F2"/>
            <w:noWrap/>
            <w:vAlign w:val="center"/>
            <w:hideMark/>
          </w:tcPr>
          <w:p w14:paraId="15721571" w14:textId="77777777" w:rsidR="0059608E" w:rsidRPr="00AC0CC1"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Description</w:t>
            </w:r>
          </w:p>
        </w:tc>
        <w:tc>
          <w:tcPr>
            <w:tcW w:w="1418" w:type="dxa"/>
            <w:tcBorders>
              <w:left w:val="nil"/>
              <w:bottom w:val="single" w:sz="4" w:space="0" w:color="auto"/>
              <w:right w:val="nil"/>
            </w:tcBorders>
            <w:shd w:val="clear" w:color="auto" w:fill="F2F2F2" w:themeFill="background1" w:themeFillShade="F2"/>
            <w:vAlign w:val="center"/>
            <w:hideMark/>
          </w:tcPr>
          <w:p w14:paraId="15721572" w14:textId="77777777" w:rsidR="0059608E" w:rsidRPr="00AC0CC1"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Species</w:t>
            </w:r>
          </w:p>
        </w:tc>
        <w:tc>
          <w:tcPr>
            <w:tcW w:w="1417" w:type="dxa"/>
            <w:tcBorders>
              <w:left w:val="nil"/>
              <w:bottom w:val="single" w:sz="4" w:space="0" w:color="auto"/>
              <w:right w:val="nil"/>
            </w:tcBorders>
            <w:shd w:val="clear" w:color="auto" w:fill="F2F2F2" w:themeFill="background1" w:themeFillShade="F2"/>
            <w:vAlign w:val="center"/>
            <w:hideMark/>
          </w:tcPr>
          <w:p w14:paraId="15721573" w14:textId="77777777" w:rsidR="00AC0CC1" w:rsidRPr="00AC0CC1"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 xml:space="preserve">Effects Concentration </w:t>
            </w:r>
          </w:p>
          <w:p w14:paraId="15721574" w14:textId="77777777" w:rsidR="0059608E" w:rsidRPr="00AC0CC1"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(ng L</w:t>
            </w:r>
            <w:r w:rsidRPr="00AC0CC1">
              <w:rPr>
                <w:rFonts w:asciiTheme="minorHAnsi" w:eastAsia="Times New Roman" w:hAnsiTheme="minorHAnsi" w:cstheme="minorHAnsi"/>
                <w:b/>
                <w:bCs/>
                <w:color w:val="000000"/>
                <w:sz w:val="18"/>
                <w:szCs w:val="16"/>
                <w:vertAlign w:val="superscript"/>
                <w:lang w:val="en-AU" w:eastAsia="en-AU"/>
              </w:rPr>
              <w:t>-1</w:t>
            </w:r>
            <w:r w:rsidRPr="00AC0CC1">
              <w:rPr>
                <w:rFonts w:asciiTheme="minorHAnsi" w:eastAsia="Times New Roman" w:hAnsiTheme="minorHAnsi" w:cstheme="minorHAnsi"/>
                <w:b/>
                <w:bCs/>
                <w:color w:val="000000"/>
                <w:sz w:val="18"/>
                <w:szCs w:val="16"/>
                <w:lang w:val="en-AU" w:eastAsia="en-AU"/>
              </w:rPr>
              <w:t>)</w:t>
            </w:r>
          </w:p>
        </w:tc>
        <w:tc>
          <w:tcPr>
            <w:tcW w:w="1843" w:type="dxa"/>
            <w:tcBorders>
              <w:left w:val="nil"/>
              <w:bottom w:val="single" w:sz="4" w:space="0" w:color="auto"/>
              <w:right w:val="nil"/>
            </w:tcBorders>
            <w:shd w:val="clear" w:color="auto" w:fill="F2F2F2" w:themeFill="background1" w:themeFillShade="F2"/>
            <w:vAlign w:val="center"/>
            <w:hideMark/>
          </w:tcPr>
          <w:p w14:paraId="15721575" w14:textId="77777777" w:rsidR="0059608E" w:rsidRPr="00AC0CC1"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Endpoint</w:t>
            </w:r>
          </w:p>
        </w:tc>
        <w:tc>
          <w:tcPr>
            <w:tcW w:w="992" w:type="dxa"/>
            <w:tcBorders>
              <w:left w:val="nil"/>
              <w:bottom w:val="single" w:sz="4" w:space="0" w:color="auto"/>
              <w:right w:val="nil"/>
            </w:tcBorders>
            <w:shd w:val="clear" w:color="auto" w:fill="F2F2F2" w:themeFill="background1" w:themeFillShade="F2"/>
            <w:vAlign w:val="center"/>
            <w:hideMark/>
          </w:tcPr>
          <w:p w14:paraId="15721576" w14:textId="77777777" w:rsidR="0059608E" w:rsidRPr="00AC0CC1"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Toxicity measure</w:t>
            </w:r>
          </w:p>
        </w:tc>
        <w:tc>
          <w:tcPr>
            <w:tcW w:w="2127" w:type="dxa"/>
            <w:tcBorders>
              <w:left w:val="nil"/>
              <w:bottom w:val="single" w:sz="4" w:space="0" w:color="auto"/>
              <w:right w:val="nil"/>
            </w:tcBorders>
            <w:shd w:val="clear" w:color="auto" w:fill="F2F2F2" w:themeFill="background1" w:themeFillShade="F2"/>
            <w:noWrap/>
            <w:vAlign w:val="center"/>
            <w:hideMark/>
          </w:tcPr>
          <w:p w14:paraId="15721577" w14:textId="77777777" w:rsidR="0059608E" w:rsidRDefault="0059608E" w:rsidP="00015606">
            <w:pPr>
              <w:spacing w:line="276" w:lineRule="auto"/>
              <w:jc w:val="center"/>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Reference</w:t>
            </w:r>
          </w:p>
          <w:p w14:paraId="15721578" w14:textId="77777777" w:rsidR="00AC0CC1" w:rsidRPr="00AC0CC1" w:rsidRDefault="00AC0CC1" w:rsidP="00015606">
            <w:pPr>
              <w:spacing w:line="276" w:lineRule="auto"/>
              <w:jc w:val="center"/>
              <w:rPr>
                <w:rFonts w:asciiTheme="minorHAnsi" w:eastAsia="Times New Roman" w:hAnsiTheme="minorHAnsi" w:cstheme="minorHAnsi"/>
                <w:b/>
                <w:bCs/>
                <w:color w:val="000000"/>
                <w:sz w:val="18"/>
                <w:szCs w:val="16"/>
                <w:lang w:val="en-AU" w:eastAsia="en-AU"/>
              </w:rPr>
            </w:pPr>
            <w:r>
              <w:rPr>
                <w:rFonts w:asciiTheme="minorHAnsi" w:eastAsia="Times New Roman" w:hAnsiTheme="minorHAnsi" w:cstheme="minorHAnsi"/>
                <w:b/>
                <w:bCs/>
                <w:color w:val="000000"/>
                <w:sz w:val="18"/>
                <w:szCs w:val="16"/>
                <w:lang w:val="en-AU" w:eastAsia="en-AU"/>
              </w:rPr>
              <w:t>(see footnotes)</w:t>
            </w:r>
          </w:p>
        </w:tc>
      </w:tr>
      <w:tr w:rsidR="0059608E" w:rsidRPr="00AC0CC1" w14:paraId="15721582" w14:textId="77777777" w:rsidTr="00333388">
        <w:trPr>
          <w:trHeight w:val="1253"/>
        </w:trPr>
        <w:tc>
          <w:tcPr>
            <w:tcW w:w="959" w:type="dxa"/>
            <w:tcBorders>
              <w:top w:val="single" w:sz="4" w:space="0" w:color="auto"/>
              <w:left w:val="nil"/>
              <w:bottom w:val="single" w:sz="4" w:space="0" w:color="auto"/>
              <w:right w:val="nil"/>
            </w:tcBorders>
            <w:noWrap/>
            <w:vAlign w:val="center"/>
            <w:hideMark/>
          </w:tcPr>
          <w:p w14:paraId="1572157A"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5</w:t>
            </w:r>
          </w:p>
        </w:tc>
        <w:tc>
          <w:tcPr>
            <w:tcW w:w="992" w:type="dxa"/>
            <w:tcBorders>
              <w:top w:val="single" w:sz="4" w:space="0" w:color="auto"/>
              <w:left w:val="nil"/>
              <w:bottom w:val="single" w:sz="4" w:space="0" w:color="auto"/>
              <w:right w:val="nil"/>
            </w:tcBorders>
            <w:noWrap/>
            <w:vAlign w:val="center"/>
            <w:hideMark/>
          </w:tcPr>
          <w:p w14:paraId="1572157B" w14:textId="77777777" w:rsidR="0059608E" w:rsidRPr="00AC0CC1" w:rsidRDefault="009D307F" w:rsidP="00015606">
            <w:pPr>
              <w:spacing w:line="276" w:lineRule="auto"/>
              <w:jc w:val="center"/>
              <w:rPr>
                <w:rFonts w:asciiTheme="minorHAnsi" w:eastAsia="Times New Roman" w:hAnsiTheme="minorHAnsi" w:cstheme="minorHAnsi"/>
                <w:color w:val="000000"/>
                <w:sz w:val="16"/>
                <w:szCs w:val="16"/>
                <w:lang w:val="en-AU" w:eastAsia="en-AU"/>
              </w:rPr>
            </w:pPr>
            <w:r>
              <w:rPr>
                <w:rFonts w:asciiTheme="minorHAnsi" w:eastAsia="Times New Roman" w:hAnsiTheme="minorHAnsi" w:cstheme="minorHAnsi"/>
                <w:color w:val="000000"/>
                <w:sz w:val="16"/>
                <w:szCs w:val="16"/>
                <w:lang w:val="en-AU" w:eastAsia="en-AU"/>
              </w:rPr>
              <w:t>HEq</w:t>
            </w:r>
            <w:r w:rsidR="0059608E" w:rsidRPr="00AC0CC1">
              <w:rPr>
                <w:rFonts w:asciiTheme="minorHAnsi" w:eastAsia="Times New Roman" w:hAnsiTheme="minorHAnsi" w:cstheme="minorHAnsi"/>
                <w:color w:val="000000"/>
                <w:sz w:val="16"/>
                <w:szCs w:val="16"/>
                <w:lang w:val="en-AU" w:eastAsia="en-AU"/>
              </w:rPr>
              <w:t xml:space="preserve"> ≤ 10</w:t>
            </w:r>
          </w:p>
        </w:tc>
        <w:tc>
          <w:tcPr>
            <w:tcW w:w="5420" w:type="dxa"/>
            <w:tcBorders>
              <w:top w:val="single" w:sz="4" w:space="0" w:color="auto"/>
              <w:left w:val="nil"/>
              <w:bottom w:val="single" w:sz="4" w:space="0" w:color="auto"/>
              <w:right w:val="nil"/>
            </w:tcBorders>
            <w:vAlign w:val="center"/>
            <w:hideMark/>
          </w:tcPr>
          <w:p w14:paraId="1572157C"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c>
          <w:tcPr>
            <w:tcW w:w="1418" w:type="dxa"/>
            <w:tcBorders>
              <w:top w:val="single" w:sz="4" w:space="0" w:color="auto"/>
              <w:left w:val="nil"/>
              <w:bottom w:val="single" w:sz="4" w:space="0" w:color="auto"/>
              <w:right w:val="nil"/>
            </w:tcBorders>
            <w:noWrap/>
            <w:vAlign w:val="center"/>
            <w:hideMark/>
          </w:tcPr>
          <w:p w14:paraId="1572157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p>
        </w:tc>
        <w:tc>
          <w:tcPr>
            <w:tcW w:w="1417" w:type="dxa"/>
            <w:tcBorders>
              <w:top w:val="single" w:sz="4" w:space="0" w:color="auto"/>
              <w:left w:val="nil"/>
              <w:bottom w:val="single" w:sz="4" w:space="0" w:color="auto"/>
              <w:right w:val="nil"/>
            </w:tcBorders>
            <w:noWrap/>
            <w:vAlign w:val="center"/>
            <w:hideMark/>
          </w:tcPr>
          <w:p w14:paraId="1572157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p>
        </w:tc>
        <w:tc>
          <w:tcPr>
            <w:tcW w:w="1843" w:type="dxa"/>
            <w:tcBorders>
              <w:top w:val="single" w:sz="4" w:space="0" w:color="auto"/>
              <w:left w:val="nil"/>
              <w:bottom w:val="single" w:sz="4" w:space="0" w:color="auto"/>
              <w:right w:val="nil"/>
            </w:tcBorders>
            <w:noWrap/>
            <w:vAlign w:val="center"/>
            <w:hideMark/>
          </w:tcPr>
          <w:p w14:paraId="1572157F"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p>
        </w:tc>
        <w:tc>
          <w:tcPr>
            <w:tcW w:w="992" w:type="dxa"/>
            <w:tcBorders>
              <w:top w:val="single" w:sz="4" w:space="0" w:color="auto"/>
              <w:left w:val="nil"/>
              <w:bottom w:val="single" w:sz="4" w:space="0" w:color="auto"/>
              <w:right w:val="nil"/>
            </w:tcBorders>
            <w:noWrap/>
            <w:vAlign w:val="center"/>
            <w:hideMark/>
          </w:tcPr>
          <w:p w14:paraId="15721580"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p>
        </w:tc>
        <w:tc>
          <w:tcPr>
            <w:tcW w:w="2127" w:type="dxa"/>
            <w:tcBorders>
              <w:top w:val="single" w:sz="4" w:space="0" w:color="auto"/>
              <w:left w:val="nil"/>
              <w:bottom w:val="single" w:sz="4" w:space="0" w:color="auto"/>
              <w:right w:val="nil"/>
            </w:tcBorders>
            <w:noWrap/>
            <w:vAlign w:val="center"/>
            <w:hideMark/>
          </w:tcPr>
          <w:p w14:paraId="15721581"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p>
        </w:tc>
      </w:tr>
      <w:tr w:rsidR="00072CDF" w:rsidRPr="00AC0CC1" w14:paraId="15721587" w14:textId="77777777" w:rsidTr="00333388">
        <w:trPr>
          <w:trHeight w:val="283"/>
        </w:trPr>
        <w:tc>
          <w:tcPr>
            <w:tcW w:w="959" w:type="dxa"/>
            <w:vMerge w:val="restart"/>
            <w:tcBorders>
              <w:top w:val="single" w:sz="4" w:space="0" w:color="auto"/>
              <w:left w:val="nil"/>
              <w:right w:val="nil"/>
            </w:tcBorders>
            <w:noWrap/>
            <w:vAlign w:val="center"/>
            <w:hideMark/>
          </w:tcPr>
          <w:p w14:paraId="15721583"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4</w:t>
            </w:r>
          </w:p>
        </w:tc>
        <w:tc>
          <w:tcPr>
            <w:tcW w:w="992" w:type="dxa"/>
            <w:vMerge w:val="restart"/>
            <w:tcBorders>
              <w:top w:val="single" w:sz="4" w:space="0" w:color="auto"/>
              <w:left w:val="nil"/>
              <w:right w:val="nil"/>
            </w:tcBorders>
            <w:noWrap/>
            <w:vAlign w:val="center"/>
            <w:hideMark/>
          </w:tcPr>
          <w:p w14:paraId="15721584"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10 &lt; </w:t>
            </w:r>
            <w:r w:rsidR="009D307F">
              <w:rPr>
                <w:rFonts w:asciiTheme="minorHAnsi" w:eastAsia="Times New Roman" w:hAnsiTheme="minorHAnsi" w:cstheme="minorHAnsi"/>
                <w:color w:val="000000"/>
                <w:sz w:val="16"/>
                <w:szCs w:val="16"/>
                <w:lang w:val="en-AU" w:eastAsia="en-AU"/>
              </w:rPr>
              <w:t>HEq</w:t>
            </w:r>
            <w:r w:rsidRPr="00AC0CC1">
              <w:rPr>
                <w:rFonts w:asciiTheme="minorHAnsi" w:eastAsia="Times New Roman" w:hAnsiTheme="minorHAnsi" w:cstheme="minorHAnsi"/>
                <w:color w:val="000000"/>
                <w:sz w:val="16"/>
                <w:szCs w:val="16"/>
                <w:lang w:val="en-AU" w:eastAsia="en-AU"/>
              </w:rPr>
              <w:t xml:space="preserve"> ≤ 50</w:t>
            </w:r>
          </w:p>
        </w:tc>
        <w:tc>
          <w:tcPr>
            <w:tcW w:w="5420" w:type="dxa"/>
            <w:vMerge w:val="restart"/>
            <w:tcBorders>
              <w:top w:val="single" w:sz="4" w:space="0" w:color="auto"/>
              <w:left w:val="nil"/>
              <w:right w:val="nil"/>
            </w:tcBorders>
            <w:vAlign w:val="center"/>
            <w:hideMark/>
          </w:tcPr>
          <w:p w14:paraId="15721585"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Published scientific observations of reduced photosynthesis for two diatoms.</w:t>
            </w:r>
          </w:p>
        </w:tc>
        <w:tc>
          <w:tcPr>
            <w:tcW w:w="7797" w:type="dxa"/>
            <w:gridSpan w:val="5"/>
            <w:tcBorders>
              <w:top w:val="single" w:sz="4" w:space="0" w:color="auto"/>
              <w:left w:val="nil"/>
              <w:right w:val="nil"/>
            </w:tcBorders>
            <w:shd w:val="clear" w:color="auto" w:fill="auto"/>
            <w:noWrap/>
            <w:vAlign w:val="center"/>
            <w:hideMark/>
          </w:tcPr>
          <w:p w14:paraId="15721586"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Diatoms</w:t>
            </w:r>
          </w:p>
        </w:tc>
      </w:tr>
      <w:tr w:rsidR="0059608E" w:rsidRPr="00AC0CC1" w14:paraId="15721590" w14:textId="77777777" w:rsidTr="00333388">
        <w:trPr>
          <w:trHeight w:val="283"/>
        </w:trPr>
        <w:tc>
          <w:tcPr>
            <w:tcW w:w="959" w:type="dxa"/>
            <w:vMerge/>
            <w:tcBorders>
              <w:left w:val="nil"/>
              <w:right w:val="nil"/>
            </w:tcBorders>
            <w:vAlign w:val="center"/>
            <w:hideMark/>
          </w:tcPr>
          <w:p w14:paraId="1572158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589"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58A"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noWrap/>
            <w:vAlign w:val="center"/>
            <w:hideMark/>
          </w:tcPr>
          <w:p w14:paraId="1572158B"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D. tertiolecta</w:t>
            </w:r>
          </w:p>
        </w:tc>
        <w:tc>
          <w:tcPr>
            <w:tcW w:w="1417" w:type="dxa"/>
            <w:tcBorders>
              <w:left w:val="nil"/>
              <w:right w:val="nil"/>
            </w:tcBorders>
            <w:noWrap/>
            <w:vAlign w:val="center"/>
            <w:hideMark/>
          </w:tcPr>
          <w:p w14:paraId="1572158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50</w:t>
            </w:r>
          </w:p>
        </w:tc>
        <w:tc>
          <w:tcPr>
            <w:tcW w:w="1843" w:type="dxa"/>
            <w:tcBorders>
              <w:left w:val="nil"/>
              <w:right w:val="nil"/>
            </w:tcBorders>
            <w:noWrap/>
            <w:vAlign w:val="center"/>
            <w:hideMark/>
          </w:tcPr>
          <w:p w14:paraId="1572158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left w:val="nil"/>
              <w:right w:val="nil"/>
            </w:tcBorders>
            <w:noWrap/>
            <w:vAlign w:val="center"/>
            <w:hideMark/>
          </w:tcPr>
          <w:p w14:paraId="1572158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noWrap/>
            <w:vAlign w:val="center"/>
            <w:hideMark/>
          </w:tcPr>
          <w:p w14:paraId="1572158F"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Bengston Nash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59608E" w:rsidRPr="00AC0CC1" w14:paraId="15721599" w14:textId="77777777" w:rsidTr="00333388">
        <w:trPr>
          <w:trHeight w:val="283"/>
        </w:trPr>
        <w:tc>
          <w:tcPr>
            <w:tcW w:w="959" w:type="dxa"/>
            <w:vMerge/>
            <w:tcBorders>
              <w:left w:val="nil"/>
              <w:bottom w:val="single" w:sz="4" w:space="0" w:color="auto"/>
              <w:right w:val="nil"/>
            </w:tcBorders>
            <w:vAlign w:val="center"/>
            <w:hideMark/>
          </w:tcPr>
          <w:p w14:paraId="15721591"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bottom w:val="single" w:sz="4" w:space="0" w:color="auto"/>
              <w:right w:val="nil"/>
            </w:tcBorders>
            <w:vAlign w:val="center"/>
            <w:hideMark/>
          </w:tcPr>
          <w:p w14:paraId="15721592"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bottom w:val="single" w:sz="4" w:space="0" w:color="auto"/>
              <w:right w:val="nil"/>
            </w:tcBorders>
            <w:vAlign w:val="center"/>
            <w:hideMark/>
          </w:tcPr>
          <w:p w14:paraId="15721593"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bottom w:val="single" w:sz="4" w:space="0" w:color="auto"/>
              <w:right w:val="nil"/>
            </w:tcBorders>
            <w:noWrap/>
            <w:vAlign w:val="center"/>
            <w:hideMark/>
          </w:tcPr>
          <w:p w14:paraId="15721594"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N. closterium</w:t>
            </w:r>
          </w:p>
        </w:tc>
        <w:tc>
          <w:tcPr>
            <w:tcW w:w="1417" w:type="dxa"/>
            <w:tcBorders>
              <w:left w:val="nil"/>
              <w:bottom w:val="single" w:sz="4" w:space="0" w:color="auto"/>
              <w:right w:val="nil"/>
            </w:tcBorders>
            <w:noWrap/>
            <w:vAlign w:val="center"/>
            <w:hideMark/>
          </w:tcPr>
          <w:p w14:paraId="15721595"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50</w:t>
            </w:r>
          </w:p>
        </w:tc>
        <w:tc>
          <w:tcPr>
            <w:tcW w:w="1843" w:type="dxa"/>
            <w:tcBorders>
              <w:left w:val="nil"/>
              <w:bottom w:val="single" w:sz="4" w:space="0" w:color="auto"/>
              <w:right w:val="nil"/>
            </w:tcBorders>
            <w:noWrap/>
            <w:vAlign w:val="center"/>
            <w:hideMark/>
          </w:tcPr>
          <w:p w14:paraId="15721596"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Sensitivity</w:t>
            </w:r>
          </w:p>
        </w:tc>
        <w:tc>
          <w:tcPr>
            <w:tcW w:w="992" w:type="dxa"/>
            <w:tcBorders>
              <w:left w:val="nil"/>
              <w:bottom w:val="single" w:sz="4" w:space="0" w:color="auto"/>
              <w:right w:val="nil"/>
            </w:tcBorders>
            <w:noWrap/>
            <w:vAlign w:val="center"/>
            <w:hideMark/>
          </w:tcPr>
          <w:p w14:paraId="15721597"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bottom w:val="single" w:sz="4" w:space="0" w:color="auto"/>
              <w:right w:val="nil"/>
            </w:tcBorders>
            <w:noWrap/>
            <w:vAlign w:val="center"/>
            <w:hideMark/>
          </w:tcPr>
          <w:p w14:paraId="15721598"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Bengston Nash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072CDF" w:rsidRPr="00AC0CC1" w14:paraId="1572159E" w14:textId="77777777" w:rsidTr="00333388">
        <w:trPr>
          <w:trHeight w:val="283"/>
        </w:trPr>
        <w:tc>
          <w:tcPr>
            <w:tcW w:w="959" w:type="dxa"/>
            <w:vMerge w:val="restart"/>
            <w:tcBorders>
              <w:top w:val="single" w:sz="4" w:space="0" w:color="auto"/>
              <w:left w:val="nil"/>
              <w:right w:val="nil"/>
            </w:tcBorders>
            <w:noWrap/>
            <w:vAlign w:val="center"/>
            <w:hideMark/>
          </w:tcPr>
          <w:p w14:paraId="1572159A"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3</w:t>
            </w:r>
          </w:p>
        </w:tc>
        <w:tc>
          <w:tcPr>
            <w:tcW w:w="992" w:type="dxa"/>
            <w:vMerge w:val="restart"/>
            <w:tcBorders>
              <w:top w:val="single" w:sz="4" w:space="0" w:color="auto"/>
              <w:left w:val="nil"/>
              <w:right w:val="nil"/>
            </w:tcBorders>
            <w:noWrap/>
            <w:vAlign w:val="center"/>
            <w:hideMark/>
          </w:tcPr>
          <w:p w14:paraId="1572159B"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50 &lt; </w:t>
            </w:r>
            <w:r w:rsidR="009D307F">
              <w:rPr>
                <w:rFonts w:asciiTheme="minorHAnsi" w:eastAsia="Times New Roman" w:hAnsiTheme="minorHAnsi" w:cstheme="minorHAnsi"/>
                <w:color w:val="000000"/>
                <w:sz w:val="16"/>
                <w:szCs w:val="16"/>
                <w:lang w:val="en-AU" w:eastAsia="en-AU"/>
              </w:rPr>
              <w:t>HEq</w:t>
            </w:r>
            <w:r w:rsidRPr="00AC0CC1">
              <w:rPr>
                <w:rFonts w:asciiTheme="minorHAnsi" w:eastAsia="Times New Roman" w:hAnsiTheme="minorHAnsi" w:cstheme="minorHAnsi"/>
                <w:color w:val="000000"/>
                <w:sz w:val="16"/>
                <w:szCs w:val="16"/>
                <w:lang w:val="en-AU" w:eastAsia="en-AU"/>
              </w:rPr>
              <w:t xml:space="preserve"> &lt; 250</w:t>
            </w:r>
          </w:p>
        </w:tc>
        <w:tc>
          <w:tcPr>
            <w:tcW w:w="5420" w:type="dxa"/>
            <w:vMerge w:val="restart"/>
            <w:tcBorders>
              <w:top w:val="single" w:sz="4" w:space="0" w:color="auto"/>
              <w:left w:val="nil"/>
              <w:right w:val="nil"/>
            </w:tcBorders>
            <w:vAlign w:val="center"/>
            <w:hideMark/>
          </w:tcPr>
          <w:p w14:paraId="1572159C"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Published scientific observations of reduced photosynthesis for two seagrass species and three diatoms.</w:t>
            </w:r>
          </w:p>
        </w:tc>
        <w:tc>
          <w:tcPr>
            <w:tcW w:w="7797" w:type="dxa"/>
            <w:gridSpan w:val="5"/>
            <w:tcBorders>
              <w:top w:val="single" w:sz="4" w:space="0" w:color="auto"/>
              <w:left w:val="nil"/>
              <w:right w:val="nil"/>
            </w:tcBorders>
            <w:shd w:val="clear" w:color="auto" w:fill="auto"/>
            <w:noWrap/>
            <w:vAlign w:val="bottom"/>
            <w:hideMark/>
          </w:tcPr>
          <w:p w14:paraId="1572159D"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Seagrass</w:t>
            </w:r>
          </w:p>
        </w:tc>
      </w:tr>
      <w:tr w:rsidR="0059608E" w:rsidRPr="00AC0CC1" w14:paraId="157215A7" w14:textId="77777777" w:rsidTr="00333388">
        <w:trPr>
          <w:trHeight w:val="283"/>
        </w:trPr>
        <w:tc>
          <w:tcPr>
            <w:tcW w:w="959" w:type="dxa"/>
            <w:vMerge/>
            <w:tcBorders>
              <w:left w:val="nil"/>
              <w:right w:val="nil"/>
            </w:tcBorders>
            <w:vAlign w:val="center"/>
            <w:hideMark/>
          </w:tcPr>
          <w:p w14:paraId="1572159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5A0"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5A1"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noWrap/>
            <w:vAlign w:val="center"/>
            <w:hideMark/>
          </w:tcPr>
          <w:p w14:paraId="157215A2"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H. ovalis</w:t>
            </w:r>
          </w:p>
        </w:tc>
        <w:tc>
          <w:tcPr>
            <w:tcW w:w="1417" w:type="dxa"/>
            <w:tcBorders>
              <w:left w:val="nil"/>
              <w:right w:val="nil"/>
            </w:tcBorders>
            <w:shd w:val="clear" w:color="auto" w:fill="auto"/>
            <w:noWrap/>
            <w:vAlign w:val="center"/>
            <w:hideMark/>
          </w:tcPr>
          <w:p w14:paraId="157215A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w:t>
            </w:r>
          </w:p>
        </w:tc>
        <w:tc>
          <w:tcPr>
            <w:tcW w:w="1843" w:type="dxa"/>
            <w:tcBorders>
              <w:left w:val="nil"/>
              <w:right w:val="nil"/>
            </w:tcBorders>
            <w:shd w:val="clear" w:color="auto" w:fill="auto"/>
            <w:noWrap/>
            <w:vAlign w:val="center"/>
            <w:hideMark/>
          </w:tcPr>
          <w:p w14:paraId="157215A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left w:val="nil"/>
              <w:right w:val="nil"/>
            </w:tcBorders>
            <w:shd w:val="clear" w:color="auto" w:fill="auto"/>
            <w:noWrap/>
            <w:vAlign w:val="center"/>
            <w:hideMark/>
          </w:tcPr>
          <w:p w14:paraId="157215A5"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noWrap/>
            <w:vAlign w:val="center"/>
            <w:hideMark/>
          </w:tcPr>
          <w:p w14:paraId="157215A6"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Haynes et al 2000</w:t>
            </w:r>
          </w:p>
        </w:tc>
      </w:tr>
      <w:tr w:rsidR="0059608E" w:rsidRPr="00AC0CC1" w14:paraId="157215B0" w14:textId="77777777" w:rsidTr="00333388">
        <w:trPr>
          <w:trHeight w:val="283"/>
        </w:trPr>
        <w:tc>
          <w:tcPr>
            <w:tcW w:w="959" w:type="dxa"/>
            <w:vMerge/>
            <w:tcBorders>
              <w:left w:val="nil"/>
              <w:right w:val="nil"/>
            </w:tcBorders>
            <w:vAlign w:val="center"/>
            <w:hideMark/>
          </w:tcPr>
          <w:p w14:paraId="157215A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5A9"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5AA"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noWrap/>
            <w:vAlign w:val="center"/>
            <w:hideMark/>
          </w:tcPr>
          <w:p w14:paraId="157215AB"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Z. capriconi</w:t>
            </w:r>
          </w:p>
        </w:tc>
        <w:tc>
          <w:tcPr>
            <w:tcW w:w="1417" w:type="dxa"/>
            <w:tcBorders>
              <w:left w:val="nil"/>
              <w:right w:val="nil"/>
            </w:tcBorders>
            <w:shd w:val="clear" w:color="auto" w:fill="auto"/>
            <w:noWrap/>
            <w:vAlign w:val="center"/>
            <w:hideMark/>
          </w:tcPr>
          <w:p w14:paraId="157215A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w:t>
            </w:r>
          </w:p>
        </w:tc>
        <w:tc>
          <w:tcPr>
            <w:tcW w:w="1843" w:type="dxa"/>
            <w:tcBorders>
              <w:left w:val="nil"/>
              <w:right w:val="nil"/>
            </w:tcBorders>
            <w:shd w:val="clear" w:color="auto" w:fill="auto"/>
            <w:noWrap/>
            <w:vAlign w:val="center"/>
            <w:hideMark/>
          </w:tcPr>
          <w:p w14:paraId="157215A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left w:val="nil"/>
              <w:right w:val="nil"/>
            </w:tcBorders>
            <w:shd w:val="clear" w:color="auto" w:fill="auto"/>
            <w:noWrap/>
            <w:vAlign w:val="center"/>
            <w:hideMark/>
          </w:tcPr>
          <w:p w14:paraId="157215A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noWrap/>
            <w:vAlign w:val="center"/>
            <w:hideMark/>
          </w:tcPr>
          <w:p w14:paraId="157215AF"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Haynes et al 2000</w:t>
            </w:r>
          </w:p>
        </w:tc>
      </w:tr>
      <w:tr w:rsidR="00072CDF" w:rsidRPr="00AC0CC1" w14:paraId="157215B5" w14:textId="77777777" w:rsidTr="00333388">
        <w:trPr>
          <w:trHeight w:val="283"/>
        </w:trPr>
        <w:tc>
          <w:tcPr>
            <w:tcW w:w="959" w:type="dxa"/>
            <w:vMerge/>
            <w:tcBorders>
              <w:left w:val="nil"/>
              <w:right w:val="nil"/>
            </w:tcBorders>
            <w:vAlign w:val="center"/>
            <w:hideMark/>
          </w:tcPr>
          <w:p w14:paraId="157215B1"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5B2"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5B3"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7797" w:type="dxa"/>
            <w:gridSpan w:val="5"/>
            <w:tcBorders>
              <w:left w:val="nil"/>
              <w:right w:val="nil"/>
            </w:tcBorders>
            <w:shd w:val="clear" w:color="auto" w:fill="auto"/>
            <w:vAlign w:val="bottom"/>
            <w:hideMark/>
          </w:tcPr>
          <w:p w14:paraId="157215B4"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Diatoms</w:t>
            </w:r>
          </w:p>
        </w:tc>
      </w:tr>
      <w:tr w:rsidR="0059608E" w:rsidRPr="00AC0CC1" w14:paraId="157215BE" w14:textId="77777777" w:rsidTr="00333388">
        <w:trPr>
          <w:trHeight w:val="283"/>
        </w:trPr>
        <w:tc>
          <w:tcPr>
            <w:tcW w:w="959" w:type="dxa"/>
            <w:vMerge/>
            <w:tcBorders>
              <w:left w:val="nil"/>
              <w:right w:val="nil"/>
            </w:tcBorders>
            <w:vAlign w:val="center"/>
            <w:hideMark/>
          </w:tcPr>
          <w:p w14:paraId="157215B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5B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5B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noWrap/>
            <w:vAlign w:val="center"/>
            <w:hideMark/>
          </w:tcPr>
          <w:p w14:paraId="157215B9"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N. closterium</w:t>
            </w:r>
          </w:p>
        </w:tc>
        <w:tc>
          <w:tcPr>
            <w:tcW w:w="1417" w:type="dxa"/>
            <w:tcBorders>
              <w:left w:val="nil"/>
              <w:right w:val="nil"/>
            </w:tcBorders>
            <w:noWrap/>
            <w:vAlign w:val="center"/>
            <w:hideMark/>
          </w:tcPr>
          <w:p w14:paraId="157215B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w:t>
            </w:r>
          </w:p>
        </w:tc>
        <w:tc>
          <w:tcPr>
            <w:tcW w:w="1843" w:type="dxa"/>
            <w:tcBorders>
              <w:left w:val="nil"/>
              <w:right w:val="nil"/>
            </w:tcBorders>
            <w:noWrap/>
            <w:vAlign w:val="center"/>
            <w:hideMark/>
          </w:tcPr>
          <w:p w14:paraId="157215B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Sensitivity</w:t>
            </w:r>
          </w:p>
        </w:tc>
        <w:tc>
          <w:tcPr>
            <w:tcW w:w="992" w:type="dxa"/>
            <w:tcBorders>
              <w:left w:val="nil"/>
              <w:right w:val="nil"/>
            </w:tcBorders>
            <w:noWrap/>
            <w:vAlign w:val="center"/>
            <w:hideMark/>
          </w:tcPr>
          <w:p w14:paraId="157215B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IC10</w:t>
            </w:r>
          </w:p>
        </w:tc>
        <w:tc>
          <w:tcPr>
            <w:tcW w:w="2127" w:type="dxa"/>
            <w:tcBorders>
              <w:left w:val="nil"/>
              <w:right w:val="nil"/>
            </w:tcBorders>
            <w:noWrap/>
            <w:vAlign w:val="center"/>
            <w:hideMark/>
          </w:tcPr>
          <w:p w14:paraId="157215B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Bengston Nash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59608E" w:rsidRPr="00AC0CC1" w14:paraId="157215C7" w14:textId="77777777" w:rsidTr="00333388">
        <w:trPr>
          <w:trHeight w:val="283"/>
        </w:trPr>
        <w:tc>
          <w:tcPr>
            <w:tcW w:w="959" w:type="dxa"/>
            <w:vMerge/>
            <w:tcBorders>
              <w:left w:val="nil"/>
              <w:right w:val="nil"/>
            </w:tcBorders>
            <w:vAlign w:val="center"/>
            <w:hideMark/>
          </w:tcPr>
          <w:p w14:paraId="157215B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5C0"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5C1"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noWrap/>
            <w:vAlign w:val="center"/>
            <w:hideMark/>
          </w:tcPr>
          <w:p w14:paraId="157215C2"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tricornutum</w:t>
            </w:r>
          </w:p>
        </w:tc>
        <w:tc>
          <w:tcPr>
            <w:tcW w:w="1417" w:type="dxa"/>
            <w:tcBorders>
              <w:left w:val="nil"/>
              <w:right w:val="nil"/>
            </w:tcBorders>
            <w:noWrap/>
            <w:vAlign w:val="center"/>
            <w:hideMark/>
          </w:tcPr>
          <w:p w14:paraId="157215C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w:t>
            </w:r>
          </w:p>
        </w:tc>
        <w:tc>
          <w:tcPr>
            <w:tcW w:w="1843" w:type="dxa"/>
            <w:tcBorders>
              <w:left w:val="nil"/>
              <w:right w:val="nil"/>
            </w:tcBorders>
            <w:noWrap/>
            <w:vAlign w:val="center"/>
            <w:hideMark/>
          </w:tcPr>
          <w:p w14:paraId="157215C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Sensitivity</w:t>
            </w:r>
          </w:p>
        </w:tc>
        <w:tc>
          <w:tcPr>
            <w:tcW w:w="992" w:type="dxa"/>
            <w:tcBorders>
              <w:left w:val="nil"/>
              <w:right w:val="nil"/>
            </w:tcBorders>
            <w:noWrap/>
            <w:vAlign w:val="center"/>
            <w:hideMark/>
          </w:tcPr>
          <w:p w14:paraId="157215C5"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IC10</w:t>
            </w:r>
          </w:p>
        </w:tc>
        <w:tc>
          <w:tcPr>
            <w:tcW w:w="2127" w:type="dxa"/>
            <w:tcBorders>
              <w:left w:val="nil"/>
              <w:right w:val="nil"/>
            </w:tcBorders>
            <w:noWrap/>
            <w:vAlign w:val="center"/>
            <w:hideMark/>
          </w:tcPr>
          <w:p w14:paraId="157215C6"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Bengston Nash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59608E" w:rsidRPr="00AC0CC1" w14:paraId="157215D0" w14:textId="77777777" w:rsidTr="00333388">
        <w:trPr>
          <w:trHeight w:val="283"/>
        </w:trPr>
        <w:tc>
          <w:tcPr>
            <w:tcW w:w="959" w:type="dxa"/>
            <w:vMerge/>
            <w:tcBorders>
              <w:left w:val="nil"/>
              <w:bottom w:val="single" w:sz="4" w:space="0" w:color="auto"/>
              <w:right w:val="nil"/>
            </w:tcBorders>
            <w:vAlign w:val="center"/>
            <w:hideMark/>
          </w:tcPr>
          <w:p w14:paraId="157215C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bottom w:val="single" w:sz="4" w:space="0" w:color="auto"/>
              <w:right w:val="nil"/>
            </w:tcBorders>
            <w:vAlign w:val="center"/>
            <w:hideMark/>
          </w:tcPr>
          <w:p w14:paraId="157215C9"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bottom w:val="single" w:sz="4" w:space="0" w:color="auto"/>
              <w:right w:val="nil"/>
            </w:tcBorders>
            <w:vAlign w:val="center"/>
            <w:hideMark/>
          </w:tcPr>
          <w:p w14:paraId="157215CA"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bottom w:val="single" w:sz="4" w:space="0" w:color="auto"/>
              <w:right w:val="nil"/>
            </w:tcBorders>
            <w:noWrap/>
            <w:vAlign w:val="center"/>
            <w:hideMark/>
          </w:tcPr>
          <w:p w14:paraId="157215CB"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D. tertiolecta</w:t>
            </w:r>
          </w:p>
        </w:tc>
        <w:tc>
          <w:tcPr>
            <w:tcW w:w="1417" w:type="dxa"/>
            <w:tcBorders>
              <w:left w:val="nil"/>
              <w:bottom w:val="single" w:sz="4" w:space="0" w:color="auto"/>
              <w:right w:val="nil"/>
            </w:tcBorders>
            <w:noWrap/>
            <w:vAlign w:val="center"/>
            <w:hideMark/>
          </w:tcPr>
          <w:p w14:paraId="157215C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110</w:t>
            </w:r>
          </w:p>
        </w:tc>
        <w:tc>
          <w:tcPr>
            <w:tcW w:w="1843" w:type="dxa"/>
            <w:tcBorders>
              <w:left w:val="nil"/>
              <w:bottom w:val="single" w:sz="4" w:space="0" w:color="auto"/>
              <w:right w:val="nil"/>
            </w:tcBorders>
            <w:noWrap/>
            <w:vAlign w:val="center"/>
            <w:hideMark/>
          </w:tcPr>
          <w:p w14:paraId="157215C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left w:val="nil"/>
              <w:bottom w:val="single" w:sz="4" w:space="0" w:color="auto"/>
              <w:right w:val="nil"/>
            </w:tcBorders>
            <w:noWrap/>
            <w:vAlign w:val="center"/>
            <w:hideMark/>
          </w:tcPr>
          <w:p w14:paraId="157215C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IC10</w:t>
            </w:r>
          </w:p>
        </w:tc>
        <w:tc>
          <w:tcPr>
            <w:tcW w:w="2127" w:type="dxa"/>
            <w:tcBorders>
              <w:left w:val="nil"/>
              <w:bottom w:val="single" w:sz="4" w:space="0" w:color="auto"/>
              <w:right w:val="nil"/>
            </w:tcBorders>
            <w:noWrap/>
            <w:vAlign w:val="center"/>
            <w:hideMark/>
          </w:tcPr>
          <w:p w14:paraId="157215CF"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Bengston Nash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072CDF" w:rsidRPr="00AC0CC1" w14:paraId="157215D5" w14:textId="77777777" w:rsidTr="00333388">
        <w:trPr>
          <w:trHeight w:val="283"/>
        </w:trPr>
        <w:tc>
          <w:tcPr>
            <w:tcW w:w="959" w:type="dxa"/>
            <w:vMerge w:val="restart"/>
            <w:tcBorders>
              <w:top w:val="single" w:sz="4" w:space="0" w:color="auto"/>
              <w:left w:val="nil"/>
              <w:right w:val="nil"/>
            </w:tcBorders>
            <w:noWrap/>
            <w:vAlign w:val="center"/>
            <w:hideMark/>
          </w:tcPr>
          <w:p w14:paraId="157215D1"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w:t>
            </w:r>
          </w:p>
        </w:tc>
        <w:tc>
          <w:tcPr>
            <w:tcW w:w="992" w:type="dxa"/>
            <w:vMerge w:val="restart"/>
            <w:tcBorders>
              <w:top w:val="single" w:sz="4" w:space="0" w:color="auto"/>
              <w:left w:val="nil"/>
              <w:right w:val="nil"/>
            </w:tcBorders>
            <w:noWrap/>
            <w:vAlign w:val="center"/>
            <w:hideMark/>
          </w:tcPr>
          <w:p w14:paraId="157215D2"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250≤ </w:t>
            </w:r>
            <w:r w:rsidR="009D307F">
              <w:rPr>
                <w:rFonts w:asciiTheme="minorHAnsi" w:eastAsia="Times New Roman" w:hAnsiTheme="minorHAnsi" w:cstheme="minorHAnsi"/>
                <w:color w:val="000000"/>
                <w:sz w:val="16"/>
                <w:szCs w:val="16"/>
                <w:lang w:val="en-AU" w:eastAsia="en-AU"/>
              </w:rPr>
              <w:t>HEq</w:t>
            </w:r>
            <w:r w:rsidRPr="00AC0CC1">
              <w:rPr>
                <w:rFonts w:asciiTheme="minorHAnsi" w:eastAsia="Times New Roman" w:hAnsiTheme="minorHAnsi" w:cstheme="minorHAnsi"/>
                <w:color w:val="000000"/>
                <w:sz w:val="16"/>
                <w:szCs w:val="16"/>
                <w:lang w:val="en-AU" w:eastAsia="en-AU"/>
              </w:rPr>
              <w:t xml:space="preserve"> ≤ 900</w:t>
            </w:r>
          </w:p>
        </w:tc>
        <w:tc>
          <w:tcPr>
            <w:tcW w:w="5420" w:type="dxa"/>
            <w:vMerge w:val="restart"/>
            <w:tcBorders>
              <w:top w:val="single" w:sz="4" w:space="0" w:color="auto"/>
              <w:left w:val="nil"/>
              <w:right w:val="nil"/>
            </w:tcBorders>
            <w:vAlign w:val="center"/>
            <w:hideMark/>
          </w:tcPr>
          <w:p w14:paraId="157215D3"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Published scientific observations of reduced photosynthesis for three coral species.</w:t>
            </w:r>
          </w:p>
        </w:tc>
        <w:tc>
          <w:tcPr>
            <w:tcW w:w="7797" w:type="dxa"/>
            <w:gridSpan w:val="5"/>
            <w:tcBorders>
              <w:top w:val="single" w:sz="4" w:space="0" w:color="auto"/>
              <w:left w:val="nil"/>
              <w:bottom w:val="single" w:sz="4" w:space="0" w:color="auto"/>
              <w:right w:val="nil"/>
            </w:tcBorders>
            <w:shd w:val="clear" w:color="auto" w:fill="auto"/>
            <w:vAlign w:val="bottom"/>
            <w:hideMark/>
          </w:tcPr>
          <w:p w14:paraId="157215D4"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Coral - Isolated zooxanthellae</w:t>
            </w:r>
          </w:p>
        </w:tc>
      </w:tr>
      <w:tr w:rsidR="0059608E" w:rsidRPr="00AC0CC1" w14:paraId="157215DE" w14:textId="77777777" w:rsidTr="00333388">
        <w:trPr>
          <w:trHeight w:val="283"/>
        </w:trPr>
        <w:tc>
          <w:tcPr>
            <w:tcW w:w="959" w:type="dxa"/>
            <w:vMerge/>
            <w:tcBorders>
              <w:left w:val="nil"/>
              <w:right w:val="nil"/>
            </w:tcBorders>
            <w:noWrap/>
            <w:vAlign w:val="center"/>
            <w:hideMark/>
          </w:tcPr>
          <w:p w14:paraId="157215D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noWrap/>
            <w:vAlign w:val="center"/>
            <w:hideMark/>
          </w:tcPr>
          <w:p w14:paraId="157215D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5D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top w:val="single" w:sz="4" w:space="0" w:color="auto"/>
              <w:left w:val="nil"/>
              <w:bottom w:val="single" w:sz="4" w:space="0" w:color="auto"/>
              <w:right w:val="nil"/>
            </w:tcBorders>
            <w:shd w:val="clear" w:color="auto" w:fill="auto"/>
            <w:vAlign w:val="center"/>
            <w:hideMark/>
          </w:tcPr>
          <w:p w14:paraId="157215D9"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pistillata</w:t>
            </w:r>
          </w:p>
        </w:tc>
        <w:tc>
          <w:tcPr>
            <w:tcW w:w="1417" w:type="dxa"/>
            <w:tcBorders>
              <w:top w:val="single" w:sz="4" w:space="0" w:color="auto"/>
              <w:left w:val="nil"/>
              <w:bottom w:val="single" w:sz="4" w:space="0" w:color="auto"/>
              <w:right w:val="nil"/>
            </w:tcBorders>
            <w:shd w:val="clear" w:color="auto" w:fill="auto"/>
            <w:noWrap/>
            <w:vAlign w:val="center"/>
            <w:hideMark/>
          </w:tcPr>
          <w:p w14:paraId="157215D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250</w:t>
            </w:r>
          </w:p>
        </w:tc>
        <w:tc>
          <w:tcPr>
            <w:tcW w:w="1843" w:type="dxa"/>
            <w:tcBorders>
              <w:top w:val="single" w:sz="4" w:space="0" w:color="auto"/>
              <w:left w:val="nil"/>
              <w:bottom w:val="single" w:sz="4" w:space="0" w:color="auto"/>
              <w:right w:val="nil"/>
            </w:tcBorders>
            <w:shd w:val="clear" w:color="auto" w:fill="auto"/>
            <w:noWrap/>
            <w:vAlign w:val="center"/>
            <w:hideMark/>
          </w:tcPr>
          <w:p w14:paraId="157215D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top w:val="single" w:sz="4" w:space="0" w:color="auto"/>
              <w:left w:val="nil"/>
              <w:bottom w:val="single" w:sz="4" w:space="0" w:color="auto"/>
              <w:right w:val="nil"/>
            </w:tcBorders>
            <w:shd w:val="clear" w:color="auto" w:fill="auto"/>
            <w:noWrap/>
            <w:vAlign w:val="center"/>
            <w:hideMark/>
          </w:tcPr>
          <w:p w14:paraId="157215D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top w:val="single" w:sz="4" w:space="0" w:color="auto"/>
              <w:left w:val="nil"/>
              <w:bottom w:val="single" w:sz="4" w:space="0" w:color="auto"/>
              <w:right w:val="nil"/>
            </w:tcBorders>
            <w:shd w:val="clear" w:color="auto" w:fill="auto"/>
            <w:noWrap/>
            <w:vAlign w:val="center"/>
            <w:hideMark/>
          </w:tcPr>
          <w:p w14:paraId="157215D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w:t>
            </w:r>
            <w:r w:rsidRPr="00AC0CC1">
              <w:rPr>
                <w:rFonts w:asciiTheme="minorHAnsi" w:eastAsia="Times New Roman" w:hAnsiTheme="minorHAnsi" w:cstheme="minorHAnsi"/>
                <w:i/>
                <w:iCs/>
                <w:color w:val="000000"/>
                <w:sz w:val="16"/>
                <w:szCs w:val="16"/>
                <w:lang w:val="en-AU" w:eastAsia="en-AU"/>
              </w:rPr>
              <w:t xml:space="preserve"> et al</w:t>
            </w:r>
            <w:r w:rsidRPr="00AC0CC1">
              <w:rPr>
                <w:rFonts w:asciiTheme="minorHAnsi" w:eastAsia="Times New Roman" w:hAnsiTheme="minorHAnsi" w:cstheme="minorHAnsi"/>
                <w:color w:val="000000"/>
                <w:sz w:val="16"/>
                <w:szCs w:val="16"/>
                <w:lang w:val="en-AU" w:eastAsia="en-AU"/>
              </w:rPr>
              <w:t xml:space="preserve"> 2003</w:t>
            </w:r>
          </w:p>
        </w:tc>
      </w:tr>
      <w:tr w:rsidR="00072CDF" w:rsidRPr="00AC0CC1" w14:paraId="157215E3" w14:textId="77777777" w:rsidTr="00333388">
        <w:trPr>
          <w:trHeight w:val="283"/>
        </w:trPr>
        <w:tc>
          <w:tcPr>
            <w:tcW w:w="959" w:type="dxa"/>
            <w:vMerge/>
            <w:tcBorders>
              <w:left w:val="nil"/>
              <w:right w:val="nil"/>
            </w:tcBorders>
            <w:noWrap/>
            <w:vAlign w:val="center"/>
            <w:hideMark/>
          </w:tcPr>
          <w:p w14:paraId="157215DF"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noWrap/>
            <w:vAlign w:val="center"/>
            <w:hideMark/>
          </w:tcPr>
          <w:p w14:paraId="157215E0"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5E1"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7797" w:type="dxa"/>
            <w:gridSpan w:val="5"/>
            <w:tcBorders>
              <w:top w:val="single" w:sz="4" w:space="0" w:color="auto"/>
              <w:left w:val="nil"/>
              <w:right w:val="nil"/>
            </w:tcBorders>
            <w:shd w:val="clear" w:color="auto" w:fill="auto"/>
            <w:vAlign w:val="bottom"/>
            <w:hideMark/>
          </w:tcPr>
          <w:p w14:paraId="157215E2"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Coral - Adult colonies</w:t>
            </w:r>
          </w:p>
        </w:tc>
      </w:tr>
      <w:tr w:rsidR="0059608E" w:rsidRPr="00AC0CC1" w14:paraId="157215EC" w14:textId="77777777" w:rsidTr="00333388">
        <w:trPr>
          <w:trHeight w:val="283"/>
        </w:trPr>
        <w:tc>
          <w:tcPr>
            <w:tcW w:w="959" w:type="dxa"/>
            <w:vMerge/>
            <w:tcBorders>
              <w:left w:val="nil"/>
              <w:right w:val="nil"/>
            </w:tcBorders>
            <w:noWrap/>
            <w:vAlign w:val="center"/>
            <w:hideMark/>
          </w:tcPr>
          <w:p w14:paraId="157215E4"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noWrap/>
            <w:vAlign w:val="center"/>
            <w:hideMark/>
          </w:tcPr>
          <w:p w14:paraId="157215E5"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5E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5E7"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formosa</w:t>
            </w:r>
          </w:p>
        </w:tc>
        <w:tc>
          <w:tcPr>
            <w:tcW w:w="1417" w:type="dxa"/>
            <w:tcBorders>
              <w:left w:val="nil"/>
              <w:right w:val="nil"/>
            </w:tcBorders>
            <w:noWrap/>
            <w:vAlign w:val="center"/>
            <w:hideMark/>
          </w:tcPr>
          <w:p w14:paraId="157215E8"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300</w:t>
            </w:r>
          </w:p>
        </w:tc>
        <w:tc>
          <w:tcPr>
            <w:tcW w:w="1843" w:type="dxa"/>
            <w:tcBorders>
              <w:left w:val="nil"/>
              <w:right w:val="nil"/>
            </w:tcBorders>
            <w:noWrap/>
            <w:vAlign w:val="center"/>
            <w:hideMark/>
          </w:tcPr>
          <w:p w14:paraId="157215E9"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left w:val="nil"/>
              <w:right w:val="nil"/>
            </w:tcBorders>
            <w:noWrap/>
            <w:vAlign w:val="center"/>
            <w:hideMark/>
          </w:tcPr>
          <w:p w14:paraId="157215E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noWrap/>
            <w:vAlign w:val="center"/>
            <w:hideMark/>
          </w:tcPr>
          <w:p w14:paraId="157215E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 &amp; Kerswell, 2003</w:t>
            </w:r>
          </w:p>
        </w:tc>
      </w:tr>
      <w:tr w:rsidR="0059608E" w:rsidRPr="00AC0CC1" w14:paraId="157215F5" w14:textId="77777777" w:rsidTr="00333388">
        <w:trPr>
          <w:trHeight w:val="283"/>
        </w:trPr>
        <w:tc>
          <w:tcPr>
            <w:tcW w:w="959" w:type="dxa"/>
            <w:vMerge/>
            <w:tcBorders>
              <w:left w:val="nil"/>
              <w:right w:val="nil"/>
            </w:tcBorders>
            <w:noWrap/>
            <w:vAlign w:val="center"/>
            <w:hideMark/>
          </w:tcPr>
          <w:p w14:paraId="157215ED"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noWrap/>
            <w:vAlign w:val="center"/>
            <w:hideMark/>
          </w:tcPr>
          <w:p w14:paraId="157215EE"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5E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5F0"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hystrix</w:t>
            </w:r>
          </w:p>
        </w:tc>
        <w:tc>
          <w:tcPr>
            <w:tcW w:w="1417" w:type="dxa"/>
            <w:tcBorders>
              <w:left w:val="nil"/>
              <w:right w:val="nil"/>
            </w:tcBorders>
            <w:noWrap/>
            <w:vAlign w:val="center"/>
            <w:hideMark/>
          </w:tcPr>
          <w:p w14:paraId="157215F1"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300</w:t>
            </w:r>
          </w:p>
        </w:tc>
        <w:tc>
          <w:tcPr>
            <w:tcW w:w="1843" w:type="dxa"/>
            <w:tcBorders>
              <w:left w:val="nil"/>
              <w:right w:val="nil"/>
            </w:tcBorders>
            <w:noWrap/>
            <w:vAlign w:val="center"/>
            <w:hideMark/>
          </w:tcPr>
          <w:p w14:paraId="157215F2"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left w:val="nil"/>
              <w:right w:val="nil"/>
            </w:tcBorders>
            <w:noWrap/>
            <w:vAlign w:val="center"/>
            <w:hideMark/>
          </w:tcPr>
          <w:p w14:paraId="157215F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noWrap/>
            <w:vAlign w:val="center"/>
            <w:hideMark/>
          </w:tcPr>
          <w:p w14:paraId="157215F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w:t>
            </w:r>
            <w:r w:rsidRPr="00AC0CC1">
              <w:rPr>
                <w:rFonts w:asciiTheme="minorHAnsi" w:eastAsia="Times New Roman" w:hAnsiTheme="minorHAnsi" w:cstheme="minorHAnsi"/>
                <w:i/>
                <w:iCs/>
                <w:color w:val="000000"/>
                <w:sz w:val="16"/>
                <w:szCs w:val="16"/>
                <w:lang w:val="en-AU" w:eastAsia="en-AU"/>
              </w:rPr>
              <w:t xml:space="preserve"> et al</w:t>
            </w:r>
            <w:r w:rsidRPr="00AC0CC1">
              <w:rPr>
                <w:rFonts w:asciiTheme="minorHAnsi" w:eastAsia="Times New Roman" w:hAnsiTheme="minorHAnsi" w:cstheme="minorHAnsi"/>
                <w:color w:val="000000"/>
                <w:sz w:val="16"/>
                <w:szCs w:val="16"/>
                <w:lang w:val="en-AU" w:eastAsia="en-AU"/>
              </w:rPr>
              <w:t xml:space="preserve"> 2003</w:t>
            </w:r>
          </w:p>
        </w:tc>
      </w:tr>
      <w:tr w:rsidR="0059608E" w:rsidRPr="00AC0CC1" w14:paraId="157215FE" w14:textId="77777777" w:rsidTr="00333388">
        <w:trPr>
          <w:trHeight w:val="283"/>
        </w:trPr>
        <w:tc>
          <w:tcPr>
            <w:tcW w:w="959" w:type="dxa"/>
            <w:vMerge/>
            <w:tcBorders>
              <w:left w:val="nil"/>
              <w:bottom w:val="single" w:sz="4" w:space="0" w:color="auto"/>
              <w:right w:val="nil"/>
            </w:tcBorders>
            <w:vAlign w:val="center"/>
            <w:hideMark/>
          </w:tcPr>
          <w:p w14:paraId="157215F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bottom w:val="single" w:sz="4" w:space="0" w:color="auto"/>
              <w:right w:val="nil"/>
            </w:tcBorders>
            <w:vAlign w:val="center"/>
            <w:hideMark/>
          </w:tcPr>
          <w:p w14:paraId="157215F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bottom w:val="single" w:sz="4" w:space="0" w:color="auto"/>
              <w:right w:val="nil"/>
            </w:tcBorders>
            <w:vAlign w:val="center"/>
            <w:hideMark/>
          </w:tcPr>
          <w:p w14:paraId="157215F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bottom w:val="single" w:sz="4" w:space="0" w:color="auto"/>
              <w:right w:val="nil"/>
            </w:tcBorders>
            <w:noWrap/>
            <w:vAlign w:val="center"/>
            <w:hideMark/>
          </w:tcPr>
          <w:p w14:paraId="157215F9"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hystrix</w:t>
            </w:r>
          </w:p>
        </w:tc>
        <w:tc>
          <w:tcPr>
            <w:tcW w:w="1417" w:type="dxa"/>
            <w:tcBorders>
              <w:left w:val="nil"/>
              <w:bottom w:val="single" w:sz="4" w:space="0" w:color="auto"/>
              <w:right w:val="nil"/>
            </w:tcBorders>
            <w:noWrap/>
            <w:vAlign w:val="center"/>
            <w:hideMark/>
          </w:tcPr>
          <w:p w14:paraId="157215F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300</w:t>
            </w:r>
          </w:p>
        </w:tc>
        <w:tc>
          <w:tcPr>
            <w:tcW w:w="1843" w:type="dxa"/>
            <w:tcBorders>
              <w:left w:val="nil"/>
              <w:bottom w:val="single" w:sz="4" w:space="0" w:color="auto"/>
              <w:right w:val="nil"/>
            </w:tcBorders>
            <w:noWrap/>
            <w:vAlign w:val="center"/>
            <w:hideMark/>
          </w:tcPr>
          <w:p w14:paraId="157215F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left w:val="nil"/>
              <w:bottom w:val="single" w:sz="4" w:space="0" w:color="auto"/>
              <w:right w:val="nil"/>
            </w:tcBorders>
            <w:noWrap/>
            <w:vAlign w:val="center"/>
            <w:hideMark/>
          </w:tcPr>
          <w:p w14:paraId="157215F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bottom w:val="single" w:sz="4" w:space="0" w:color="auto"/>
              <w:right w:val="nil"/>
            </w:tcBorders>
            <w:noWrap/>
            <w:vAlign w:val="center"/>
            <w:hideMark/>
          </w:tcPr>
          <w:p w14:paraId="157215F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 &amp; Kerswell, 2003</w:t>
            </w:r>
          </w:p>
        </w:tc>
      </w:tr>
      <w:tr w:rsidR="00072CDF" w:rsidRPr="00AC0CC1" w14:paraId="15721603" w14:textId="77777777" w:rsidTr="00333388">
        <w:trPr>
          <w:trHeight w:val="283"/>
        </w:trPr>
        <w:tc>
          <w:tcPr>
            <w:tcW w:w="959" w:type="dxa"/>
            <w:vMerge w:val="restart"/>
            <w:tcBorders>
              <w:top w:val="single" w:sz="4" w:space="0" w:color="auto"/>
              <w:left w:val="nil"/>
              <w:right w:val="nil"/>
            </w:tcBorders>
            <w:noWrap/>
            <w:vAlign w:val="center"/>
            <w:hideMark/>
          </w:tcPr>
          <w:p w14:paraId="157215FF"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w:t>
            </w:r>
          </w:p>
        </w:tc>
        <w:tc>
          <w:tcPr>
            <w:tcW w:w="992" w:type="dxa"/>
            <w:vMerge w:val="restart"/>
            <w:tcBorders>
              <w:top w:val="single" w:sz="4" w:space="0" w:color="auto"/>
              <w:left w:val="nil"/>
              <w:right w:val="nil"/>
            </w:tcBorders>
            <w:noWrap/>
            <w:vAlign w:val="center"/>
            <w:hideMark/>
          </w:tcPr>
          <w:p w14:paraId="15721600" w14:textId="77777777" w:rsidR="00072CDF" w:rsidRPr="00AC0CC1" w:rsidRDefault="009D307F" w:rsidP="00015606">
            <w:pPr>
              <w:spacing w:line="276" w:lineRule="auto"/>
              <w:jc w:val="center"/>
              <w:rPr>
                <w:rFonts w:asciiTheme="minorHAnsi" w:eastAsia="Times New Roman" w:hAnsiTheme="minorHAnsi" w:cstheme="minorHAnsi"/>
                <w:color w:val="000000"/>
                <w:sz w:val="16"/>
                <w:szCs w:val="16"/>
                <w:lang w:val="en-AU" w:eastAsia="en-AU"/>
              </w:rPr>
            </w:pPr>
            <w:r>
              <w:rPr>
                <w:rFonts w:asciiTheme="minorHAnsi" w:eastAsia="Times New Roman" w:hAnsiTheme="minorHAnsi" w:cstheme="minorHAnsi"/>
                <w:color w:val="000000"/>
                <w:sz w:val="16"/>
                <w:szCs w:val="16"/>
                <w:lang w:val="en-AU" w:eastAsia="en-AU"/>
              </w:rPr>
              <w:t>HEq</w:t>
            </w:r>
            <w:r w:rsidR="00072CDF" w:rsidRPr="00AC0CC1">
              <w:rPr>
                <w:rFonts w:asciiTheme="minorHAnsi" w:eastAsia="Times New Roman" w:hAnsiTheme="minorHAnsi" w:cstheme="minorHAnsi"/>
                <w:color w:val="000000"/>
                <w:sz w:val="16"/>
                <w:szCs w:val="16"/>
                <w:lang w:val="en-AU" w:eastAsia="en-AU"/>
              </w:rPr>
              <w:t xml:space="preserve"> &gt; 900</w:t>
            </w:r>
          </w:p>
        </w:tc>
        <w:tc>
          <w:tcPr>
            <w:tcW w:w="5420" w:type="dxa"/>
            <w:vMerge w:val="restart"/>
            <w:tcBorders>
              <w:top w:val="single" w:sz="4" w:space="0" w:color="auto"/>
              <w:left w:val="nil"/>
              <w:right w:val="nil"/>
            </w:tcBorders>
            <w:hideMark/>
          </w:tcPr>
          <w:p w14:paraId="15721601" w14:textId="77777777" w:rsidR="00072CDF" w:rsidRPr="00AC0CC1" w:rsidRDefault="00072CDF" w:rsidP="00072CDF">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w:t>
            </w:r>
          </w:p>
        </w:tc>
        <w:tc>
          <w:tcPr>
            <w:tcW w:w="7797" w:type="dxa"/>
            <w:gridSpan w:val="5"/>
            <w:tcBorders>
              <w:top w:val="single" w:sz="4" w:space="0" w:color="auto"/>
              <w:left w:val="nil"/>
              <w:right w:val="nil"/>
            </w:tcBorders>
            <w:shd w:val="clear" w:color="auto" w:fill="auto"/>
            <w:noWrap/>
            <w:vAlign w:val="bottom"/>
            <w:hideMark/>
          </w:tcPr>
          <w:p w14:paraId="15721602"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Seagrass</w:t>
            </w:r>
          </w:p>
        </w:tc>
      </w:tr>
      <w:tr w:rsidR="0059608E" w:rsidRPr="00AC0CC1" w14:paraId="1572160C" w14:textId="77777777" w:rsidTr="00333388">
        <w:trPr>
          <w:trHeight w:val="283"/>
        </w:trPr>
        <w:tc>
          <w:tcPr>
            <w:tcW w:w="959" w:type="dxa"/>
            <w:vMerge/>
            <w:tcBorders>
              <w:left w:val="nil"/>
              <w:right w:val="nil"/>
            </w:tcBorders>
            <w:noWrap/>
            <w:vAlign w:val="center"/>
            <w:hideMark/>
          </w:tcPr>
          <w:p w14:paraId="15721604"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noWrap/>
            <w:vAlign w:val="center"/>
            <w:hideMark/>
          </w:tcPr>
          <w:p w14:paraId="15721605"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0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noWrap/>
            <w:vAlign w:val="center"/>
            <w:hideMark/>
          </w:tcPr>
          <w:p w14:paraId="15721607"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Z. capriconi</w:t>
            </w:r>
          </w:p>
        </w:tc>
        <w:tc>
          <w:tcPr>
            <w:tcW w:w="1417" w:type="dxa"/>
            <w:tcBorders>
              <w:left w:val="nil"/>
              <w:right w:val="nil"/>
            </w:tcBorders>
            <w:shd w:val="clear" w:color="auto" w:fill="auto"/>
            <w:noWrap/>
            <w:vAlign w:val="center"/>
            <w:hideMark/>
          </w:tcPr>
          <w:p w14:paraId="15721608"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1843" w:type="dxa"/>
            <w:tcBorders>
              <w:left w:val="nil"/>
              <w:right w:val="nil"/>
            </w:tcBorders>
            <w:shd w:val="clear" w:color="auto" w:fill="auto"/>
            <w:noWrap/>
            <w:vAlign w:val="center"/>
            <w:hideMark/>
          </w:tcPr>
          <w:p w14:paraId="15721609"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left w:val="nil"/>
              <w:right w:val="nil"/>
            </w:tcBorders>
            <w:shd w:val="clear" w:color="auto" w:fill="auto"/>
            <w:noWrap/>
            <w:vAlign w:val="center"/>
            <w:hideMark/>
          </w:tcPr>
          <w:p w14:paraId="1572160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shd w:val="clear" w:color="auto" w:fill="auto"/>
            <w:noWrap/>
            <w:vAlign w:val="center"/>
            <w:hideMark/>
          </w:tcPr>
          <w:p w14:paraId="1572160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Chesworth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2004</w:t>
            </w:r>
          </w:p>
        </w:tc>
      </w:tr>
      <w:tr w:rsidR="0059608E" w:rsidRPr="00AC0CC1" w14:paraId="15721615" w14:textId="77777777" w:rsidTr="00333388">
        <w:trPr>
          <w:trHeight w:val="283"/>
        </w:trPr>
        <w:tc>
          <w:tcPr>
            <w:tcW w:w="959" w:type="dxa"/>
            <w:vMerge/>
            <w:tcBorders>
              <w:left w:val="nil"/>
              <w:right w:val="nil"/>
            </w:tcBorders>
            <w:noWrap/>
            <w:vAlign w:val="center"/>
            <w:hideMark/>
          </w:tcPr>
          <w:p w14:paraId="1572160D"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noWrap/>
            <w:vAlign w:val="center"/>
            <w:hideMark/>
          </w:tcPr>
          <w:p w14:paraId="1572160E"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0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noWrap/>
            <w:vAlign w:val="center"/>
            <w:hideMark/>
          </w:tcPr>
          <w:p w14:paraId="15721610"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Z. capriconi</w:t>
            </w:r>
          </w:p>
        </w:tc>
        <w:tc>
          <w:tcPr>
            <w:tcW w:w="1417" w:type="dxa"/>
            <w:tcBorders>
              <w:left w:val="nil"/>
              <w:right w:val="nil"/>
            </w:tcBorders>
            <w:shd w:val="clear" w:color="auto" w:fill="auto"/>
            <w:noWrap/>
            <w:vAlign w:val="center"/>
            <w:hideMark/>
          </w:tcPr>
          <w:p w14:paraId="15721611"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5000</w:t>
            </w:r>
          </w:p>
        </w:tc>
        <w:tc>
          <w:tcPr>
            <w:tcW w:w="1843" w:type="dxa"/>
            <w:tcBorders>
              <w:left w:val="nil"/>
              <w:right w:val="nil"/>
            </w:tcBorders>
            <w:shd w:val="clear" w:color="auto" w:fill="auto"/>
            <w:noWrap/>
            <w:vAlign w:val="center"/>
            <w:hideMark/>
          </w:tcPr>
          <w:p w14:paraId="15721612"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↓growth</w:t>
            </w:r>
          </w:p>
        </w:tc>
        <w:tc>
          <w:tcPr>
            <w:tcW w:w="992" w:type="dxa"/>
            <w:tcBorders>
              <w:left w:val="nil"/>
              <w:right w:val="nil"/>
            </w:tcBorders>
            <w:shd w:val="clear" w:color="auto" w:fill="auto"/>
            <w:noWrap/>
            <w:vAlign w:val="center"/>
            <w:hideMark/>
          </w:tcPr>
          <w:p w14:paraId="1572161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shd w:val="clear" w:color="auto" w:fill="auto"/>
            <w:noWrap/>
            <w:vAlign w:val="center"/>
            <w:hideMark/>
          </w:tcPr>
          <w:p w14:paraId="1572161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Chesworth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2004</w:t>
            </w:r>
          </w:p>
        </w:tc>
      </w:tr>
      <w:tr w:rsidR="0059608E" w:rsidRPr="00AC0CC1" w14:paraId="1572161E" w14:textId="77777777" w:rsidTr="00333388">
        <w:trPr>
          <w:trHeight w:val="283"/>
        </w:trPr>
        <w:tc>
          <w:tcPr>
            <w:tcW w:w="959" w:type="dxa"/>
            <w:vMerge/>
            <w:tcBorders>
              <w:left w:val="nil"/>
              <w:right w:val="nil"/>
            </w:tcBorders>
            <w:vAlign w:val="center"/>
            <w:hideMark/>
          </w:tcPr>
          <w:p w14:paraId="1572161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1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1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noWrap/>
            <w:vAlign w:val="center"/>
            <w:hideMark/>
          </w:tcPr>
          <w:p w14:paraId="15721619"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Z. capriconi</w:t>
            </w:r>
          </w:p>
        </w:tc>
        <w:tc>
          <w:tcPr>
            <w:tcW w:w="1417" w:type="dxa"/>
            <w:tcBorders>
              <w:left w:val="nil"/>
              <w:right w:val="nil"/>
            </w:tcBorders>
            <w:shd w:val="clear" w:color="auto" w:fill="auto"/>
            <w:noWrap/>
            <w:vAlign w:val="center"/>
            <w:hideMark/>
          </w:tcPr>
          <w:p w14:paraId="1572161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10000</w:t>
            </w:r>
          </w:p>
        </w:tc>
        <w:tc>
          <w:tcPr>
            <w:tcW w:w="1843" w:type="dxa"/>
            <w:tcBorders>
              <w:left w:val="nil"/>
              <w:right w:val="nil"/>
            </w:tcBorders>
            <w:shd w:val="clear" w:color="auto" w:fill="auto"/>
            <w:noWrap/>
            <w:vAlign w:val="center"/>
            <w:hideMark/>
          </w:tcPr>
          <w:p w14:paraId="1572161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left w:val="nil"/>
              <w:right w:val="nil"/>
            </w:tcBorders>
            <w:shd w:val="clear" w:color="auto" w:fill="auto"/>
            <w:noWrap/>
            <w:vAlign w:val="center"/>
            <w:hideMark/>
          </w:tcPr>
          <w:p w14:paraId="1572161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shd w:val="clear" w:color="auto" w:fill="auto"/>
            <w:noWrap/>
            <w:vAlign w:val="center"/>
            <w:hideMark/>
          </w:tcPr>
          <w:p w14:paraId="1572161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Macinnis-Ng &amp; Ralph, 2004</w:t>
            </w:r>
          </w:p>
        </w:tc>
      </w:tr>
      <w:tr w:rsidR="0059608E" w:rsidRPr="00AC0CC1" w14:paraId="15721627" w14:textId="77777777" w:rsidTr="00333388">
        <w:trPr>
          <w:trHeight w:val="283"/>
        </w:trPr>
        <w:tc>
          <w:tcPr>
            <w:tcW w:w="959" w:type="dxa"/>
            <w:vMerge/>
            <w:tcBorders>
              <w:left w:val="nil"/>
              <w:right w:val="nil"/>
            </w:tcBorders>
            <w:vAlign w:val="center"/>
            <w:hideMark/>
          </w:tcPr>
          <w:p w14:paraId="1572161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20"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21"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noWrap/>
            <w:vAlign w:val="center"/>
            <w:hideMark/>
          </w:tcPr>
          <w:p w14:paraId="15721622"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C. serrulata</w:t>
            </w:r>
          </w:p>
        </w:tc>
        <w:tc>
          <w:tcPr>
            <w:tcW w:w="1417" w:type="dxa"/>
            <w:tcBorders>
              <w:left w:val="nil"/>
              <w:right w:val="nil"/>
            </w:tcBorders>
            <w:shd w:val="clear" w:color="auto" w:fill="auto"/>
            <w:noWrap/>
            <w:vAlign w:val="center"/>
            <w:hideMark/>
          </w:tcPr>
          <w:p w14:paraId="1572162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10000</w:t>
            </w:r>
          </w:p>
        </w:tc>
        <w:tc>
          <w:tcPr>
            <w:tcW w:w="1843" w:type="dxa"/>
            <w:tcBorders>
              <w:left w:val="nil"/>
              <w:right w:val="nil"/>
            </w:tcBorders>
            <w:shd w:val="clear" w:color="auto" w:fill="auto"/>
            <w:noWrap/>
            <w:vAlign w:val="center"/>
            <w:hideMark/>
          </w:tcPr>
          <w:p w14:paraId="1572162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992" w:type="dxa"/>
            <w:tcBorders>
              <w:left w:val="nil"/>
              <w:right w:val="nil"/>
            </w:tcBorders>
            <w:shd w:val="clear" w:color="auto" w:fill="auto"/>
            <w:noWrap/>
            <w:vAlign w:val="center"/>
            <w:hideMark/>
          </w:tcPr>
          <w:p w14:paraId="15721625"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shd w:val="clear" w:color="auto" w:fill="auto"/>
            <w:noWrap/>
            <w:vAlign w:val="center"/>
            <w:hideMark/>
          </w:tcPr>
          <w:p w14:paraId="15721626"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Haynes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2000b</w:t>
            </w:r>
          </w:p>
        </w:tc>
      </w:tr>
      <w:tr w:rsidR="00072CDF" w:rsidRPr="00AC0CC1" w14:paraId="1572162C" w14:textId="77777777" w:rsidTr="00333388">
        <w:trPr>
          <w:trHeight w:val="283"/>
        </w:trPr>
        <w:tc>
          <w:tcPr>
            <w:tcW w:w="959" w:type="dxa"/>
            <w:vMerge/>
            <w:tcBorders>
              <w:left w:val="nil"/>
              <w:right w:val="nil"/>
            </w:tcBorders>
            <w:vAlign w:val="center"/>
            <w:hideMark/>
          </w:tcPr>
          <w:p w14:paraId="15721628"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29"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2A"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7797" w:type="dxa"/>
            <w:gridSpan w:val="5"/>
            <w:tcBorders>
              <w:left w:val="nil"/>
              <w:right w:val="nil"/>
            </w:tcBorders>
            <w:shd w:val="clear" w:color="auto" w:fill="auto"/>
            <w:noWrap/>
            <w:vAlign w:val="center"/>
            <w:hideMark/>
          </w:tcPr>
          <w:p w14:paraId="1572162B"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Coral - Isolated zooxanthellae</w:t>
            </w:r>
          </w:p>
        </w:tc>
      </w:tr>
      <w:tr w:rsidR="0059608E" w:rsidRPr="00AC0CC1" w14:paraId="15721635" w14:textId="77777777" w:rsidTr="00333388">
        <w:trPr>
          <w:trHeight w:val="283"/>
        </w:trPr>
        <w:tc>
          <w:tcPr>
            <w:tcW w:w="959" w:type="dxa"/>
            <w:vMerge/>
            <w:tcBorders>
              <w:left w:val="nil"/>
              <w:right w:val="nil"/>
            </w:tcBorders>
            <w:vAlign w:val="center"/>
            <w:hideMark/>
          </w:tcPr>
          <w:p w14:paraId="1572162D"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2E"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2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noWrap/>
            <w:vAlign w:val="center"/>
            <w:hideMark/>
          </w:tcPr>
          <w:p w14:paraId="15721630"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M. mirabilis</w:t>
            </w:r>
          </w:p>
        </w:tc>
        <w:tc>
          <w:tcPr>
            <w:tcW w:w="1417" w:type="dxa"/>
            <w:tcBorders>
              <w:left w:val="nil"/>
              <w:right w:val="nil"/>
            </w:tcBorders>
            <w:noWrap/>
            <w:vAlign w:val="center"/>
            <w:hideMark/>
          </w:tcPr>
          <w:p w14:paraId="15721631"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1843" w:type="dxa"/>
            <w:tcBorders>
              <w:left w:val="nil"/>
              <w:right w:val="nil"/>
            </w:tcBorders>
            <w:noWrap/>
            <w:vAlign w:val="center"/>
            <w:hideMark/>
          </w:tcPr>
          <w:p w14:paraId="15721632"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↓C</w:t>
            </w:r>
            <w:r w:rsidRPr="00AC0CC1">
              <w:rPr>
                <w:rFonts w:asciiTheme="minorHAnsi" w:eastAsia="Times New Roman" w:hAnsiTheme="minorHAnsi" w:cstheme="minorHAnsi"/>
                <w:color w:val="000000"/>
                <w:sz w:val="16"/>
                <w:szCs w:val="16"/>
                <w:vertAlign w:val="superscript"/>
                <w:lang w:val="en-AU" w:eastAsia="en-AU"/>
              </w:rPr>
              <w:t>14</w:t>
            </w:r>
            <w:r w:rsidRPr="00AC0CC1">
              <w:rPr>
                <w:rFonts w:asciiTheme="minorHAnsi" w:eastAsia="Times New Roman" w:hAnsiTheme="minorHAnsi" w:cstheme="minorHAnsi"/>
                <w:color w:val="000000"/>
                <w:sz w:val="16"/>
                <w:szCs w:val="16"/>
                <w:lang w:val="en-AU" w:eastAsia="en-AU"/>
              </w:rPr>
              <w:t xml:space="preserve"> incorporation</w:t>
            </w:r>
          </w:p>
        </w:tc>
        <w:tc>
          <w:tcPr>
            <w:tcW w:w="992" w:type="dxa"/>
            <w:tcBorders>
              <w:left w:val="nil"/>
              <w:right w:val="nil"/>
            </w:tcBorders>
            <w:noWrap/>
            <w:vAlign w:val="center"/>
            <w:hideMark/>
          </w:tcPr>
          <w:p w14:paraId="1572163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noWrap/>
            <w:vAlign w:val="center"/>
            <w:hideMark/>
          </w:tcPr>
          <w:p w14:paraId="1572163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Owen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2003</w:t>
            </w:r>
          </w:p>
        </w:tc>
      </w:tr>
      <w:tr w:rsidR="0059608E" w:rsidRPr="00AC0CC1" w14:paraId="1572163E" w14:textId="77777777" w:rsidTr="00333388">
        <w:trPr>
          <w:trHeight w:val="283"/>
        </w:trPr>
        <w:tc>
          <w:tcPr>
            <w:tcW w:w="959" w:type="dxa"/>
            <w:vMerge/>
            <w:tcBorders>
              <w:left w:val="nil"/>
              <w:right w:val="nil"/>
            </w:tcBorders>
            <w:vAlign w:val="center"/>
            <w:hideMark/>
          </w:tcPr>
          <w:p w14:paraId="1572163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3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3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39"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F. fragum</w:t>
            </w:r>
          </w:p>
        </w:tc>
        <w:tc>
          <w:tcPr>
            <w:tcW w:w="1417" w:type="dxa"/>
            <w:tcBorders>
              <w:left w:val="nil"/>
              <w:right w:val="nil"/>
            </w:tcBorders>
            <w:noWrap/>
            <w:vAlign w:val="center"/>
            <w:hideMark/>
          </w:tcPr>
          <w:p w14:paraId="1572163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2000</w:t>
            </w:r>
          </w:p>
        </w:tc>
        <w:tc>
          <w:tcPr>
            <w:tcW w:w="1843" w:type="dxa"/>
            <w:tcBorders>
              <w:left w:val="nil"/>
              <w:right w:val="nil"/>
            </w:tcBorders>
            <w:noWrap/>
            <w:vAlign w:val="center"/>
            <w:hideMark/>
          </w:tcPr>
          <w:p w14:paraId="1572163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↓C</w:t>
            </w:r>
            <w:r w:rsidRPr="00AC0CC1">
              <w:rPr>
                <w:rFonts w:asciiTheme="minorHAnsi" w:eastAsia="Times New Roman" w:hAnsiTheme="minorHAnsi" w:cstheme="minorHAnsi"/>
                <w:color w:val="000000"/>
                <w:sz w:val="16"/>
                <w:szCs w:val="16"/>
                <w:vertAlign w:val="superscript"/>
                <w:lang w:val="en-AU" w:eastAsia="en-AU"/>
              </w:rPr>
              <w:t>14</w:t>
            </w:r>
            <w:r w:rsidRPr="00AC0CC1">
              <w:rPr>
                <w:rFonts w:asciiTheme="minorHAnsi" w:eastAsia="Times New Roman" w:hAnsiTheme="minorHAnsi" w:cstheme="minorHAnsi"/>
                <w:color w:val="000000"/>
                <w:sz w:val="16"/>
                <w:szCs w:val="16"/>
                <w:lang w:val="en-AU" w:eastAsia="en-AU"/>
              </w:rPr>
              <w:t xml:space="preserve"> incorporation</w:t>
            </w:r>
          </w:p>
        </w:tc>
        <w:tc>
          <w:tcPr>
            <w:tcW w:w="992" w:type="dxa"/>
            <w:tcBorders>
              <w:left w:val="nil"/>
              <w:right w:val="nil"/>
            </w:tcBorders>
            <w:noWrap/>
            <w:vAlign w:val="center"/>
            <w:hideMark/>
          </w:tcPr>
          <w:p w14:paraId="1572163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noWrap/>
            <w:vAlign w:val="center"/>
            <w:hideMark/>
          </w:tcPr>
          <w:p w14:paraId="1572163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Owen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2003</w:t>
            </w:r>
          </w:p>
        </w:tc>
      </w:tr>
      <w:tr w:rsidR="0059608E" w:rsidRPr="00AC0CC1" w14:paraId="15721647" w14:textId="77777777" w:rsidTr="00333388">
        <w:trPr>
          <w:trHeight w:val="283"/>
        </w:trPr>
        <w:tc>
          <w:tcPr>
            <w:tcW w:w="959" w:type="dxa"/>
            <w:vMerge/>
            <w:tcBorders>
              <w:left w:val="nil"/>
              <w:right w:val="nil"/>
            </w:tcBorders>
            <w:vAlign w:val="center"/>
            <w:hideMark/>
          </w:tcPr>
          <w:p w14:paraId="1572163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40"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41"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noWrap/>
            <w:vAlign w:val="center"/>
            <w:hideMark/>
          </w:tcPr>
          <w:p w14:paraId="15721642"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D. strigosa</w:t>
            </w:r>
          </w:p>
        </w:tc>
        <w:tc>
          <w:tcPr>
            <w:tcW w:w="1417" w:type="dxa"/>
            <w:tcBorders>
              <w:left w:val="nil"/>
              <w:right w:val="nil"/>
            </w:tcBorders>
            <w:noWrap/>
            <w:vAlign w:val="center"/>
            <w:hideMark/>
          </w:tcPr>
          <w:p w14:paraId="1572164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2000</w:t>
            </w:r>
          </w:p>
        </w:tc>
        <w:tc>
          <w:tcPr>
            <w:tcW w:w="1843" w:type="dxa"/>
            <w:tcBorders>
              <w:left w:val="nil"/>
              <w:right w:val="nil"/>
            </w:tcBorders>
            <w:noWrap/>
            <w:vAlign w:val="center"/>
            <w:hideMark/>
          </w:tcPr>
          <w:p w14:paraId="1572164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↓C</w:t>
            </w:r>
            <w:r w:rsidRPr="00AC0CC1">
              <w:rPr>
                <w:rFonts w:asciiTheme="minorHAnsi" w:eastAsia="Times New Roman" w:hAnsiTheme="minorHAnsi" w:cstheme="minorHAnsi"/>
                <w:color w:val="000000"/>
                <w:sz w:val="16"/>
                <w:szCs w:val="16"/>
                <w:vertAlign w:val="superscript"/>
                <w:lang w:val="en-AU" w:eastAsia="en-AU"/>
              </w:rPr>
              <w:t>14</w:t>
            </w:r>
            <w:r w:rsidRPr="00AC0CC1">
              <w:rPr>
                <w:rFonts w:asciiTheme="minorHAnsi" w:eastAsia="Times New Roman" w:hAnsiTheme="minorHAnsi" w:cstheme="minorHAnsi"/>
                <w:color w:val="000000"/>
                <w:sz w:val="16"/>
                <w:szCs w:val="16"/>
                <w:lang w:val="en-AU" w:eastAsia="en-AU"/>
              </w:rPr>
              <w:t xml:space="preserve"> incorporation</w:t>
            </w:r>
          </w:p>
        </w:tc>
        <w:tc>
          <w:tcPr>
            <w:tcW w:w="992" w:type="dxa"/>
            <w:tcBorders>
              <w:left w:val="nil"/>
              <w:right w:val="nil"/>
            </w:tcBorders>
            <w:noWrap/>
            <w:vAlign w:val="center"/>
            <w:hideMark/>
          </w:tcPr>
          <w:p w14:paraId="15721645"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noWrap/>
            <w:vAlign w:val="center"/>
            <w:hideMark/>
          </w:tcPr>
          <w:p w14:paraId="15721646"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Owen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2003</w:t>
            </w:r>
          </w:p>
        </w:tc>
      </w:tr>
      <w:tr w:rsidR="00072CDF" w:rsidRPr="00AC0CC1" w14:paraId="1572164C" w14:textId="77777777" w:rsidTr="00333388">
        <w:trPr>
          <w:trHeight w:val="283"/>
        </w:trPr>
        <w:tc>
          <w:tcPr>
            <w:tcW w:w="959" w:type="dxa"/>
            <w:vMerge/>
            <w:tcBorders>
              <w:left w:val="nil"/>
              <w:right w:val="nil"/>
            </w:tcBorders>
            <w:vAlign w:val="center"/>
            <w:hideMark/>
          </w:tcPr>
          <w:p w14:paraId="15721648"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49"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4A"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7797" w:type="dxa"/>
            <w:gridSpan w:val="5"/>
            <w:tcBorders>
              <w:left w:val="nil"/>
              <w:right w:val="nil"/>
            </w:tcBorders>
            <w:shd w:val="clear" w:color="auto" w:fill="auto"/>
            <w:noWrap/>
            <w:vAlign w:val="center"/>
            <w:hideMark/>
          </w:tcPr>
          <w:p w14:paraId="1572164B"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Larvae</w:t>
            </w:r>
          </w:p>
        </w:tc>
      </w:tr>
      <w:tr w:rsidR="0059608E" w:rsidRPr="00AC0CC1" w14:paraId="15721655" w14:textId="77777777" w:rsidTr="00333388">
        <w:trPr>
          <w:trHeight w:val="283"/>
        </w:trPr>
        <w:tc>
          <w:tcPr>
            <w:tcW w:w="959" w:type="dxa"/>
            <w:vMerge/>
            <w:tcBorders>
              <w:left w:val="nil"/>
              <w:right w:val="nil"/>
            </w:tcBorders>
            <w:vAlign w:val="center"/>
            <w:hideMark/>
          </w:tcPr>
          <w:p w14:paraId="1572164D"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4E"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4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noWrap/>
            <w:vAlign w:val="center"/>
            <w:hideMark/>
          </w:tcPr>
          <w:p w14:paraId="15721650"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millepora</w:t>
            </w:r>
          </w:p>
        </w:tc>
        <w:tc>
          <w:tcPr>
            <w:tcW w:w="1417" w:type="dxa"/>
            <w:tcBorders>
              <w:left w:val="nil"/>
              <w:right w:val="nil"/>
            </w:tcBorders>
            <w:shd w:val="clear" w:color="auto" w:fill="auto"/>
            <w:noWrap/>
            <w:vAlign w:val="center"/>
            <w:hideMark/>
          </w:tcPr>
          <w:p w14:paraId="15721651"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300</w:t>
            </w:r>
          </w:p>
        </w:tc>
        <w:tc>
          <w:tcPr>
            <w:tcW w:w="1843" w:type="dxa"/>
            <w:tcBorders>
              <w:left w:val="nil"/>
              <w:right w:val="nil"/>
            </w:tcBorders>
            <w:shd w:val="clear" w:color="auto" w:fill="auto"/>
            <w:noWrap/>
            <w:vAlign w:val="center"/>
            <w:hideMark/>
          </w:tcPr>
          <w:p w14:paraId="15721652"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Metamorphosis</w:t>
            </w:r>
          </w:p>
        </w:tc>
        <w:tc>
          <w:tcPr>
            <w:tcW w:w="992" w:type="dxa"/>
            <w:tcBorders>
              <w:left w:val="nil"/>
              <w:right w:val="nil"/>
            </w:tcBorders>
            <w:shd w:val="clear" w:color="auto" w:fill="auto"/>
            <w:noWrap/>
            <w:vAlign w:val="center"/>
            <w:hideMark/>
          </w:tcPr>
          <w:p w14:paraId="1572165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LOEC</w:t>
            </w:r>
          </w:p>
        </w:tc>
        <w:tc>
          <w:tcPr>
            <w:tcW w:w="2127" w:type="dxa"/>
            <w:tcBorders>
              <w:left w:val="nil"/>
              <w:right w:val="nil"/>
            </w:tcBorders>
            <w:shd w:val="clear" w:color="auto" w:fill="auto"/>
            <w:noWrap/>
            <w:vAlign w:val="center"/>
            <w:hideMark/>
          </w:tcPr>
          <w:p w14:paraId="1572165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59608E" w:rsidRPr="00AC0CC1" w14:paraId="1572165E" w14:textId="77777777" w:rsidTr="00333388">
        <w:trPr>
          <w:trHeight w:val="283"/>
        </w:trPr>
        <w:tc>
          <w:tcPr>
            <w:tcW w:w="959" w:type="dxa"/>
            <w:vMerge/>
            <w:tcBorders>
              <w:left w:val="nil"/>
              <w:right w:val="nil"/>
            </w:tcBorders>
            <w:vAlign w:val="center"/>
            <w:hideMark/>
          </w:tcPr>
          <w:p w14:paraId="1572165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5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5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noWrap/>
            <w:vAlign w:val="center"/>
            <w:hideMark/>
          </w:tcPr>
          <w:p w14:paraId="15721659" w14:textId="77777777" w:rsidR="0059608E" w:rsidRPr="00AC0CC1" w:rsidRDefault="0059608E" w:rsidP="00305AC4">
            <w:pPr>
              <w:spacing w:before="40" w:after="40" w:line="276" w:lineRule="auto"/>
              <w:jc w:val="left"/>
              <w:rPr>
                <w:rFonts w:asciiTheme="minorHAnsi" w:eastAsia="Times New Roman" w:hAnsiTheme="minorHAnsi" w:cstheme="minorHAnsi"/>
                <w:b/>
                <w:bCs/>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Coral recruits</w:t>
            </w:r>
          </w:p>
        </w:tc>
        <w:tc>
          <w:tcPr>
            <w:tcW w:w="1417" w:type="dxa"/>
            <w:tcBorders>
              <w:left w:val="nil"/>
              <w:right w:val="nil"/>
            </w:tcBorders>
            <w:shd w:val="clear" w:color="auto" w:fill="auto"/>
            <w:noWrap/>
            <w:vAlign w:val="center"/>
            <w:hideMark/>
          </w:tcPr>
          <w:p w14:paraId="1572165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p>
        </w:tc>
        <w:tc>
          <w:tcPr>
            <w:tcW w:w="1843" w:type="dxa"/>
            <w:tcBorders>
              <w:left w:val="nil"/>
              <w:right w:val="nil"/>
            </w:tcBorders>
            <w:shd w:val="clear" w:color="auto" w:fill="auto"/>
            <w:noWrap/>
            <w:vAlign w:val="center"/>
            <w:hideMark/>
          </w:tcPr>
          <w:p w14:paraId="1572165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p>
        </w:tc>
        <w:tc>
          <w:tcPr>
            <w:tcW w:w="992" w:type="dxa"/>
            <w:tcBorders>
              <w:left w:val="nil"/>
              <w:right w:val="nil"/>
            </w:tcBorders>
            <w:shd w:val="clear" w:color="auto" w:fill="auto"/>
            <w:noWrap/>
            <w:vAlign w:val="center"/>
            <w:hideMark/>
          </w:tcPr>
          <w:p w14:paraId="1572165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p>
        </w:tc>
        <w:tc>
          <w:tcPr>
            <w:tcW w:w="2127" w:type="dxa"/>
            <w:tcBorders>
              <w:left w:val="nil"/>
              <w:right w:val="nil"/>
            </w:tcBorders>
            <w:shd w:val="clear" w:color="auto" w:fill="auto"/>
            <w:noWrap/>
            <w:vAlign w:val="center"/>
            <w:hideMark/>
          </w:tcPr>
          <w:p w14:paraId="1572165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p>
        </w:tc>
      </w:tr>
      <w:tr w:rsidR="0059608E" w:rsidRPr="00AC0CC1" w14:paraId="15721667" w14:textId="77777777" w:rsidTr="00333388">
        <w:trPr>
          <w:trHeight w:val="283"/>
        </w:trPr>
        <w:tc>
          <w:tcPr>
            <w:tcW w:w="959" w:type="dxa"/>
            <w:vMerge/>
            <w:tcBorders>
              <w:left w:val="nil"/>
              <w:right w:val="nil"/>
            </w:tcBorders>
            <w:vAlign w:val="center"/>
            <w:hideMark/>
          </w:tcPr>
          <w:p w14:paraId="1572165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60"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61"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vAlign w:val="center"/>
            <w:hideMark/>
          </w:tcPr>
          <w:p w14:paraId="15721662"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damicornis</w:t>
            </w:r>
          </w:p>
        </w:tc>
        <w:tc>
          <w:tcPr>
            <w:tcW w:w="1417" w:type="dxa"/>
            <w:tcBorders>
              <w:left w:val="nil"/>
              <w:right w:val="nil"/>
            </w:tcBorders>
            <w:shd w:val="clear" w:color="auto" w:fill="auto"/>
            <w:vAlign w:val="center"/>
            <w:hideMark/>
          </w:tcPr>
          <w:p w14:paraId="1572166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1000</w:t>
            </w:r>
          </w:p>
        </w:tc>
        <w:tc>
          <w:tcPr>
            <w:tcW w:w="1843" w:type="dxa"/>
            <w:tcBorders>
              <w:left w:val="nil"/>
              <w:right w:val="nil"/>
            </w:tcBorders>
            <w:shd w:val="clear" w:color="auto" w:fill="auto"/>
            <w:vAlign w:val="center"/>
            <w:hideMark/>
          </w:tcPr>
          <w:p w14:paraId="1572166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shd w:val="clear" w:color="auto" w:fill="auto"/>
            <w:vAlign w:val="center"/>
            <w:hideMark/>
          </w:tcPr>
          <w:p w14:paraId="15721665"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shd w:val="clear" w:color="auto" w:fill="auto"/>
            <w:vAlign w:val="center"/>
            <w:hideMark/>
          </w:tcPr>
          <w:p w14:paraId="15721666"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59608E" w:rsidRPr="00AC0CC1" w14:paraId="15721670" w14:textId="77777777" w:rsidTr="00333388">
        <w:trPr>
          <w:trHeight w:val="283"/>
        </w:trPr>
        <w:tc>
          <w:tcPr>
            <w:tcW w:w="959" w:type="dxa"/>
            <w:vMerge/>
            <w:tcBorders>
              <w:left w:val="nil"/>
              <w:right w:val="nil"/>
            </w:tcBorders>
            <w:vAlign w:val="center"/>
            <w:hideMark/>
          </w:tcPr>
          <w:p w14:paraId="1572166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69"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6A"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noWrap/>
            <w:vAlign w:val="center"/>
            <w:hideMark/>
          </w:tcPr>
          <w:p w14:paraId="1572166B"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damicornis</w:t>
            </w:r>
          </w:p>
        </w:tc>
        <w:tc>
          <w:tcPr>
            <w:tcW w:w="1417" w:type="dxa"/>
            <w:tcBorders>
              <w:left w:val="nil"/>
              <w:right w:val="nil"/>
            </w:tcBorders>
            <w:shd w:val="clear" w:color="auto" w:fill="auto"/>
            <w:noWrap/>
            <w:vAlign w:val="center"/>
            <w:hideMark/>
          </w:tcPr>
          <w:p w14:paraId="1572166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10000</w:t>
            </w:r>
          </w:p>
        </w:tc>
        <w:tc>
          <w:tcPr>
            <w:tcW w:w="1843" w:type="dxa"/>
            <w:tcBorders>
              <w:left w:val="nil"/>
              <w:right w:val="nil"/>
            </w:tcBorders>
            <w:shd w:val="clear" w:color="auto" w:fill="auto"/>
            <w:noWrap/>
            <w:vAlign w:val="center"/>
            <w:hideMark/>
          </w:tcPr>
          <w:p w14:paraId="1572166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Loss of algae</w:t>
            </w:r>
          </w:p>
        </w:tc>
        <w:tc>
          <w:tcPr>
            <w:tcW w:w="992" w:type="dxa"/>
            <w:tcBorders>
              <w:left w:val="nil"/>
              <w:right w:val="nil"/>
            </w:tcBorders>
            <w:shd w:val="clear" w:color="auto" w:fill="auto"/>
            <w:noWrap/>
            <w:vAlign w:val="center"/>
            <w:hideMark/>
          </w:tcPr>
          <w:p w14:paraId="1572166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shd w:val="clear" w:color="auto" w:fill="auto"/>
            <w:noWrap/>
            <w:vAlign w:val="center"/>
            <w:hideMark/>
          </w:tcPr>
          <w:p w14:paraId="1572166F"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2005</w:t>
            </w:r>
          </w:p>
        </w:tc>
      </w:tr>
      <w:tr w:rsidR="00072CDF" w:rsidRPr="00AC0CC1" w14:paraId="15721675" w14:textId="77777777" w:rsidTr="00333388">
        <w:trPr>
          <w:trHeight w:val="283"/>
        </w:trPr>
        <w:tc>
          <w:tcPr>
            <w:tcW w:w="959" w:type="dxa"/>
            <w:vMerge/>
            <w:tcBorders>
              <w:left w:val="nil"/>
              <w:right w:val="nil"/>
            </w:tcBorders>
            <w:vAlign w:val="center"/>
            <w:hideMark/>
          </w:tcPr>
          <w:p w14:paraId="15721671"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72"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73"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7797" w:type="dxa"/>
            <w:gridSpan w:val="5"/>
            <w:tcBorders>
              <w:left w:val="nil"/>
              <w:right w:val="nil"/>
            </w:tcBorders>
            <w:shd w:val="clear" w:color="auto" w:fill="auto"/>
            <w:vAlign w:val="center"/>
            <w:hideMark/>
          </w:tcPr>
          <w:p w14:paraId="15721674"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Coral - Adult colonies</w:t>
            </w:r>
          </w:p>
        </w:tc>
      </w:tr>
      <w:tr w:rsidR="0059608E" w:rsidRPr="00AC0CC1" w14:paraId="1572167E" w14:textId="77777777" w:rsidTr="00333388">
        <w:trPr>
          <w:trHeight w:val="283"/>
        </w:trPr>
        <w:tc>
          <w:tcPr>
            <w:tcW w:w="959" w:type="dxa"/>
            <w:vMerge/>
            <w:tcBorders>
              <w:left w:val="nil"/>
              <w:right w:val="nil"/>
            </w:tcBorders>
            <w:vAlign w:val="center"/>
            <w:hideMark/>
          </w:tcPr>
          <w:p w14:paraId="1572167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7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7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79"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formosa</w:t>
            </w:r>
          </w:p>
        </w:tc>
        <w:tc>
          <w:tcPr>
            <w:tcW w:w="1417" w:type="dxa"/>
            <w:tcBorders>
              <w:left w:val="nil"/>
              <w:right w:val="nil"/>
            </w:tcBorders>
            <w:vAlign w:val="center"/>
            <w:hideMark/>
          </w:tcPr>
          <w:p w14:paraId="1572167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1843" w:type="dxa"/>
            <w:tcBorders>
              <w:left w:val="nil"/>
              <w:right w:val="nil"/>
            </w:tcBorders>
            <w:vAlign w:val="center"/>
            <w:hideMark/>
          </w:tcPr>
          <w:p w14:paraId="1572167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vAlign w:val="center"/>
            <w:hideMark/>
          </w:tcPr>
          <w:p w14:paraId="1572167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vAlign w:val="center"/>
            <w:hideMark/>
          </w:tcPr>
          <w:p w14:paraId="1572167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2003</w:t>
            </w:r>
          </w:p>
        </w:tc>
      </w:tr>
      <w:tr w:rsidR="0059608E" w:rsidRPr="00AC0CC1" w14:paraId="15721687" w14:textId="77777777" w:rsidTr="00333388">
        <w:trPr>
          <w:trHeight w:val="283"/>
        </w:trPr>
        <w:tc>
          <w:tcPr>
            <w:tcW w:w="959" w:type="dxa"/>
            <w:vMerge/>
            <w:tcBorders>
              <w:left w:val="nil"/>
              <w:right w:val="nil"/>
            </w:tcBorders>
            <w:vAlign w:val="center"/>
            <w:hideMark/>
          </w:tcPr>
          <w:p w14:paraId="1572167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80"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81"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82"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cylindrica</w:t>
            </w:r>
          </w:p>
        </w:tc>
        <w:tc>
          <w:tcPr>
            <w:tcW w:w="1417" w:type="dxa"/>
            <w:tcBorders>
              <w:left w:val="nil"/>
              <w:right w:val="nil"/>
            </w:tcBorders>
            <w:noWrap/>
            <w:vAlign w:val="center"/>
            <w:hideMark/>
          </w:tcPr>
          <w:p w14:paraId="1572168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1843" w:type="dxa"/>
            <w:tcBorders>
              <w:left w:val="nil"/>
              <w:right w:val="nil"/>
            </w:tcBorders>
            <w:noWrap/>
            <w:vAlign w:val="center"/>
            <w:hideMark/>
          </w:tcPr>
          <w:p w14:paraId="1572168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noWrap/>
            <w:vAlign w:val="center"/>
            <w:hideMark/>
          </w:tcPr>
          <w:p w14:paraId="15721685"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noWrap/>
            <w:vAlign w:val="center"/>
            <w:hideMark/>
          </w:tcPr>
          <w:p w14:paraId="15721686"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2003</w:t>
            </w:r>
          </w:p>
        </w:tc>
      </w:tr>
      <w:tr w:rsidR="0059608E" w:rsidRPr="00AC0CC1" w14:paraId="15721690" w14:textId="77777777" w:rsidTr="00333388">
        <w:trPr>
          <w:trHeight w:val="283"/>
        </w:trPr>
        <w:tc>
          <w:tcPr>
            <w:tcW w:w="959" w:type="dxa"/>
            <w:vMerge/>
            <w:tcBorders>
              <w:left w:val="nil"/>
              <w:right w:val="nil"/>
            </w:tcBorders>
            <w:vAlign w:val="center"/>
            <w:hideMark/>
          </w:tcPr>
          <w:p w14:paraId="1572168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89"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8A"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8B"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M. digitata</w:t>
            </w:r>
          </w:p>
        </w:tc>
        <w:tc>
          <w:tcPr>
            <w:tcW w:w="1417" w:type="dxa"/>
            <w:tcBorders>
              <w:left w:val="nil"/>
              <w:right w:val="nil"/>
            </w:tcBorders>
            <w:vAlign w:val="center"/>
            <w:hideMark/>
          </w:tcPr>
          <w:p w14:paraId="1572168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1843" w:type="dxa"/>
            <w:tcBorders>
              <w:left w:val="nil"/>
              <w:right w:val="nil"/>
            </w:tcBorders>
            <w:vAlign w:val="center"/>
            <w:hideMark/>
          </w:tcPr>
          <w:p w14:paraId="1572168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vAlign w:val="center"/>
            <w:hideMark/>
          </w:tcPr>
          <w:p w14:paraId="1572168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vAlign w:val="center"/>
            <w:hideMark/>
          </w:tcPr>
          <w:p w14:paraId="1572168F"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2003</w:t>
            </w:r>
          </w:p>
        </w:tc>
      </w:tr>
      <w:tr w:rsidR="0059608E" w:rsidRPr="00AC0CC1" w14:paraId="15721699" w14:textId="77777777" w:rsidTr="00333388">
        <w:trPr>
          <w:trHeight w:val="283"/>
        </w:trPr>
        <w:tc>
          <w:tcPr>
            <w:tcW w:w="959" w:type="dxa"/>
            <w:vMerge/>
            <w:tcBorders>
              <w:left w:val="nil"/>
              <w:right w:val="nil"/>
            </w:tcBorders>
            <w:vAlign w:val="center"/>
            <w:hideMark/>
          </w:tcPr>
          <w:p w14:paraId="15721691"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92"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93"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94"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hystrix</w:t>
            </w:r>
          </w:p>
        </w:tc>
        <w:tc>
          <w:tcPr>
            <w:tcW w:w="1417" w:type="dxa"/>
            <w:tcBorders>
              <w:left w:val="nil"/>
              <w:right w:val="nil"/>
            </w:tcBorders>
            <w:vAlign w:val="center"/>
            <w:hideMark/>
          </w:tcPr>
          <w:p w14:paraId="15721695"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1843" w:type="dxa"/>
            <w:tcBorders>
              <w:left w:val="nil"/>
              <w:right w:val="nil"/>
            </w:tcBorders>
            <w:vAlign w:val="center"/>
            <w:hideMark/>
          </w:tcPr>
          <w:p w14:paraId="15721696"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vAlign w:val="center"/>
            <w:hideMark/>
          </w:tcPr>
          <w:p w14:paraId="15721697"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vAlign w:val="center"/>
            <w:hideMark/>
          </w:tcPr>
          <w:p w14:paraId="15721698"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2003, Jones 2004</w:t>
            </w:r>
          </w:p>
        </w:tc>
      </w:tr>
      <w:tr w:rsidR="0059608E" w:rsidRPr="00AC0CC1" w14:paraId="157216A2" w14:textId="77777777" w:rsidTr="00333388">
        <w:trPr>
          <w:trHeight w:val="283"/>
        </w:trPr>
        <w:tc>
          <w:tcPr>
            <w:tcW w:w="959" w:type="dxa"/>
            <w:vMerge/>
            <w:tcBorders>
              <w:left w:val="nil"/>
              <w:right w:val="nil"/>
            </w:tcBorders>
            <w:vAlign w:val="center"/>
            <w:hideMark/>
          </w:tcPr>
          <w:p w14:paraId="1572169A"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9B"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9C"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9D"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millepora</w:t>
            </w:r>
          </w:p>
        </w:tc>
        <w:tc>
          <w:tcPr>
            <w:tcW w:w="1417" w:type="dxa"/>
            <w:tcBorders>
              <w:left w:val="nil"/>
              <w:right w:val="nil"/>
            </w:tcBorders>
            <w:vAlign w:val="center"/>
            <w:hideMark/>
          </w:tcPr>
          <w:p w14:paraId="1572169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1843" w:type="dxa"/>
            <w:tcBorders>
              <w:left w:val="nil"/>
              <w:right w:val="nil"/>
            </w:tcBorders>
            <w:vAlign w:val="center"/>
            <w:hideMark/>
          </w:tcPr>
          <w:p w14:paraId="1572169F"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vAlign w:val="center"/>
            <w:hideMark/>
          </w:tcPr>
          <w:p w14:paraId="157216A0"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vAlign w:val="center"/>
            <w:hideMark/>
          </w:tcPr>
          <w:p w14:paraId="157216A1"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2005</w:t>
            </w:r>
          </w:p>
        </w:tc>
      </w:tr>
      <w:tr w:rsidR="0059608E" w:rsidRPr="00AC0CC1" w14:paraId="157216AB" w14:textId="77777777" w:rsidTr="00333388">
        <w:trPr>
          <w:trHeight w:val="283"/>
        </w:trPr>
        <w:tc>
          <w:tcPr>
            <w:tcW w:w="959" w:type="dxa"/>
            <w:vMerge/>
            <w:tcBorders>
              <w:left w:val="nil"/>
              <w:right w:val="nil"/>
            </w:tcBorders>
            <w:vAlign w:val="center"/>
            <w:hideMark/>
          </w:tcPr>
          <w:p w14:paraId="157216A3"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A4"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A5"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A6"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damicornis</w:t>
            </w:r>
          </w:p>
        </w:tc>
        <w:tc>
          <w:tcPr>
            <w:tcW w:w="1417" w:type="dxa"/>
            <w:tcBorders>
              <w:left w:val="nil"/>
              <w:right w:val="nil"/>
            </w:tcBorders>
            <w:vAlign w:val="center"/>
            <w:hideMark/>
          </w:tcPr>
          <w:p w14:paraId="157216A7"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1843" w:type="dxa"/>
            <w:tcBorders>
              <w:left w:val="nil"/>
              <w:right w:val="nil"/>
            </w:tcBorders>
            <w:vAlign w:val="center"/>
            <w:hideMark/>
          </w:tcPr>
          <w:p w14:paraId="157216A8"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vAlign w:val="center"/>
            <w:hideMark/>
          </w:tcPr>
          <w:p w14:paraId="157216A9"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vAlign w:val="center"/>
            <w:hideMark/>
          </w:tcPr>
          <w:p w14:paraId="157216A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59608E" w:rsidRPr="00AC0CC1" w14:paraId="157216B4" w14:textId="77777777" w:rsidTr="00333388">
        <w:trPr>
          <w:trHeight w:val="283"/>
        </w:trPr>
        <w:tc>
          <w:tcPr>
            <w:tcW w:w="959" w:type="dxa"/>
            <w:vMerge/>
            <w:tcBorders>
              <w:left w:val="nil"/>
              <w:right w:val="nil"/>
            </w:tcBorders>
            <w:vAlign w:val="center"/>
            <w:hideMark/>
          </w:tcPr>
          <w:p w14:paraId="157216AC"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AD"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AE"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AF"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hystrix</w:t>
            </w:r>
          </w:p>
        </w:tc>
        <w:tc>
          <w:tcPr>
            <w:tcW w:w="1417" w:type="dxa"/>
            <w:tcBorders>
              <w:left w:val="nil"/>
              <w:right w:val="nil"/>
            </w:tcBorders>
            <w:vAlign w:val="center"/>
            <w:hideMark/>
          </w:tcPr>
          <w:p w14:paraId="157216B0"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2300</w:t>
            </w:r>
          </w:p>
        </w:tc>
        <w:tc>
          <w:tcPr>
            <w:tcW w:w="1843" w:type="dxa"/>
            <w:tcBorders>
              <w:left w:val="nil"/>
              <w:right w:val="nil"/>
            </w:tcBorders>
            <w:vAlign w:val="center"/>
            <w:hideMark/>
          </w:tcPr>
          <w:p w14:paraId="157216B1"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vAlign w:val="center"/>
            <w:hideMark/>
          </w:tcPr>
          <w:p w14:paraId="157216B2"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EC50</w:t>
            </w:r>
          </w:p>
        </w:tc>
        <w:tc>
          <w:tcPr>
            <w:tcW w:w="2127" w:type="dxa"/>
            <w:tcBorders>
              <w:left w:val="nil"/>
              <w:right w:val="nil"/>
            </w:tcBorders>
            <w:vAlign w:val="center"/>
            <w:hideMark/>
          </w:tcPr>
          <w:p w14:paraId="157216B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2003</w:t>
            </w:r>
          </w:p>
        </w:tc>
      </w:tr>
      <w:tr w:rsidR="0059608E" w:rsidRPr="00AC0CC1" w14:paraId="157216BD" w14:textId="77777777" w:rsidTr="00333388">
        <w:trPr>
          <w:trHeight w:val="283"/>
        </w:trPr>
        <w:tc>
          <w:tcPr>
            <w:tcW w:w="959" w:type="dxa"/>
            <w:vMerge/>
            <w:tcBorders>
              <w:left w:val="nil"/>
              <w:right w:val="nil"/>
            </w:tcBorders>
            <w:vAlign w:val="center"/>
            <w:hideMark/>
          </w:tcPr>
          <w:p w14:paraId="157216B5"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B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B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B8"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formosa</w:t>
            </w:r>
          </w:p>
        </w:tc>
        <w:tc>
          <w:tcPr>
            <w:tcW w:w="1417" w:type="dxa"/>
            <w:tcBorders>
              <w:left w:val="nil"/>
              <w:right w:val="nil"/>
            </w:tcBorders>
            <w:vAlign w:val="center"/>
            <w:hideMark/>
          </w:tcPr>
          <w:p w14:paraId="157216B9"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2700</w:t>
            </w:r>
          </w:p>
        </w:tc>
        <w:tc>
          <w:tcPr>
            <w:tcW w:w="1843" w:type="dxa"/>
            <w:tcBorders>
              <w:left w:val="nil"/>
              <w:right w:val="nil"/>
            </w:tcBorders>
            <w:vAlign w:val="center"/>
            <w:hideMark/>
          </w:tcPr>
          <w:p w14:paraId="157216B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vAlign w:val="center"/>
            <w:hideMark/>
          </w:tcPr>
          <w:p w14:paraId="157216B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EC50</w:t>
            </w:r>
          </w:p>
        </w:tc>
        <w:tc>
          <w:tcPr>
            <w:tcW w:w="2127" w:type="dxa"/>
            <w:tcBorders>
              <w:left w:val="nil"/>
              <w:right w:val="nil"/>
            </w:tcBorders>
            <w:vAlign w:val="center"/>
            <w:hideMark/>
          </w:tcPr>
          <w:p w14:paraId="157216B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 &amp; Kerswell, 2003</w:t>
            </w:r>
          </w:p>
        </w:tc>
      </w:tr>
      <w:tr w:rsidR="0059608E" w:rsidRPr="00AC0CC1" w14:paraId="157216C6" w14:textId="77777777" w:rsidTr="00333388">
        <w:trPr>
          <w:trHeight w:val="283"/>
        </w:trPr>
        <w:tc>
          <w:tcPr>
            <w:tcW w:w="959" w:type="dxa"/>
            <w:vMerge/>
            <w:tcBorders>
              <w:left w:val="nil"/>
              <w:right w:val="nil"/>
            </w:tcBorders>
            <w:vAlign w:val="center"/>
            <w:hideMark/>
          </w:tcPr>
          <w:p w14:paraId="157216BE"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BF"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C0"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C1"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M. digitata</w:t>
            </w:r>
          </w:p>
        </w:tc>
        <w:tc>
          <w:tcPr>
            <w:tcW w:w="1417" w:type="dxa"/>
            <w:tcBorders>
              <w:left w:val="nil"/>
              <w:right w:val="nil"/>
            </w:tcBorders>
            <w:vAlign w:val="center"/>
            <w:hideMark/>
          </w:tcPr>
          <w:p w14:paraId="157216C2"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10000</w:t>
            </w:r>
          </w:p>
        </w:tc>
        <w:tc>
          <w:tcPr>
            <w:tcW w:w="1843" w:type="dxa"/>
            <w:tcBorders>
              <w:left w:val="nil"/>
              <w:right w:val="nil"/>
            </w:tcBorders>
            <w:vAlign w:val="center"/>
            <w:hideMark/>
          </w:tcPr>
          <w:p w14:paraId="157216C3"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Loss of algae</w:t>
            </w:r>
          </w:p>
        </w:tc>
        <w:tc>
          <w:tcPr>
            <w:tcW w:w="992" w:type="dxa"/>
            <w:tcBorders>
              <w:left w:val="nil"/>
              <w:right w:val="nil"/>
            </w:tcBorders>
            <w:vAlign w:val="center"/>
            <w:hideMark/>
          </w:tcPr>
          <w:p w14:paraId="157216C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vAlign w:val="center"/>
            <w:hideMark/>
          </w:tcPr>
          <w:p w14:paraId="157216C5"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2003</w:t>
            </w:r>
          </w:p>
        </w:tc>
      </w:tr>
      <w:tr w:rsidR="0059608E" w:rsidRPr="00AC0CC1" w14:paraId="157216CF" w14:textId="77777777" w:rsidTr="00333388">
        <w:trPr>
          <w:trHeight w:val="283"/>
        </w:trPr>
        <w:tc>
          <w:tcPr>
            <w:tcW w:w="959" w:type="dxa"/>
            <w:vMerge/>
            <w:tcBorders>
              <w:left w:val="nil"/>
              <w:right w:val="nil"/>
            </w:tcBorders>
            <w:vAlign w:val="center"/>
            <w:hideMark/>
          </w:tcPr>
          <w:p w14:paraId="157216C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C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C9"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CA"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damicornis</w:t>
            </w:r>
          </w:p>
        </w:tc>
        <w:tc>
          <w:tcPr>
            <w:tcW w:w="1417" w:type="dxa"/>
            <w:tcBorders>
              <w:left w:val="nil"/>
              <w:right w:val="nil"/>
            </w:tcBorders>
            <w:vAlign w:val="center"/>
            <w:hideMark/>
          </w:tcPr>
          <w:p w14:paraId="157216C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10000</w:t>
            </w:r>
          </w:p>
        </w:tc>
        <w:tc>
          <w:tcPr>
            <w:tcW w:w="1843" w:type="dxa"/>
            <w:tcBorders>
              <w:left w:val="nil"/>
              <w:right w:val="nil"/>
            </w:tcBorders>
            <w:vAlign w:val="center"/>
            <w:hideMark/>
          </w:tcPr>
          <w:p w14:paraId="157216C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Loss of algae</w:t>
            </w:r>
          </w:p>
        </w:tc>
        <w:tc>
          <w:tcPr>
            <w:tcW w:w="992" w:type="dxa"/>
            <w:tcBorders>
              <w:left w:val="nil"/>
              <w:right w:val="nil"/>
            </w:tcBorders>
            <w:vAlign w:val="center"/>
            <w:hideMark/>
          </w:tcPr>
          <w:p w14:paraId="157216C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vAlign w:val="center"/>
            <w:hideMark/>
          </w:tcPr>
          <w:p w14:paraId="157216C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59608E" w:rsidRPr="00AC0CC1" w14:paraId="157216D8" w14:textId="77777777" w:rsidTr="00333388">
        <w:trPr>
          <w:trHeight w:val="283"/>
        </w:trPr>
        <w:tc>
          <w:tcPr>
            <w:tcW w:w="959" w:type="dxa"/>
            <w:vMerge/>
            <w:tcBorders>
              <w:left w:val="nil"/>
              <w:right w:val="nil"/>
            </w:tcBorders>
            <w:vAlign w:val="center"/>
            <w:hideMark/>
          </w:tcPr>
          <w:p w14:paraId="157216D0"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D1"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D2"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D3"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hystrix</w:t>
            </w:r>
          </w:p>
        </w:tc>
        <w:tc>
          <w:tcPr>
            <w:tcW w:w="1417" w:type="dxa"/>
            <w:tcBorders>
              <w:left w:val="nil"/>
              <w:right w:val="nil"/>
            </w:tcBorders>
            <w:vAlign w:val="center"/>
            <w:hideMark/>
          </w:tcPr>
          <w:p w14:paraId="157216D4"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10000</w:t>
            </w:r>
          </w:p>
        </w:tc>
        <w:tc>
          <w:tcPr>
            <w:tcW w:w="1843" w:type="dxa"/>
            <w:tcBorders>
              <w:left w:val="nil"/>
              <w:right w:val="nil"/>
            </w:tcBorders>
            <w:vAlign w:val="center"/>
            <w:hideMark/>
          </w:tcPr>
          <w:p w14:paraId="157216D5"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Loss of algae</w:t>
            </w:r>
          </w:p>
        </w:tc>
        <w:tc>
          <w:tcPr>
            <w:tcW w:w="992" w:type="dxa"/>
            <w:tcBorders>
              <w:left w:val="nil"/>
              <w:right w:val="nil"/>
            </w:tcBorders>
            <w:vAlign w:val="center"/>
            <w:hideMark/>
          </w:tcPr>
          <w:p w14:paraId="157216D6"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vAlign w:val="center"/>
            <w:hideMark/>
          </w:tcPr>
          <w:p w14:paraId="157216D7"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 2004</w:t>
            </w:r>
          </w:p>
        </w:tc>
      </w:tr>
      <w:tr w:rsidR="0059608E" w:rsidRPr="00AC0CC1" w14:paraId="157216E1" w14:textId="77777777" w:rsidTr="00333388">
        <w:trPr>
          <w:trHeight w:val="283"/>
        </w:trPr>
        <w:tc>
          <w:tcPr>
            <w:tcW w:w="959" w:type="dxa"/>
            <w:vMerge/>
            <w:tcBorders>
              <w:left w:val="nil"/>
              <w:right w:val="nil"/>
            </w:tcBorders>
            <w:vAlign w:val="center"/>
            <w:hideMark/>
          </w:tcPr>
          <w:p w14:paraId="157216D9"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DA"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DB"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6DC"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cylindrica</w:t>
            </w:r>
          </w:p>
        </w:tc>
        <w:tc>
          <w:tcPr>
            <w:tcW w:w="1417" w:type="dxa"/>
            <w:tcBorders>
              <w:left w:val="nil"/>
              <w:right w:val="nil"/>
            </w:tcBorders>
            <w:vAlign w:val="center"/>
            <w:hideMark/>
          </w:tcPr>
          <w:p w14:paraId="157216D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10000</w:t>
            </w:r>
          </w:p>
        </w:tc>
        <w:tc>
          <w:tcPr>
            <w:tcW w:w="1843" w:type="dxa"/>
            <w:tcBorders>
              <w:left w:val="nil"/>
              <w:right w:val="nil"/>
            </w:tcBorders>
            <w:vAlign w:val="center"/>
            <w:hideMark/>
          </w:tcPr>
          <w:p w14:paraId="157216D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GPP* rate, GPP to respiration ration, effective quantum yield</w:t>
            </w:r>
          </w:p>
        </w:tc>
        <w:tc>
          <w:tcPr>
            <w:tcW w:w="992" w:type="dxa"/>
            <w:tcBorders>
              <w:left w:val="nil"/>
              <w:right w:val="nil"/>
            </w:tcBorders>
            <w:vAlign w:val="center"/>
            <w:hideMark/>
          </w:tcPr>
          <w:p w14:paraId="157216DF"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vAlign w:val="center"/>
            <w:hideMark/>
          </w:tcPr>
          <w:p w14:paraId="157216E0"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Råberg</w:t>
            </w:r>
            <w:r w:rsidRPr="00AC0CC1">
              <w:rPr>
                <w:rFonts w:asciiTheme="minorHAnsi" w:eastAsia="Times New Roman" w:hAnsiTheme="minorHAnsi" w:cstheme="minorHAnsi"/>
                <w:i/>
                <w:iCs/>
                <w:color w:val="000000"/>
                <w:sz w:val="16"/>
                <w:szCs w:val="16"/>
                <w:lang w:val="en-AU" w:eastAsia="en-AU"/>
              </w:rPr>
              <w:t xml:space="preserve"> et al </w:t>
            </w:r>
            <w:r w:rsidRPr="00AC0CC1">
              <w:rPr>
                <w:rFonts w:asciiTheme="minorHAnsi" w:eastAsia="Times New Roman" w:hAnsiTheme="minorHAnsi" w:cstheme="minorHAnsi"/>
                <w:color w:val="000000"/>
                <w:sz w:val="16"/>
                <w:szCs w:val="16"/>
                <w:lang w:val="en-AU" w:eastAsia="en-AU"/>
              </w:rPr>
              <w:t>2003</w:t>
            </w:r>
          </w:p>
        </w:tc>
      </w:tr>
      <w:tr w:rsidR="00072CDF" w:rsidRPr="00AC0CC1" w14:paraId="157216E6" w14:textId="77777777" w:rsidTr="00333388">
        <w:trPr>
          <w:trHeight w:val="283"/>
        </w:trPr>
        <w:tc>
          <w:tcPr>
            <w:tcW w:w="959" w:type="dxa"/>
            <w:vMerge/>
            <w:tcBorders>
              <w:left w:val="nil"/>
              <w:right w:val="nil"/>
            </w:tcBorders>
            <w:vAlign w:val="center"/>
            <w:hideMark/>
          </w:tcPr>
          <w:p w14:paraId="157216E2"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E3"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E4"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7797" w:type="dxa"/>
            <w:gridSpan w:val="5"/>
            <w:tcBorders>
              <w:left w:val="nil"/>
              <w:right w:val="nil"/>
            </w:tcBorders>
            <w:shd w:val="clear" w:color="auto" w:fill="auto"/>
            <w:vAlign w:val="bottom"/>
            <w:hideMark/>
          </w:tcPr>
          <w:p w14:paraId="157216E5"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Macro Algae</w:t>
            </w:r>
          </w:p>
        </w:tc>
      </w:tr>
      <w:tr w:rsidR="0059608E" w:rsidRPr="00AC0CC1" w14:paraId="157216EF" w14:textId="77777777" w:rsidTr="00333388">
        <w:trPr>
          <w:trHeight w:val="283"/>
        </w:trPr>
        <w:tc>
          <w:tcPr>
            <w:tcW w:w="959" w:type="dxa"/>
            <w:vMerge/>
            <w:tcBorders>
              <w:left w:val="nil"/>
              <w:right w:val="nil"/>
            </w:tcBorders>
            <w:vAlign w:val="center"/>
            <w:hideMark/>
          </w:tcPr>
          <w:p w14:paraId="157216E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E8"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E9"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vAlign w:val="center"/>
            <w:hideMark/>
          </w:tcPr>
          <w:p w14:paraId="157216EA"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 xml:space="preserve">H. </w:t>
            </w:r>
            <w:r w:rsidR="00072CDF" w:rsidRPr="00AC0CC1">
              <w:rPr>
                <w:rFonts w:asciiTheme="minorHAnsi" w:eastAsia="Times New Roman" w:hAnsiTheme="minorHAnsi" w:cstheme="minorHAnsi"/>
                <w:i/>
                <w:iCs/>
                <w:color w:val="000000"/>
                <w:sz w:val="16"/>
                <w:szCs w:val="16"/>
                <w:lang w:val="en-AU" w:eastAsia="en-AU"/>
              </w:rPr>
              <w:t>banksia</w:t>
            </w:r>
          </w:p>
        </w:tc>
        <w:tc>
          <w:tcPr>
            <w:tcW w:w="1417" w:type="dxa"/>
            <w:tcBorders>
              <w:left w:val="nil"/>
              <w:right w:val="nil"/>
            </w:tcBorders>
            <w:shd w:val="clear" w:color="auto" w:fill="auto"/>
            <w:vAlign w:val="center"/>
            <w:hideMark/>
          </w:tcPr>
          <w:p w14:paraId="157216E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1650</w:t>
            </w:r>
          </w:p>
        </w:tc>
        <w:tc>
          <w:tcPr>
            <w:tcW w:w="1843" w:type="dxa"/>
            <w:tcBorders>
              <w:left w:val="nil"/>
              <w:right w:val="nil"/>
            </w:tcBorders>
            <w:shd w:val="clear" w:color="auto" w:fill="auto"/>
            <w:vAlign w:val="center"/>
            <w:hideMark/>
          </w:tcPr>
          <w:p w14:paraId="157216E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shd w:val="clear" w:color="auto" w:fill="auto"/>
            <w:vAlign w:val="center"/>
            <w:hideMark/>
          </w:tcPr>
          <w:p w14:paraId="157216ED"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EC50</w:t>
            </w:r>
          </w:p>
        </w:tc>
        <w:tc>
          <w:tcPr>
            <w:tcW w:w="2127" w:type="dxa"/>
            <w:tcBorders>
              <w:left w:val="nil"/>
              <w:right w:val="nil"/>
            </w:tcBorders>
            <w:shd w:val="clear" w:color="auto" w:fill="auto"/>
            <w:vAlign w:val="center"/>
            <w:hideMark/>
          </w:tcPr>
          <w:p w14:paraId="157216E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Seery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2006</w:t>
            </w:r>
          </w:p>
        </w:tc>
      </w:tr>
      <w:tr w:rsidR="00072CDF" w:rsidRPr="00AC0CC1" w14:paraId="157216F4" w14:textId="77777777" w:rsidTr="00333388">
        <w:trPr>
          <w:trHeight w:val="283"/>
        </w:trPr>
        <w:tc>
          <w:tcPr>
            <w:tcW w:w="959" w:type="dxa"/>
            <w:vMerge/>
            <w:tcBorders>
              <w:left w:val="nil"/>
              <w:right w:val="nil"/>
            </w:tcBorders>
            <w:vAlign w:val="center"/>
            <w:hideMark/>
          </w:tcPr>
          <w:p w14:paraId="157216F0"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F1"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F2"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7797" w:type="dxa"/>
            <w:gridSpan w:val="5"/>
            <w:tcBorders>
              <w:left w:val="nil"/>
              <w:right w:val="nil"/>
            </w:tcBorders>
            <w:shd w:val="clear" w:color="auto" w:fill="auto"/>
            <w:vAlign w:val="bottom"/>
            <w:hideMark/>
          </w:tcPr>
          <w:p w14:paraId="157216F3"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Red Algae</w:t>
            </w:r>
          </w:p>
        </w:tc>
      </w:tr>
      <w:tr w:rsidR="0059608E" w:rsidRPr="00AC0CC1" w14:paraId="157216FD" w14:textId="77777777" w:rsidTr="00333388">
        <w:trPr>
          <w:trHeight w:val="283"/>
        </w:trPr>
        <w:tc>
          <w:tcPr>
            <w:tcW w:w="959" w:type="dxa"/>
            <w:vMerge/>
            <w:tcBorders>
              <w:left w:val="nil"/>
              <w:right w:val="nil"/>
            </w:tcBorders>
            <w:vAlign w:val="center"/>
            <w:hideMark/>
          </w:tcPr>
          <w:p w14:paraId="157216F5"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F6"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6F7"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vAlign w:val="center"/>
            <w:hideMark/>
          </w:tcPr>
          <w:p w14:paraId="157216F8"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onkodes</w:t>
            </w:r>
          </w:p>
        </w:tc>
        <w:tc>
          <w:tcPr>
            <w:tcW w:w="1417" w:type="dxa"/>
            <w:tcBorders>
              <w:left w:val="nil"/>
              <w:right w:val="nil"/>
            </w:tcBorders>
            <w:shd w:val="clear" w:color="auto" w:fill="auto"/>
            <w:vAlign w:val="center"/>
            <w:hideMark/>
          </w:tcPr>
          <w:p w14:paraId="157216F9"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2900</w:t>
            </w:r>
          </w:p>
        </w:tc>
        <w:tc>
          <w:tcPr>
            <w:tcW w:w="1843" w:type="dxa"/>
            <w:tcBorders>
              <w:left w:val="nil"/>
              <w:right w:val="nil"/>
            </w:tcBorders>
            <w:shd w:val="clear" w:color="auto" w:fill="auto"/>
            <w:vAlign w:val="center"/>
            <w:hideMark/>
          </w:tcPr>
          <w:p w14:paraId="157216F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shd w:val="clear" w:color="auto" w:fill="auto"/>
            <w:vAlign w:val="center"/>
            <w:hideMark/>
          </w:tcPr>
          <w:p w14:paraId="157216F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shd w:val="clear" w:color="auto" w:fill="auto"/>
            <w:vAlign w:val="center"/>
            <w:hideMark/>
          </w:tcPr>
          <w:p w14:paraId="157216FC"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Harrington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2005</w:t>
            </w:r>
          </w:p>
        </w:tc>
      </w:tr>
      <w:tr w:rsidR="00072CDF" w:rsidRPr="00AC0CC1" w14:paraId="15721702" w14:textId="77777777" w:rsidTr="00333388">
        <w:trPr>
          <w:trHeight w:val="283"/>
        </w:trPr>
        <w:tc>
          <w:tcPr>
            <w:tcW w:w="959" w:type="dxa"/>
            <w:vMerge/>
            <w:tcBorders>
              <w:left w:val="nil"/>
              <w:right w:val="nil"/>
            </w:tcBorders>
            <w:vAlign w:val="center"/>
            <w:hideMark/>
          </w:tcPr>
          <w:p w14:paraId="157216FE"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6FF"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700"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7797" w:type="dxa"/>
            <w:gridSpan w:val="5"/>
            <w:tcBorders>
              <w:left w:val="nil"/>
              <w:right w:val="nil"/>
            </w:tcBorders>
            <w:shd w:val="clear" w:color="auto" w:fill="auto"/>
            <w:vAlign w:val="bottom"/>
            <w:hideMark/>
          </w:tcPr>
          <w:p w14:paraId="15721701" w14:textId="77777777" w:rsidR="00072CDF" w:rsidRPr="00AC0CC1" w:rsidRDefault="00072CDF" w:rsidP="00305AC4">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Diatoms</w:t>
            </w:r>
          </w:p>
        </w:tc>
      </w:tr>
      <w:tr w:rsidR="0059608E" w:rsidRPr="00AC0CC1" w14:paraId="1572170B" w14:textId="77777777" w:rsidTr="00333388">
        <w:trPr>
          <w:trHeight w:val="283"/>
        </w:trPr>
        <w:tc>
          <w:tcPr>
            <w:tcW w:w="959" w:type="dxa"/>
            <w:vMerge/>
            <w:tcBorders>
              <w:left w:val="nil"/>
              <w:right w:val="nil"/>
            </w:tcBorders>
            <w:vAlign w:val="center"/>
            <w:hideMark/>
          </w:tcPr>
          <w:p w14:paraId="15721703"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704"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705"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vAlign w:val="center"/>
            <w:hideMark/>
          </w:tcPr>
          <w:p w14:paraId="15721706"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Navicula sp</w:t>
            </w:r>
          </w:p>
        </w:tc>
        <w:tc>
          <w:tcPr>
            <w:tcW w:w="1417" w:type="dxa"/>
            <w:tcBorders>
              <w:left w:val="nil"/>
              <w:right w:val="nil"/>
            </w:tcBorders>
            <w:shd w:val="clear" w:color="auto" w:fill="auto"/>
            <w:vAlign w:val="center"/>
            <w:hideMark/>
          </w:tcPr>
          <w:p w14:paraId="15721707"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2900</w:t>
            </w:r>
          </w:p>
        </w:tc>
        <w:tc>
          <w:tcPr>
            <w:tcW w:w="1843" w:type="dxa"/>
            <w:tcBorders>
              <w:left w:val="nil"/>
              <w:right w:val="nil"/>
            </w:tcBorders>
            <w:shd w:val="clear" w:color="auto" w:fill="auto"/>
            <w:vAlign w:val="center"/>
            <w:hideMark/>
          </w:tcPr>
          <w:p w14:paraId="15721708"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right w:val="nil"/>
            </w:tcBorders>
            <w:shd w:val="clear" w:color="auto" w:fill="auto"/>
            <w:vAlign w:val="center"/>
            <w:hideMark/>
          </w:tcPr>
          <w:p w14:paraId="15721709" w14:textId="77777777" w:rsidR="0059608E" w:rsidRPr="00AC0CC1" w:rsidRDefault="0059608E" w:rsidP="0000285F">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IC50</w:t>
            </w:r>
            <w:r w:rsidR="0000285F">
              <w:rPr>
                <w:rFonts w:asciiTheme="minorHAnsi" w:eastAsia="Times New Roman" w:hAnsiTheme="minorHAnsi" w:cstheme="minorHAnsi"/>
                <w:color w:val="000000"/>
                <w:sz w:val="16"/>
                <w:szCs w:val="16"/>
                <w:lang w:val="en-AU" w:eastAsia="en-AU"/>
              </w:rPr>
              <w:t xml:space="preserve"> </w:t>
            </w:r>
            <w:r w:rsidRPr="00AC0CC1">
              <w:rPr>
                <w:rFonts w:asciiTheme="minorHAnsi" w:eastAsia="Times New Roman" w:hAnsiTheme="minorHAnsi" w:cstheme="minorHAnsi"/>
                <w:color w:val="000000"/>
                <w:sz w:val="16"/>
                <w:szCs w:val="16"/>
                <w:lang w:val="en-AU" w:eastAsia="en-AU"/>
              </w:rPr>
              <w:t>Acute, 6 m</w:t>
            </w:r>
          </w:p>
        </w:tc>
        <w:tc>
          <w:tcPr>
            <w:tcW w:w="2127" w:type="dxa"/>
            <w:tcBorders>
              <w:left w:val="nil"/>
              <w:right w:val="nil"/>
            </w:tcBorders>
            <w:shd w:val="clear" w:color="auto" w:fill="auto"/>
            <w:vAlign w:val="center"/>
            <w:hideMark/>
          </w:tcPr>
          <w:p w14:paraId="1572170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Magnusson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2006</w:t>
            </w:r>
          </w:p>
        </w:tc>
      </w:tr>
      <w:tr w:rsidR="0059608E" w:rsidRPr="00AC0CC1" w14:paraId="15721714" w14:textId="77777777" w:rsidTr="00333388">
        <w:trPr>
          <w:trHeight w:val="283"/>
        </w:trPr>
        <w:tc>
          <w:tcPr>
            <w:tcW w:w="959" w:type="dxa"/>
            <w:vMerge/>
            <w:tcBorders>
              <w:left w:val="nil"/>
              <w:right w:val="nil"/>
            </w:tcBorders>
            <w:vAlign w:val="center"/>
            <w:hideMark/>
          </w:tcPr>
          <w:p w14:paraId="1572170C"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70D"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70E"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shd w:val="clear" w:color="auto" w:fill="auto"/>
            <w:noWrap/>
            <w:vAlign w:val="center"/>
            <w:hideMark/>
          </w:tcPr>
          <w:p w14:paraId="1572170F" w14:textId="77777777" w:rsidR="0059608E" w:rsidRPr="00AC0CC1" w:rsidRDefault="0000285F" w:rsidP="0000285F">
            <w:pPr>
              <w:spacing w:before="40" w:after="40" w:line="276" w:lineRule="auto"/>
              <w:jc w:val="center"/>
              <w:rPr>
                <w:rFonts w:asciiTheme="minorHAnsi" w:eastAsia="Times New Roman" w:hAnsiTheme="minorHAnsi" w:cstheme="minorHAnsi"/>
                <w:i/>
                <w:iCs/>
                <w:color w:val="000000"/>
                <w:sz w:val="16"/>
                <w:szCs w:val="16"/>
                <w:lang w:val="en-AU" w:eastAsia="en-AU"/>
              </w:rPr>
            </w:pPr>
            <w:r>
              <w:rPr>
                <w:rFonts w:asciiTheme="minorHAnsi" w:eastAsia="Times New Roman" w:hAnsiTheme="minorHAnsi" w:cstheme="minorHAnsi"/>
                <w:i/>
                <w:iCs/>
                <w:color w:val="000000"/>
                <w:sz w:val="16"/>
                <w:szCs w:val="16"/>
                <w:lang w:val="en-AU" w:eastAsia="en-AU"/>
              </w:rPr>
              <w:t>P. tricornutum</w:t>
            </w:r>
          </w:p>
        </w:tc>
        <w:tc>
          <w:tcPr>
            <w:tcW w:w="1417" w:type="dxa"/>
            <w:tcBorders>
              <w:left w:val="nil"/>
              <w:right w:val="nil"/>
            </w:tcBorders>
            <w:shd w:val="clear" w:color="auto" w:fill="auto"/>
            <w:noWrap/>
            <w:vAlign w:val="center"/>
            <w:hideMark/>
          </w:tcPr>
          <w:p w14:paraId="15721710"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3300</w:t>
            </w:r>
          </w:p>
        </w:tc>
        <w:tc>
          <w:tcPr>
            <w:tcW w:w="1843" w:type="dxa"/>
            <w:tcBorders>
              <w:left w:val="nil"/>
              <w:right w:val="nil"/>
            </w:tcBorders>
            <w:shd w:val="clear" w:color="auto" w:fill="auto"/>
            <w:noWrap/>
            <w:vAlign w:val="center"/>
            <w:hideMark/>
          </w:tcPr>
          <w:p w14:paraId="15721711" w14:textId="77777777" w:rsidR="0059608E" w:rsidRPr="00AC0CC1" w:rsidRDefault="0059608E" w:rsidP="0000285F">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992" w:type="dxa"/>
            <w:tcBorders>
              <w:left w:val="nil"/>
              <w:bottom w:val="single" w:sz="4" w:space="0" w:color="000000" w:themeColor="text1"/>
              <w:right w:val="nil"/>
            </w:tcBorders>
            <w:shd w:val="clear" w:color="auto" w:fill="auto"/>
            <w:noWrap/>
            <w:vAlign w:val="center"/>
            <w:hideMark/>
          </w:tcPr>
          <w:p w14:paraId="15721712"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I50</w:t>
            </w:r>
          </w:p>
        </w:tc>
        <w:tc>
          <w:tcPr>
            <w:tcW w:w="2127" w:type="dxa"/>
            <w:tcBorders>
              <w:left w:val="nil"/>
              <w:right w:val="nil"/>
            </w:tcBorders>
            <w:shd w:val="clear" w:color="auto" w:fill="auto"/>
            <w:noWrap/>
            <w:vAlign w:val="center"/>
            <w:hideMark/>
          </w:tcPr>
          <w:p w14:paraId="15721713" w14:textId="77777777" w:rsidR="0059608E" w:rsidRPr="00AC0CC1" w:rsidRDefault="0059608E" w:rsidP="0000285F">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Schreiber </w:t>
            </w:r>
            <w:r w:rsidRPr="00AC0CC1">
              <w:rPr>
                <w:rFonts w:asciiTheme="minorHAnsi" w:eastAsia="Times New Roman" w:hAnsiTheme="minorHAnsi" w:cstheme="minorHAnsi"/>
                <w:i/>
                <w:iCs/>
                <w:color w:val="000000"/>
                <w:sz w:val="16"/>
                <w:szCs w:val="16"/>
                <w:lang w:val="en-AU" w:eastAsia="en-AU"/>
              </w:rPr>
              <w:t>et al</w:t>
            </w:r>
            <w:r w:rsidR="0000285F">
              <w:rPr>
                <w:rFonts w:asciiTheme="minorHAnsi" w:eastAsia="Times New Roman" w:hAnsiTheme="minorHAnsi" w:cstheme="minorHAnsi"/>
                <w:color w:val="000000"/>
                <w:sz w:val="16"/>
                <w:szCs w:val="16"/>
                <w:lang w:val="en-AU" w:eastAsia="en-AU"/>
              </w:rPr>
              <w:t xml:space="preserve"> 2002</w:t>
            </w:r>
          </w:p>
        </w:tc>
      </w:tr>
      <w:tr w:rsidR="00072CDF" w:rsidRPr="00AC0CC1" w14:paraId="15721719" w14:textId="77777777" w:rsidTr="00333388">
        <w:trPr>
          <w:trHeight w:val="283"/>
        </w:trPr>
        <w:tc>
          <w:tcPr>
            <w:tcW w:w="959" w:type="dxa"/>
            <w:vMerge/>
            <w:tcBorders>
              <w:left w:val="nil"/>
              <w:right w:val="nil"/>
            </w:tcBorders>
            <w:vAlign w:val="center"/>
            <w:hideMark/>
          </w:tcPr>
          <w:p w14:paraId="15721715"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716"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717" w14:textId="77777777" w:rsidR="00072CDF" w:rsidRPr="00AC0CC1" w:rsidRDefault="00072CDF" w:rsidP="00015606">
            <w:pPr>
              <w:spacing w:line="276" w:lineRule="auto"/>
              <w:jc w:val="center"/>
              <w:rPr>
                <w:rFonts w:asciiTheme="minorHAnsi" w:eastAsia="Times New Roman" w:hAnsiTheme="minorHAnsi" w:cstheme="minorHAnsi"/>
                <w:color w:val="000000"/>
                <w:sz w:val="16"/>
                <w:szCs w:val="16"/>
                <w:lang w:val="en-AU" w:eastAsia="en-AU"/>
              </w:rPr>
            </w:pPr>
          </w:p>
        </w:tc>
        <w:tc>
          <w:tcPr>
            <w:tcW w:w="7797" w:type="dxa"/>
            <w:gridSpan w:val="5"/>
            <w:tcBorders>
              <w:left w:val="nil"/>
              <w:right w:val="nil"/>
            </w:tcBorders>
            <w:shd w:val="clear" w:color="auto" w:fill="auto"/>
            <w:vAlign w:val="bottom"/>
            <w:hideMark/>
          </w:tcPr>
          <w:p w14:paraId="15721718" w14:textId="45EEFCF9" w:rsidR="00072CDF" w:rsidRPr="00AC0CC1" w:rsidRDefault="000A467A" w:rsidP="00305AC4">
            <w:pPr>
              <w:spacing w:before="40" w:after="40" w:line="276" w:lineRule="auto"/>
              <w:jc w:val="left"/>
              <w:rPr>
                <w:rFonts w:asciiTheme="minorHAnsi" w:eastAsia="Times New Roman" w:hAnsiTheme="minorHAnsi" w:cstheme="minorHAnsi"/>
                <w:color w:val="000000"/>
                <w:sz w:val="16"/>
                <w:szCs w:val="16"/>
                <w:lang w:val="en-AU" w:eastAsia="en-AU"/>
              </w:rPr>
            </w:pPr>
            <w:r>
              <w:rPr>
                <w:rFonts w:asciiTheme="minorHAnsi" w:eastAsia="Times New Roman" w:hAnsiTheme="minorHAnsi" w:cstheme="minorHAnsi"/>
                <w:b/>
                <w:bCs/>
                <w:color w:val="000000"/>
                <w:sz w:val="16"/>
                <w:szCs w:val="16"/>
                <w:lang w:val="en-AU" w:eastAsia="en-AU"/>
              </w:rPr>
              <w:t>Mangroves</w:t>
            </w:r>
          </w:p>
        </w:tc>
      </w:tr>
      <w:tr w:rsidR="0059608E" w:rsidRPr="00AC0CC1" w14:paraId="15721722" w14:textId="77777777" w:rsidTr="00333388">
        <w:trPr>
          <w:trHeight w:val="283"/>
        </w:trPr>
        <w:tc>
          <w:tcPr>
            <w:tcW w:w="959" w:type="dxa"/>
            <w:vMerge/>
            <w:tcBorders>
              <w:left w:val="nil"/>
              <w:right w:val="nil"/>
            </w:tcBorders>
            <w:vAlign w:val="center"/>
            <w:hideMark/>
          </w:tcPr>
          <w:p w14:paraId="1572171A"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71B"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71C"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vAlign w:val="center"/>
            <w:hideMark/>
          </w:tcPr>
          <w:p w14:paraId="1572171D"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marina</w:t>
            </w:r>
          </w:p>
        </w:tc>
        <w:tc>
          <w:tcPr>
            <w:tcW w:w="1417" w:type="dxa"/>
            <w:tcBorders>
              <w:left w:val="nil"/>
              <w:right w:val="nil"/>
            </w:tcBorders>
            <w:vAlign w:val="center"/>
            <w:hideMark/>
          </w:tcPr>
          <w:p w14:paraId="1572171E"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1100</w:t>
            </w:r>
          </w:p>
        </w:tc>
        <w:tc>
          <w:tcPr>
            <w:tcW w:w="1843" w:type="dxa"/>
            <w:tcBorders>
              <w:left w:val="nil"/>
              <w:right w:val="nil"/>
            </w:tcBorders>
            <w:vAlign w:val="center"/>
            <w:hideMark/>
          </w:tcPr>
          <w:p w14:paraId="1572171F"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Health</w:t>
            </w:r>
          </w:p>
        </w:tc>
        <w:tc>
          <w:tcPr>
            <w:tcW w:w="992" w:type="dxa"/>
            <w:tcBorders>
              <w:left w:val="nil"/>
              <w:right w:val="nil"/>
            </w:tcBorders>
            <w:vAlign w:val="center"/>
            <w:hideMark/>
          </w:tcPr>
          <w:p w14:paraId="15721720"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NOEC</w:t>
            </w:r>
          </w:p>
        </w:tc>
        <w:tc>
          <w:tcPr>
            <w:tcW w:w="2127" w:type="dxa"/>
            <w:tcBorders>
              <w:left w:val="nil"/>
              <w:right w:val="nil"/>
            </w:tcBorders>
            <w:vAlign w:val="center"/>
            <w:hideMark/>
          </w:tcPr>
          <w:p w14:paraId="15721721"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Duke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2003, 2005</w:t>
            </w:r>
          </w:p>
        </w:tc>
      </w:tr>
      <w:tr w:rsidR="0059608E" w:rsidRPr="00A556F5" w14:paraId="1572172B" w14:textId="77777777" w:rsidTr="00333388">
        <w:trPr>
          <w:trHeight w:val="283"/>
        </w:trPr>
        <w:tc>
          <w:tcPr>
            <w:tcW w:w="959" w:type="dxa"/>
            <w:vMerge/>
            <w:tcBorders>
              <w:left w:val="nil"/>
              <w:right w:val="nil"/>
            </w:tcBorders>
            <w:vAlign w:val="center"/>
            <w:hideMark/>
          </w:tcPr>
          <w:p w14:paraId="15721723"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992" w:type="dxa"/>
            <w:vMerge/>
            <w:tcBorders>
              <w:left w:val="nil"/>
              <w:right w:val="nil"/>
            </w:tcBorders>
            <w:vAlign w:val="center"/>
            <w:hideMark/>
          </w:tcPr>
          <w:p w14:paraId="15721724"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5420" w:type="dxa"/>
            <w:vMerge/>
            <w:tcBorders>
              <w:left w:val="nil"/>
              <w:right w:val="nil"/>
            </w:tcBorders>
            <w:vAlign w:val="center"/>
            <w:hideMark/>
          </w:tcPr>
          <w:p w14:paraId="15721725" w14:textId="77777777" w:rsidR="0059608E" w:rsidRPr="00AC0CC1" w:rsidRDefault="0059608E" w:rsidP="00015606">
            <w:pPr>
              <w:spacing w:line="276" w:lineRule="auto"/>
              <w:jc w:val="center"/>
              <w:rPr>
                <w:rFonts w:asciiTheme="minorHAnsi" w:eastAsia="Times New Roman" w:hAnsiTheme="minorHAnsi" w:cstheme="minorHAnsi"/>
                <w:color w:val="000000"/>
                <w:sz w:val="16"/>
                <w:szCs w:val="16"/>
                <w:lang w:val="en-AU" w:eastAsia="en-AU"/>
              </w:rPr>
            </w:pPr>
          </w:p>
        </w:tc>
        <w:tc>
          <w:tcPr>
            <w:tcW w:w="1418" w:type="dxa"/>
            <w:tcBorders>
              <w:left w:val="nil"/>
              <w:right w:val="nil"/>
            </w:tcBorders>
            <w:noWrap/>
            <w:vAlign w:val="center"/>
            <w:hideMark/>
          </w:tcPr>
          <w:p w14:paraId="15721726"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marina</w:t>
            </w:r>
          </w:p>
        </w:tc>
        <w:tc>
          <w:tcPr>
            <w:tcW w:w="1417" w:type="dxa"/>
            <w:tcBorders>
              <w:left w:val="nil"/>
              <w:right w:val="nil"/>
            </w:tcBorders>
            <w:noWrap/>
            <w:vAlign w:val="center"/>
            <w:hideMark/>
          </w:tcPr>
          <w:p w14:paraId="15721727"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1500</w:t>
            </w:r>
          </w:p>
        </w:tc>
        <w:tc>
          <w:tcPr>
            <w:tcW w:w="1843" w:type="dxa"/>
            <w:tcBorders>
              <w:left w:val="nil"/>
              <w:right w:val="nil"/>
            </w:tcBorders>
            <w:noWrap/>
            <w:vAlign w:val="center"/>
            <w:hideMark/>
          </w:tcPr>
          <w:p w14:paraId="15721728"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Reduced health</w:t>
            </w:r>
          </w:p>
        </w:tc>
        <w:tc>
          <w:tcPr>
            <w:tcW w:w="992" w:type="dxa"/>
            <w:tcBorders>
              <w:left w:val="nil"/>
              <w:right w:val="nil"/>
            </w:tcBorders>
            <w:noWrap/>
            <w:vAlign w:val="center"/>
            <w:hideMark/>
          </w:tcPr>
          <w:p w14:paraId="15721729"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right w:val="nil"/>
            </w:tcBorders>
            <w:noWrap/>
            <w:vAlign w:val="center"/>
            <w:hideMark/>
          </w:tcPr>
          <w:p w14:paraId="1572172A" w14:textId="77777777" w:rsidR="0059608E" w:rsidRPr="00D01BC4" w:rsidRDefault="0059608E" w:rsidP="00305AC4">
            <w:pPr>
              <w:spacing w:before="40" w:after="40" w:line="276" w:lineRule="auto"/>
              <w:jc w:val="center"/>
              <w:rPr>
                <w:rFonts w:asciiTheme="minorHAnsi" w:hAnsiTheme="minorHAnsi"/>
                <w:color w:val="000000"/>
                <w:sz w:val="16"/>
                <w:lang w:val="de-DE"/>
              </w:rPr>
            </w:pPr>
            <w:r w:rsidRPr="00D01BC4">
              <w:rPr>
                <w:rFonts w:asciiTheme="minorHAnsi" w:hAnsiTheme="minorHAnsi"/>
                <w:color w:val="000000"/>
                <w:sz w:val="16"/>
                <w:lang w:val="de-DE"/>
              </w:rPr>
              <w:t xml:space="preserve">Duke </w:t>
            </w:r>
            <w:r w:rsidRPr="00D01BC4">
              <w:rPr>
                <w:rFonts w:asciiTheme="minorHAnsi" w:hAnsiTheme="minorHAnsi"/>
                <w:i/>
                <w:color w:val="000000"/>
                <w:sz w:val="16"/>
                <w:lang w:val="de-DE"/>
              </w:rPr>
              <w:t>et al</w:t>
            </w:r>
            <w:r w:rsidRPr="00D01BC4">
              <w:rPr>
                <w:rFonts w:asciiTheme="minorHAnsi" w:hAnsiTheme="minorHAnsi"/>
                <w:color w:val="000000"/>
                <w:sz w:val="16"/>
                <w:lang w:val="de-DE"/>
              </w:rPr>
              <w:t xml:space="preserve"> 2003, Bell &amp; Duke 2005</w:t>
            </w:r>
          </w:p>
        </w:tc>
      </w:tr>
      <w:tr w:rsidR="0059608E" w:rsidRPr="00A556F5" w14:paraId="15721734" w14:textId="77777777" w:rsidTr="00333388">
        <w:trPr>
          <w:trHeight w:val="283"/>
        </w:trPr>
        <w:tc>
          <w:tcPr>
            <w:tcW w:w="959" w:type="dxa"/>
            <w:vMerge/>
            <w:tcBorders>
              <w:left w:val="nil"/>
              <w:right w:val="nil"/>
            </w:tcBorders>
            <w:vAlign w:val="center"/>
            <w:hideMark/>
          </w:tcPr>
          <w:p w14:paraId="1572172C" w14:textId="77777777" w:rsidR="0059608E" w:rsidRPr="00D01BC4" w:rsidRDefault="0059608E" w:rsidP="00015606">
            <w:pPr>
              <w:spacing w:line="276" w:lineRule="auto"/>
              <w:jc w:val="center"/>
              <w:rPr>
                <w:rFonts w:asciiTheme="minorHAnsi" w:hAnsiTheme="minorHAnsi"/>
                <w:color w:val="000000"/>
                <w:sz w:val="16"/>
                <w:lang w:val="de-DE"/>
              </w:rPr>
            </w:pPr>
          </w:p>
        </w:tc>
        <w:tc>
          <w:tcPr>
            <w:tcW w:w="992" w:type="dxa"/>
            <w:vMerge/>
            <w:tcBorders>
              <w:left w:val="nil"/>
              <w:right w:val="nil"/>
            </w:tcBorders>
            <w:vAlign w:val="center"/>
            <w:hideMark/>
          </w:tcPr>
          <w:p w14:paraId="1572172D" w14:textId="77777777" w:rsidR="0059608E" w:rsidRPr="00D01BC4" w:rsidRDefault="0059608E" w:rsidP="00015606">
            <w:pPr>
              <w:spacing w:line="276" w:lineRule="auto"/>
              <w:jc w:val="center"/>
              <w:rPr>
                <w:rFonts w:asciiTheme="minorHAnsi" w:hAnsiTheme="minorHAnsi"/>
                <w:color w:val="000000"/>
                <w:sz w:val="16"/>
                <w:lang w:val="de-DE"/>
              </w:rPr>
            </w:pPr>
          </w:p>
        </w:tc>
        <w:tc>
          <w:tcPr>
            <w:tcW w:w="5420" w:type="dxa"/>
            <w:vMerge/>
            <w:tcBorders>
              <w:left w:val="nil"/>
              <w:right w:val="nil"/>
            </w:tcBorders>
            <w:vAlign w:val="center"/>
            <w:hideMark/>
          </w:tcPr>
          <w:p w14:paraId="1572172E" w14:textId="77777777" w:rsidR="0059608E" w:rsidRPr="00D01BC4" w:rsidRDefault="0059608E" w:rsidP="00015606">
            <w:pPr>
              <w:spacing w:line="276" w:lineRule="auto"/>
              <w:jc w:val="center"/>
              <w:rPr>
                <w:rFonts w:asciiTheme="minorHAnsi" w:hAnsiTheme="minorHAnsi"/>
                <w:color w:val="000000"/>
                <w:sz w:val="16"/>
                <w:lang w:val="de-DE"/>
              </w:rPr>
            </w:pPr>
          </w:p>
        </w:tc>
        <w:tc>
          <w:tcPr>
            <w:tcW w:w="1418" w:type="dxa"/>
            <w:tcBorders>
              <w:left w:val="nil"/>
              <w:right w:val="nil"/>
            </w:tcBorders>
            <w:vAlign w:val="center"/>
            <w:hideMark/>
          </w:tcPr>
          <w:p w14:paraId="1572172F"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marina</w:t>
            </w:r>
          </w:p>
        </w:tc>
        <w:tc>
          <w:tcPr>
            <w:tcW w:w="1417" w:type="dxa"/>
            <w:tcBorders>
              <w:left w:val="nil"/>
              <w:right w:val="nil"/>
            </w:tcBorders>
            <w:vAlign w:val="center"/>
            <w:hideMark/>
          </w:tcPr>
          <w:p w14:paraId="15721730"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2000</w:t>
            </w:r>
          </w:p>
        </w:tc>
        <w:tc>
          <w:tcPr>
            <w:tcW w:w="1843" w:type="dxa"/>
            <w:tcBorders>
              <w:left w:val="nil"/>
              <w:right w:val="nil"/>
            </w:tcBorders>
            <w:vAlign w:val="center"/>
            <w:hideMark/>
          </w:tcPr>
          <w:p w14:paraId="15721731"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Dieback/ absence</w:t>
            </w:r>
          </w:p>
        </w:tc>
        <w:tc>
          <w:tcPr>
            <w:tcW w:w="992" w:type="dxa"/>
            <w:tcBorders>
              <w:left w:val="nil"/>
              <w:right w:val="nil"/>
            </w:tcBorders>
            <w:vAlign w:val="center"/>
            <w:hideMark/>
          </w:tcPr>
          <w:p w14:paraId="15721732"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Mortality</w:t>
            </w:r>
          </w:p>
        </w:tc>
        <w:tc>
          <w:tcPr>
            <w:tcW w:w="2127" w:type="dxa"/>
            <w:tcBorders>
              <w:left w:val="nil"/>
              <w:right w:val="nil"/>
            </w:tcBorders>
            <w:vAlign w:val="center"/>
            <w:hideMark/>
          </w:tcPr>
          <w:p w14:paraId="15721733" w14:textId="77777777" w:rsidR="0059608E" w:rsidRPr="00D01BC4" w:rsidRDefault="0059608E" w:rsidP="00305AC4">
            <w:pPr>
              <w:spacing w:before="40" w:after="40" w:line="276" w:lineRule="auto"/>
              <w:jc w:val="center"/>
              <w:rPr>
                <w:rFonts w:asciiTheme="minorHAnsi" w:hAnsiTheme="minorHAnsi"/>
                <w:color w:val="000000"/>
                <w:sz w:val="16"/>
                <w:lang w:val="de-DE"/>
              </w:rPr>
            </w:pPr>
            <w:r w:rsidRPr="00D01BC4">
              <w:rPr>
                <w:rFonts w:asciiTheme="minorHAnsi" w:hAnsiTheme="minorHAnsi"/>
                <w:color w:val="000000"/>
                <w:sz w:val="16"/>
                <w:lang w:val="de-DE"/>
              </w:rPr>
              <w:t>Duke et al 2003, Bell &amp; Duke 2005</w:t>
            </w:r>
          </w:p>
        </w:tc>
      </w:tr>
      <w:tr w:rsidR="0059608E" w:rsidRPr="00A556F5" w14:paraId="1572173D" w14:textId="77777777" w:rsidTr="00333388">
        <w:trPr>
          <w:trHeight w:val="283"/>
        </w:trPr>
        <w:tc>
          <w:tcPr>
            <w:tcW w:w="959" w:type="dxa"/>
            <w:vMerge/>
            <w:tcBorders>
              <w:left w:val="nil"/>
              <w:bottom w:val="single" w:sz="2" w:space="0" w:color="auto"/>
              <w:right w:val="nil"/>
            </w:tcBorders>
            <w:vAlign w:val="center"/>
            <w:hideMark/>
          </w:tcPr>
          <w:p w14:paraId="15721735" w14:textId="77777777" w:rsidR="0059608E" w:rsidRPr="00D01BC4" w:rsidRDefault="0059608E" w:rsidP="00015606">
            <w:pPr>
              <w:spacing w:line="276" w:lineRule="auto"/>
              <w:jc w:val="center"/>
              <w:rPr>
                <w:rFonts w:asciiTheme="minorHAnsi" w:hAnsiTheme="minorHAnsi"/>
                <w:color w:val="000000"/>
                <w:sz w:val="16"/>
                <w:lang w:val="de-DE"/>
              </w:rPr>
            </w:pPr>
          </w:p>
        </w:tc>
        <w:tc>
          <w:tcPr>
            <w:tcW w:w="992" w:type="dxa"/>
            <w:vMerge/>
            <w:tcBorders>
              <w:left w:val="nil"/>
              <w:bottom w:val="single" w:sz="2" w:space="0" w:color="auto"/>
              <w:right w:val="nil"/>
            </w:tcBorders>
            <w:vAlign w:val="center"/>
            <w:hideMark/>
          </w:tcPr>
          <w:p w14:paraId="15721736" w14:textId="77777777" w:rsidR="0059608E" w:rsidRPr="00D01BC4" w:rsidRDefault="0059608E" w:rsidP="00015606">
            <w:pPr>
              <w:spacing w:line="276" w:lineRule="auto"/>
              <w:jc w:val="center"/>
              <w:rPr>
                <w:rFonts w:asciiTheme="minorHAnsi" w:hAnsiTheme="minorHAnsi"/>
                <w:color w:val="000000"/>
                <w:sz w:val="16"/>
                <w:lang w:val="de-DE"/>
              </w:rPr>
            </w:pPr>
          </w:p>
        </w:tc>
        <w:tc>
          <w:tcPr>
            <w:tcW w:w="5420" w:type="dxa"/>
            <w:vMerge/>
            <w:tcBorders>
              <w:left w:val="nil"/>
              <w:bottom w:val="single" w:sz="2" w:space="0" w:color="auto"/>
              <w:right w:val="nil"/>
            </w:tcBorders>
            <w:vAlign w:val="center"/>
            <w:hideMark/>
          </w:tcPr>
          <w:p w14:paraId="15721737" w14:textId="77777777" w:rsidR="0059608E" w:rsidRPr="00D01BC4" w:rsidRDefault="0059608E" w:rsidP="00015606">
            <w:pPr>
              <w:spacing w:line="276" w:lineRule="auto"/>
              <w:jc w:val="center"/>
              <w:rPr>
                <w:rFonts w:asciiTheme="minorHAnsi" w:hAnsiTheme="minorHAnsi"/>
                <w:color w:val="000000"/>
                <w:sz w:val="16"/>
                <w:lang w:val="de-DE"/>
              </w:rPr>
            </w:pPr>
          </w:p>
        </w:tc>
        <w:tc>
          <w:tcPr>
            <w:tcW w:w="1418" w:type="dxa"/>
            <w:tcBorders>
              <w:left w:val="nil"/>
              <w:bottom w:val="single" w:sz="2" w:space="0" w:color="auto"/>
              <w:right w:val="nil"/>
            </w:tcBorders>
            <w:vAlign w:val="center"/>
            <w:hideMark/>
          </w:tcPr>
          <w:p w14:paraId="15721738" w14:textId="77777777" w:rsidR="0059608E" w:rsidRPr="00AC0CC1" w:rsidRDefault="0059608E" w:rsidP="00305AC4">
            <w:pPr>
              <w:spacing w:before="40" w:after="40" w:line="276" w:lineRule="auto"/>
              <w:jc w:val="center"/>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marina</w:t>
            </w:r>
          </w:p>
        </w:tc>
        <w:tc>
          <w:tcPr>
            <w:tcW w:w="1417" w:type="dxa"/>
            <w:tcBorders>
              <w:left w:val="nil"/>
              <w:bottom w:val="single" w:sz="2" w:space="0" w:color="auto"/>
              <w:right w:val="nil"/>
            </w:tcBorders>
            <w:vAlign w:val="center"/>
            <w:hideMark/>
          </w:tcPr>
          <w:p w14:paraId="15721739"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1500</w:t>
            </w:r>
          </w:p>
        </w:tc>
        <w:tc>
          <w:tcPr>
            <w:tcW w:w="1843" w:type="dxa"/>
            <w:tcBorders>
              <w:left w:val="nil"/>
              <w:bottom w:val="single" w:sz="2" w:space="0" w:color="auto"/>
              <w:right w:val="nil"/>
            </w:tcBorders>
            <w:vAlign w:val="center"/>
            <w:hideMark/>
          </w:tcPr>
          <w:p w14:paraId="1572173A"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Reduced health</w:t>
            </w:r>
          </w:p>
        </w:tc>
        <w:tc>
          <w:tcPr>
            <w:tcW w:w="992" w:type="dxa"/>
            <w:tcBorders>
              <w:left w:val="nil"/>
              <w:bottom w:val="single" w:sz="2" w:space="0" w:color="auto"/>
              <w:right w:val="nil"/>
            </w:tcBorders>
            <w:vAlign w:val="center"/>
            <w:hideMark/>
          </w:tcPr>
          <w:p w14:paraId="1572173B" w14:textId="77777777" w:rsidR="0059608E" w:rsidRPr="00AC0CC1" w:rsidRDefault="0059608E" w:rsidP="00305AC4">
            <w:pPr>
              <w:spacing w:before="40" w:after="40" w:line="276" w:lineRule="auto"/>
              <w:jc w:val="center"/>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2127" w:type="dxa"/>
            <w:tcBorders>
              <w:left w:val="nil"/>
              <w:bottom w:val="single" w:sz="2" w:space="0" w:color="auto"/>
              <w:right w:val="nil"/>
            </w:tcBorders>
            <w:vAlign w:val="center"/>
            <w:hideMark/>
          </w:tcPr>
          <w:p w14:paraId="1572173C" w14:textId="77777777" w:rsidR="0059608E" w:rsidRPr="00D01BC4" w:rsidRDefault="0059608E" w:rsidP="00305AC4">
            <w:pPr>
              <w:spacing w:before="40" w:after="40" w:line="276" w:lineRule="auto"/>
              <w:jc w:val="center"/>
              <w:rPr>
                <w:rFonts w:asciiTheme="minorHAnsi" w:hAnsiTheme="minorHAnsi"/>
                <w:color w:val="000000"/>
                <w:sz w:val="16"/>
                <w:lang w:val="de-DE"/>
              </w:rPr>
            </w:pPr>
            <w:r w:rsidRPr="00D01BC4">
              <w:rPr>
                <w:rFonts w:asciiTheme="minorHAnsi" w:hAnsiTheme="minorHAnsi"/>
                <w:color w:val="000000"/>
                <w:sz w:val="16"/>
                <w:lang w:val="de-DE"/>
              </w:rPr>
              <w:t xml:space="preserve">Duke </w:t>
            </w:r>
            <w:r w:rsidRPr="00D01BC4">
              <w:rPr>
                <w:rFonts w:asciiTheme="minorHAnsi" w:hAnsiTheme="minorHAnsi"/>
                <w:i/>
                <w:color w:val="000000"/>
                <w:sz w:val="16"/>
                <w:lang w:val="de-DE"/>
              </w:rPr>
              <w:t>et al</w:t>
            </w:r>
            <w:r w:rsidRPr="00D01BC4">
              <w:rPr>
                <w:rFonts w:asciiTheme="minorHAnsi" w:hAnsiTheme="minorHAnsi"/>
                <w:color w:val="000000"/>
                <w:sz w:val="16"/>
                <w:lang w:val="de-DE"/>
              </w:rPr>
              <w:t xml:space="preserve"> 2003, Bell &amp; Duke 2005</w:t>
            </w:r>
          </w:p>
        </w:tc>
      </w:tr>
      <w:tr w:rsidR="0059608E" w:rsidRPr="00A556F5" w14:paraId="1572173F" w14:textId="77777777" w:rsidTr="00333388">
        <w:tblPrEx>
          <w:tblBorders>
            <w:top w:val="single" w:sz="18"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15164" w:type="dxa"/>
            <w:gridSpan w:val="8"/>
            <w:tcBorders>
              <w:top w:val="single" w:sz="2" w:space="0" w:color="auto"/>
            </w:tcBorders>
          </w:tcPr>
          <w:p w14:paraId="1572173E" w14:textId="77777777" w:rsidR="0059608E" w:rsidRPr="00D01BC4" w:rsidRDefault="0059608E" w:rsidP="00015606">
            <w:pPr>
              <w:spacing w:line="276" w:lineRule="auto"/>
              <w:rPr>
                <w:rFonts w:asciiTheme="minorHAnsi" w:hAnsiTheme="minorHAnsi"/>
                <w:sz w:val="16"/>
                <w:lang w:val="de-DE"/>
              </w:rPr>
            </w:pPr>
          </w:p>
        </w:tc>
      </w:tr>
    </w:tbl>
    <w:p w14:paraId="5D140544" w14:textId="61AA0E9C" w:rsidR="000A467A" w:rsidRPr="000A467A" w:rsidRDefault="000A467A" w:rsidP="00072CDF">
      <w:pPr>
        <w:spacing w:line="276" w:lineRule="auto"/>
        <w:ind w:left="567" w:hanging="567"/>
        <w:rPr>
          <w:b/>
          <w:sz w:val="18"/>
          <w:szCs w:val="18"/>
          <w:lang w:val="en-AU"/>
        </w:rPr>
      </w:pPr>
      <w:r w:rsidRPr="000A467A">
        <w:rPr>
          <w:b/>
          <w:sz w:val="18"/>
          <w:szCs w:val="18"/>
          <w:lang w:val="en-AU"/>
        </w:rPr>
        <w:t>References:</w:t>
      </w:r>
    </w:p>
    <w:p w14:paraId="15721740" w14:textId="533CC30F" w:rsidR="0059608E" w:rsidRPr="00AC0CC1" w:rsidRDefault="0059608E" w:rsidP="00072CDF">
      <w:pPr>
        <w:spacing w:line="276" w:lineRule="auto"/>
        <w:ind w:left="567" w:hanging="567"/>
        <w:rPr>
          <w:sz w:val="18"/>
          <w:szCs w:val="18"/>
          <w:lang w:val="en-AU"/>
        </w:rPr>
      </w:pPr>
      <w:r w:rsidRPr="00AC0CC1">
        <w:rPr>
          <w:sz w:val="18"/>
          <w:szCs w:val="18"/>
          <w:lang w:val="en-AU"/>
        </w:rPr>
        <w:t xml:space="preserve">ANZECC (Australian and New Zealand Environment and Conservation Council) and ARMCANZ (Agriculture and Resource Management Council of Australia and New Zealand) (2000). </w:t>
      </w:r>
      <w:r w:rsidRPr="00AC0CC1">
        <w:rPr>
          <w:i/>
          <w:sz w:val="18"/>
          <w:szCs w:val="18"/>
          <w:lang w:val="en-AU"/>
        </w:rPr>
        <w:t xml:space="preserve">Australian and New Zealand guidelines for fresh and marine water quality. </w:t>
      </w:r>
      <w:r w:rsidRPr="00AC0CC1">
        <w:rPr>
          <w:sz w:val="18"/>
          <w:szCs w:val="18"/>
          <w:lang w:val="en-AU"/>
        </w:rPr>
        <w:t>National Water Quality Management Strategy. Australian and New Zealand Environment and Conservation Council and Agriculture and Resource Management Council of Australia and New Zealand, Canberra.</w:t>
      </w:r>
    </w:p>
    <w:p w14:paraId="15721741" w14:textId="77777777" w:rsidR="0059608E" w:rsidRPr="00AC0CC1" w:rsidRDefault="0059608E" w:rsidP="00072CDF">
      <w:pPr>
        <w:spacing w:line="276" w:lineRule="auto"/>
        <w:ind w:left="567" w:hanging="567"/>
        <w:rPr>
          <w:sz w:val="18"/>
          <w:szCs w:val="18"/>
          <w:lang w:val="en-AU"/>
        </w:rPr>
      </w:pPr>
      <w:r w:rsidRPr="00AC0CC1">
        <w:rPr>
          <w:sz w:val="18"/>
          <w:szCs w:val="18"/>
          <w:lang w:val="en-AU"/>
        </w:rPr>
        <w:t>APVMA (Australian Pesticides and Veterinary Medicines Authority (2005). The Reconsideration of Approvals of the Active Constituent Diuron, Registration of Products containing Diuron and their Associated Labels. Preliminary Review Findings. Volume I and II.</w:t>
      </w:r>
    </w:p>
    <w:p w14:paraId="15721742"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Bell A and Duke N (2005). Effects of Photosystem II inhibiting herbicides on mangroves – preliminary toxicology trials. </w:t>
      </w:r>
      <w:r w:rsidRPr="00AC0CC1">
        <w:rPr>
          <w:i/>
          <w:sz w:val="18"/>
          <w:szCs w:val="18"/>
          <w:lang w:val="en-AU"/>
        </w:rPr>
        <w:t xml:space="preserve">Marine Pollution Bulletin </w:t>
      </w:r>
      <w:r w:rsidRPr="00AC0CC1">
        <w:rPr>
          <w:sz w:val="18"/>
          <w:szCs w:val="18"/>
          <w:lang w:val="en-AU"/>
        </w:rPr>
        <w:t>51(1-4):297-307.</w:t>
      </w:r>
    </w:p>
    <w:p w14:paraId="15721743"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Bengston-Nash S, Quayle PA, Schreiber U and Muller JF (2005).The selection of a model microalgal species as biomaterial for a novel aquatic phytotoxicity assay. </w:t>
      </w:r>
      <w:r w:rsidRPr="00AC0CC1">
        <w:rPr>
          <w:i/>
          <w:sz w:val="18"/>
          <w:szCs w:val="18"/>
          <w:lang w:val="en-AU"/>
        </w:rPr>
        <w:t>Aquatic Toxicology72:315-326</w:t>
      </w:r>
      <w:r w:rsidRPr="00AC0CC1">
        <w:rPr>
          <w:sz w:val="18"/>
          <w:szCs w:val="18"/>
          <w:lang w:val="en-AU"/>
        </w:rPr>
        <w:t>.</w:t>
      </w:r>
    </w:p>
    <w:p w14:paraId="15721744"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Chesworth JC, Donkin ME and Brown DT (2004). The interactive effects of the antifouling herbicides Irgarol 1051 and Diuron in the seagrass </w:t>
      </w:r>
      <w:r w:rsidRPr="00AC0CC1">
        <w:rPr>
          <w:i/>
          <w:sz w:val="18"/>
          <w:szCs w:val="18"/>
          <w:lang w:val="en-AU"/>
        </w:rPr>
        <w:t>Zostera marina</w:t>
      </w:r>
      <w:r w:rsidRPr="00AC0CC1">
        <w:rPr>
          <w:sz w:val="18"/>
          <w:szCs w:val="18"/>
          <w:lang w:val="en-AU"/>
        </w:rPr>
        <w:t xml:space="preserve"> (L.). </w:t>
      </w:r>
      <w:r w:rsidRPr="00AC0CC1">
        <w:rPr>
          <w:i/>
          <w:sz w:val="18"/>
          <w:szCs w:val="18"/>
          <w:lang w:val="en-AU"/>
        </w:rPr>
        <w:t>Aquatic Toxicology</w:t>
      </w:r>
      <w:r w:rsidRPr="00AC0CC1">
        <w:rPr>
          <w:sz w:val="18"/>
          <w:szCs w:val="18"/>
          <w:lang w:val="en-AU"/>
        </w:rPr>
        <w:t xml:space="preserve"> 66:293-305.</w:t>
      </w:r>
    </w:p>
    <w:p w14:paraId="15721745"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Duke N, Bell A, Pederson D, Roelfsema CM, Nash SB, Godson LM, Zahmel KN and Mackenzie J (2003). </w:t>
      </w:r>
      <w:r w:rsidRPr="00AC0CC1">
        <w:rPr>
          <w:i/>
          <w:sz w:val="18"/>
          <w:szCs w:val="18"/>
          <w:lang w:val="en-AU"/>
        </w:rPr>
        <w:t xml:space="preserve">Mackay mangrove dieback. </w:t>
      </w:r>
      <w:r w:rsidRPr="00AC0CC1">
        <w:rPr>
          <w:sz w:val="18"/>
          <w:szCs w:val="18"/>
          <w:lang w:val="en-AU"/>
        </w:rPr>
        <w:t>(Investigations in 2002 with recommendations for further research, monitoring and management).</w:t>
      </w:r>
    </w:p>
    <w:p w14:paraId="15721746"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Duke N, Bell A, Pederson D, Roelfsema CM, Nash SB (2005). Herbicides implicated as the cause of severe mangrove dieback in the Mackay region, NE Australia: consequences for marine plant habitats o the Great Barrier Reef World Heritage Area. </w:t>
      </w:r>
      <w:r w:rsidRPr="00AC0CC1">
        <w:rPr>
          <w:i/>
          <w:sz w:val="18"/>
          <w:szCs w:val="18"/>
          <w:lang w:val="en-AU"/>
        </w:rPr>
        <w:t xml:space="preserve">Marine Pollution Bulletin </w:t>
      </w:r>
      <w:r w:rsidRPr="00AC0CC1">
        <w:rPr>
          <w:sz w:val="18"/>
          <w:szCs w:val="18"/>
          <w:lang w:val="en-AU"/>
        </w:rPr>
        <w:t>51(1-4):308-324.</w:t>
      </w:r>
    </w:p>
    <w:p w14:paraId="15721747"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Harrington L, Fabricius K, Eaglesham G, Negri A (2005). Synergistic effects of diuron and sedimentation on photosynthesis and survival of crustose coralline algae. </w:t>
      </w:r>
      <w:r w:rsidRPr="00AC0CC1">
        <w:rPr>
          <w:i/>
          <w:sz w:val="18"/>
          <w:szCs w:val="18"/>
          <w:lang w:val="en-AU"/>
        </w:rPr>
        <w:t xml:space="preserve">Marine Pollution Bulletin </w:t>
      </w:r>
      <w:r w:rsidRPr="00AC0CC1">
        <w:rPr>
          <w:sz w:val="18"/>
          <w:szCs w:val="18"/>
          <w:lang w:val="en-AU"/>
        </w:rPr>
        <w:t>51:415-427.</w:t>
      </w:r>
    </w:p>
    <w:p w14:paraId="15721748"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Haynes D, Ralph P, Prange J and Dennison B (2000). The impact of the Herbicide Diuron on Photosynthesis in Three Species of Tropical Seagrass. </w:t>
      </w:r>
      <w:r w:rsidRPr="00AC0CC1">
        <w:rPr>
          <w:i/>
          <w:sz w:val="18"/>
          <w:szCs w:val="18"/>
          <w:lang w:val="en-AU"/>
        </w:rPr>
        <w:t xml:space="preserve">Marine Pollution Bulletin </w:t>
      </w:r>
      <w:r w:rsidRPr="00AC0CC1">
        <w:rPr>
          <w:sz w:val="18"/>
          <w:szCs w:val="18"/>
          <w:lang w:val="en-AU"/>
        </w:rPr>
        <w:t>41(7-12):288-293.</w:t>
      </w:r>
    </w:p>
    <w:p w14:paraId="15721749"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Jones RJ (2004). Testing the ‘photoinhibition’ model of coral bleaching using chemical inhibitors. </w:t>
      </w:r>
      <w:r w:rsidRPr="00AC0CC1">
        <w:rPr>
          <w:i/>
          <w:sz w:val="18"/>
          <w:szCs w:val="18"/>
          <w:lang w:val="en-AU"/>
        </w:rPr>
        <w:t xml:space="preserve">Marine Ecology Progress Series </w:t>
      </w:r>
      <w:r w:rsidRPr="00AC0CC1">
        <w:rPr>
          <w:sz w:val="18"/>
          <w:szCs w:val="18"/>
          <w:lang w:val="en-AU"/>
        </w:rPr>
        <w:t>284:133-145.</w:t>
      </w:r>
    </w:p>
    <w:p w14:paraId="1572174A"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Jones RJ (2005). The ecotoxicological effects of Photosystem II herbicides on corals. </w:t>
      </w:r>
      <w:r w:rsidRPr="00AC0CC1">
        <w:rPr>
          <w:i/>
          <w:sz w:val="18"/>
          <w:szCs w:val="18"/>
          <w:lang w:val="en-AU"/>
        </w:rPr>
        <w:t>Marine Pollution Bulletin</w:t>
      </w:r>
      <w:r w:rsidRPr="00AC0CC1">
        <w:rPr>
          <w:sz w:val="18"/>
          <w:szCs w:val="18"/>
          <w:lang w:val="en-AU"/>
        </w:rPr>
        <w:t xml:space="preserve"> 51(5-7):495-506.</w:t>
      </w:r>
    </w:p>
    <w:p w14:paraId="1572174B"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Jones RJ and Kerswell AP (2003). Phytotoxicity of Photosystem II (PSII) herbicides to coral. </w:t>
      </w:r>
      <w:r w:rsidRPr="00AC0CC1">
        <w:rPr>
          <w:i/>
          <w:sz w:val="18"/>
          <w:szCs w:val="18"/>
          <w:lang w:val="en-AU"/>
        </w:rPr>
        <w:t xml:space="preserve">Marine Ecology Progress Series </w:t>
      </w:r>
      <w:r w:rsidRPr="00AC0CC1">
        <w:rPr>
          <w:sz w:val="18"/>
          <w:szCs w:val="18"/>
          <w:lang w:val="en-AU"/>
        </w:rPr>
        <w:t>261 (October 17):149-159.</w:t>
      </w:r>
    </w:p>
    <w:p w14:paraId="1572174C"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Jones R, Muller J, Haynes D, Schreiber U (2003). Effects of herbicides diuron and atrazine on corals of the Great Barrier Reef, Australia. </w:t>
      </w:r>
      <w:r w:rsidRPr="00AC0CC1">
        <w:rPr>
          <w:i/>
          <w:sz w:val="18"/>
          <w:szCs w:val="18"/>
          <w:lang w:val="en-AU"/>
        </w:rPr>
        <w:t xml:space="preserve"> Marine Ecology Progress Series 251</w:t>
      </w:r>
      <w:r w:rsidRPr="00AC0CC1">
        <w:rPr>
          <w:sz w:val="18"/>
          <w:szCs w:val="18"/>
          <w:lang w:val="en-AU"/>
        </w:rPr>
        <w:t>:153-167.</w:t>
      </w:r>
    </w:p>
    <w:p w14:paraId="1572174D"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Macinnis-Ng CMO and Ralph PJ (2003). Short term response and recovery of Zostera capricorni photosynthesis after herbicide exposure. </w:t>
      </w:r>
      <w:r w:rsidRPr="00AC0CC1">
        <w:rPr>
          <w:i/>
          <w:sz w:val="18"/>
          <w:szCs w:val="18"/>
          <w:lang w:val="en-AU"/>
        </w:rPr>
        <w:t xml:space="preserve">Aquatic Botany </w:t>
      </w:r>
      <w:r w:rsidRPr="00AC0CC1">
        <w:rPr>
          <w:sz w:val="18"/>
          <w:szCs w:val="18"/>
          <w:lang w:val="en-AU"/>
        </w:rPr>
        <w:t>76:1-15.</w:t>
      </w:r>
    </w:p>
    <w:p w14:paraId="1572174E" w14:textId="77777777" w:rsidR="0059608E" w:rsidRPr="00AC0CC1" w:rsidRDefault="0059608E" w:rsidP="00072CDF">
      <w:pPr>
        <w:spacing w:line="276" w:lineRule="auto"/>
        <w:ind w:left="567" w:hanging="567"/>
        <w:rPr>
          <w:sz w:val="18"/>
          <w:szCs w:val="18"/>
          <w:lang w:val="en-AU"/>
        </w:rPr>
      </w:pPr>
      <w:r w:rsidRPr="00AC0CC1">
        <w:rPr>
          <w:sz w:val="18"/>
          <w:szCs w:val="18"/>
          <w:lang w:val="en-AU"/>
        </w:rPr>
        <w:t>Magnusson M, Heimann K, Negri A, Ridd M (2006). Pesticide Toxicity to estuarine benthic microflora in tropical Queensland. Oral Presentation, Australian Marine Sciences Association, 9-13 July 2006, Cairns Convention Centre, Queensland, Australia.</w:t>
      </w:r>
    </w:p>
    <w:p w14:paraId="1572174F"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Negri A , Vollhardt C, Humphrey C, Heyward A, Jones R, Eaglesham G and Fabricius K (2005). Effects of the herbicide diuron on the early life history stages of coral. </w:t>
      </w:r>
      <w:r w:rsidRPr="00AC0CC1">
        <w:rPr>
          <w:i/>
          <w:sz w:val="18"/>
          <w:szCs w:val="18"/>
          <w:lang w:val="en-AU"/>
        </w:rPr>
        <w:t xml:space="preserve">Marine Pollution Bulletin </w:t>
      </w:r>
      <w:r w:rsidRPr="00AC0CC1">
        <w:rPr>
          <w:sz w:val="18"/>
          <w:szCs w:val="18"/>
          <w:lang w:val="en-AU"/>
        </w:rPr>
        <w:t>51:370-383.</w:t>
      </w:r>
    </w:p>
    <w:p w14:paraId="15721750"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Owen R, Knap A, Ostrander N and Carbery K (2003). Comparative acute toxicity of herbicides to photosynthesis of Coral Zooxanthellae. </w:t>
      </w:r>
      <w:r w:rsidRPr="00AC0CC1">
        <w:rPr>
          <w:i/>
          <w:sz w:val="18"/>
          <w:szCs w:val="18"/>
          <w:lang w:val="en-AU"/>
        </w:rPr>
        <w:t xml:space="preserve">Bulletin of Environmental Contamination and Toxicology </w:t>
      </w:r>
      <w:r w:rsidRPr="00AC0CC1">
        <w:rPr>
          <w:sz w:val="18"/>
          <w:szCs w:val="18"/>
          <w:lang w:val="en-AU"/>
        </w:rPr>
        <w:t>70:541-548.</w:t>
      </w:r>
    </w:p>
    <w:p w14:paraId="15721751"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Råberg S, Nystrom M, Eros M and Plantman P (2003). Impact of the herbicides 2,4-D and diuron on the metabolism of the coral Porites cylindrical. </w:t>
      </w:r>
      <w:r w:rsidRPr="00AC0CC1">
        <w:rPr>
          <w:i/>
          <w:sz w:val="18"/>
          <w:szCs w:val="18"/>
          <w:lang w:val="en-AU"/>
        </w:rPr>
        <w:t xml:space="preserve">Marine Environmental Research </w:t>
      </w:r>
      <w:r w:rsidRPr="00AC0CC1">
        <w:rPr>
          <w:sz w:val="18"/>
          <w:szCs w:val="18"/>
          <w:lang w:val="en-AU"/>
        </w:rPr>
        <w:t>503-514.</w:t>
      </w:r>
    </w:p>
    <w:p w14:paraId="15721752"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Schreiber U, Muller JF, Haugg A and Gademann R (2002). New type of dual-channel PAM chlorophyll fluorometer for highly sensitive water toxicity biotests. </w:t>
      </w:r>
      <w:r w:rsidRPr="00AC0CC1">
        <w:rPr>
          <w:i/>
          <w:sz w:val="18"/>
          <w:szCs w:val="18"/>
          <w:lang w:val="en-AU"/>
        </w:rPr>
        <w:t xml:space="preserve">Photosynthesis Research </w:t>
      </w:r>
      <w:r w:rsidRPr="00AC0CC1">
        <w:rPr>
          <w:sz w:val="18"/>
          <w:szCs w:val="18"/>
          <w:lang w:val="en-AU"/>
        </w:rPr>
        <w:t>74:317-330.</w:t>
      </w:r>
    </w:p>
    <w:p w14:paraId="15721753" w14:textId="77777777" w:rsidR="0059608E" w:rsidRPr="00AC0CC1" w:rsidRDefault="0059608E" w:rsidP="00072CDF">
      <w:pPr>
        <w:spacing w:line="276" w:lineRule="auto"/>
        <w:ind w:left="567" w:hanging="567"/>
        <w:rPr>
          <w:sz w:val="18"/>
          <w:szCs w:val="18"/>
          <w:lang w:val="en-AU"/>
        </w:rPr>
      </w:pPr>
      <w:r w:rsidRPr="00AC0CC1">
        <w:rPr>
          <w:sz w:val="18"/>
          <w:szCs w:val="18"/>
          <w:lang w:val="en-AU"/>
        </w:rPr>
        <w:t xml:space="preserve">Seery CR, Gunthorpe L and Ralph PJ (2006). Herbicide impact on Hormosira banksii gametes measured by fluorescence and germination bioassays. </w:t>
      </w:r>
      <w:r w:rsidRPr="00AC0CC1">
        <w:rPr>
          <w:i/>
          <w:sz w:val="18"/>
          <w:szCs w:val="18"/>
          <w:lang w:val="en-AU"/>
        </w:rPr>
        <w:t xml:space="preserve">Environmental pollution </w:t>
      </w:r>
      <w:r w:rsidRPr="00AC0CC1">
        <w:rPr>
          <w:sz w:val="18"/>
          <w:szCs w:val="18"/>
          <w:lang w:val="en-AU"/>
        </w:rPr>
        <w:t>140:43-51.</w:t>
      </w:r>
    </w:p>
    <w:p w14:paraId="15721757" w14:textId="52B28BA2" w:rsidR="00A206DB" w:rsidRPr="005C069F" w:rsidRDefault="0059608E" w:rsidP="005C069F">
      <w:pPr>
        <w:spacing w:line="276" w:lineRule="auto"/>
        <w:ind w:left="567" w:hanging="567"/>
        <w:rPr>
          <w:sz w:val="18"/>
          <w:szCs w:val="18"/>
          <w:lang w:val="en-AU"/>
        </w:rPr>
      </w:pPr>
      <w:r w:rsidRPr="00AC0CC1">
        <w:rPr>
          <w:sz w:val="18"/>
          <w:szCs w:val="18"/>
          <w:lang w:val="en-AU"/>
        </w:rPr>
        <w:t xml:space="preserve">Sunsderam RIM, Warne MSJ, Chapman JC, Pablo F, Hawkins J, Rose RM, Patra RW (2000). </w:t>
      </w:r>
      <w:r w:rsidRPr="00AC0CC1">
        <w:rPr>
          <w:i/>
          <w:sz w:val="18"/>
          <w:szCs w:val="18"/>
          <w:lang w:val="en-AU"/>
        </w:rPr>
        <w:t xml:space="preserve">The ANZECC and ARMCANZ water quality guideline database for toxicants. </w:t>
      </w:r>
      <w:r w:rsidRPr="00AC0CC1">
        <w:rPr>
          <w:sz w:val="18"/>
          <w:szCs w:val="18"/>
          <w:lang w:val="en-AU"/>
        </w:rPr>
        <w:t>Supplied as a CD-rom in the ANZECC and ARMCANZ (2000) Australian and New Zealand Guidelines for Fresh and Marine Water Quality.</w:t>
      </w:r>
    </w:p>
    <w:p w14:paraId="15721758" w14:textId="77777777" w:rsidR="00A206DB" w:rsidRDefault="00A206DB" w:rsidP="00015606">
      <w:pPr>
        <w:spacing w:after="120" w:line="276" w:lineRule="auto"/>
        <w:rPr>
          <w:lang w:val="en-AU"/>
        </w:rPr>
      </w:pPr>
    </w:p>
    <w:p w14:paraId="15721759" w14:textId="77777777" w:rsidR="0056354A" w:rsidRDefault="0056354A" w:rsidP="0056354A">
      <w:pPr>
        <w:jc w:val="left"/>
        <w:rPr>
          <w:lang w:val="en-AU"/>
        </w:rPr>
        <w:sectPr w:rsidR="0056354A" w:rsidSect="0056354A">
          <w:pgSz w:w="16839" w:h="11907" w:orient="landscape" w:code="9"/>
          <w:pgMar w:top="720" w:right="720" w:bottom="720" w:left="720" w:header="709" w:footer="709" w:gutter="0"/>
          <w:cols w:space="708"/>
          <w:docGrid w:linePitch="360"/>
        </w:sectPr>
      </w:pPr>
    </w:p>
    <w:p w14:paraId="1572175A" w14:textId="0A5DB2D1" w:rsidR="0059608E" w:rsidRDefault="00305AC4" w:rsidP="0056354A">
      <w:pPr>
        <w:jc w:val="left"/>
        <w:rPr>
          <w:lang w:val="en-AU"/>
        </w:rPr>
      </w:pPr>
      <w:r>
        <w:rPr>
          <w:lang w:val="en-AU"/>
        </w:rPr>
        <w:t>In addition</w:t>
      </w:r>
      <w:r w:rsidR="003363A0" w:rsidRPr="001C45D0">
        <w:rPr>
          <w:lang w:val="en-AU"/>
        </w:rPr>
        <w:t>,</w:t>
      </w:r>
      <w:r w:rsidR="0059608E" w:rsidRPr="001C45D0">
        <w:rPr>
          <w:lang w:val="en-AU"/>
        </w:rPr>
        <w:t xml:space="preserve"> the following marine data </w:t>
      </w:r>
      <w:r>
        <w:rPr>
          <w:lang w:val="en-AU"/>
        </w:rPr>
        <w:t>are</w:t>
      </w:r>
      <w:r w:rsidR="0059608E" w:rsidRPr="001C45D0">
        <w:rPr>
          <w:lang w:val="en-AU"/>
        </w:rPr>
        <w:t xml:space="preserve"> from the Australian Pesticides and Veterinary Medicines Authority (APVMA</w:t>
      </w:r>
      <w:r>
        <w:rPr>
          <w:lang w:val="en-AU"/>
        </w:rPr>
        <w:t>,</w:t>
      </w:r>
      <w:r w:rsidR="0059608E" w:rsidRPr="001C45D0">
        <w:rPr>
          <w:lang w:val="en-AU"/>
        </w:rPr>
        <w:t xml:space="preserve"> 2005), Volume I and II as preliminary findings for diuron</w:t>
      </w:r>
      <w:r w:rsidR="00AC0CC1">
        <w:rPr>
          <w:lang w:val="en-AU"/>
        </w:rPr>
        <w:t xml:space="preserve"> (Table </w:t>
      </w:r>
      <w:r w:rsidR="000A467A">
        <w:rPr>
          <w:lang w:val="en-AU"/>
        </w:rPr>
        <w:t>C-2</w:t>
      </w:r>
      <w:r w:rsidR="00AC0CC1">
        <w:rPr>
          <w:lang w:val="en-AU"/>
        </w:rPr>
        <w:t>)</w:t>
      </w:r>
      <w:r w:rsidR="0059608E" w:rsidRPr="001C45D0">
        <w:rPr>
          <w:lang w:val="en-AU"/>
        </w:rPr>
        <w:t>. Effects concentrations are reported in µg</w:t>
      </w:r>
      <w:r w:rsidR="0088783F" w:rsidRPr="001C45D0">
        <w:rPr>
          <w:lang w:val="en-AU"/>
        </w:rPr>
        <w:t xml:space="preserve"> </w:t>
      </w:r>
      <w:r w:rsidR="0059608E" w:rsidRPr="001C45D0">
        <w:rPr>
          <w:lang w:val="en-AU"/>
        </w:rPr>
        <w:t>L</w:t>
      </w:r>
      <w:r w:rsidR="0059608E" w:rsidRPr="001C45D0">
        <w:rPr>
          <w:vertAlign w:val="superscript"/>
          <w:lang w:val="en-AU"/>
        </w:rPr>
        <w:t>-1</w:t>
      </w:r>
      <w:r w:rsidR="0059608E" w:rsidRPr="001C45D0">
        <w:rPr>
          <w:lang w:val="en-AU"/>
        </w:rPr>
        <w:t>. This data set has also been used in the derivation of Ca</w:t>
      </w:r>
      <w:r w:rsidR="00EB48FA" w:rsidRPr="001C45D0">
        <w:rPr>
          <w:lang w:val="en-AU"/>
        </w:rPr>
        <w:t>tegory 1 of the PSII-</w:t>
      </w:r>
      <w:r w:rsidR="009D307F">
        <w:rPr>
          <w:lang w:val="en-AU"/>
        </w:rPr>
        <w:t>HEq</w:t>
      </w:r>
      <w:r w:rsidR="00EB48FA" w:rsidRPr="001C45D0">
        <w:rPr>
          <w:lang w:val="en-AU"/>
        </w:rPr>
        <w:t xml:space="preserve"> Index.</w:t>
      </w:r>
    </w:p>
    <w:p w14:paraId="1572175B" w14:textId="77777777" w:rsidR="00A206DB" w:rsidRDefault="00A206DB" w:rsidP="00015606">
      <w:pPr>
        <w:spacing w:after="120" w:line="276" w:lineRule="auto"/>
        <w:rPr>
          <w:lang w:val="en-AU"/>
        </w:rPr>
      </w:pPr>
    </w:p>
    <w:p w14:paraId="1572175C" w14:textId="77777777" w:rsidR="00EB48FA" w:rsidRPr="00305AC4" w:rsidRDefault="004A2E7A" w:rsidP="004A2E7A">
      <w:pPr>
        <w:pStyle w:val="Caption"/>
        <w:rPr>
          <w:b w:val="0"/>
        </w:rPr>
      </w:pPr>
      <w:bookmarkStart w:id="768" w:name="_Ref480881543"/>
      <w:bookmarkStart w:id="769" w:name="_Toc502499812"/>
      <w:r>
        <w:t xml:space="preserve">Table </w:t>
      </w:r>
      <w:r w:rsidR="00C91BF5">
        <w:fldChar w:fldCharType="begin"/>
      </w:r>
      <w:r w:rsidR="008C60F9">
        <w:instrText xml:space="preserve"> STYLEREF 7 \s </w:instrText>
      </w:r>
      <w:r w:rsidR="00C91BF5">
        <w:fldChar w:fldCharType="separate"/>
      </w:r>
      <w:r w:rsidR="00D12276">
        <w:rPr>
          <w:noProof/>
        </w:rPr>
        <w:t>C</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2</w:t>
      </w:r>
      <w:r w:rsidR="00C91BF5">
        <w:fldChar w:fldCharType="end"/>
      </w:r>
      <w:bookmarkEnd w:id="768"/>
      <w:r>
        <w:t xml:space="preserve">: </w:t>
      </w:r>
      <w:r w:rsidR="00EB48FA" w:rsidRPr="00305AC4">
        <w:rPr>
          <w:b w:val="0"/>
        </w:rPr>
        <w:t>Preliminary effects of diuron in marine organisms</w:t>
      </w:r>
      <w:bookmarkEnd w:id="769"/>
    </w:p>
    <w:tbl>
      <w:tblPr>
        <w:tblStyle w:val="TableGrid"/>
        <w:tblpPr w:leftFromText="180" w:rightFromText="180" w:vertAnchor="text" w:horzAnchor="margin" w:tblpY="124"/>
        <w:tblW w:w="4943" w:type="pct"/>
        <w:tblBorders>
          <w:left w:val="none" w:sz="0" w:space="0" w:color="auto"/>
          <w:right w:val="none" w:sz="0" w:space="0" w:color="auto"/>
          <w:insideV w:val="none" w:sz="0" w:space="0" w:color="auto"/>
        </w:tblBorders>
        <w:tblLook w:val="04A0" w:firstRow="1" w:lastRow="0" w:firstColumn="1" w:lastColumn="0" w:noHBand="0" w:noVBand="1"/>
        <w:tblCaption w:val="Preliminary effects of diuron in marine organisms"/>
        <w:tblDescription w:val="Table in four columns: organisms and comments, Toxicity (ug L-1) test substance (95% CL), Year reported and US EPA category"/>
      </w:tblPr>
      <w:tblGrid>
        <w:gridCol w:w="4386"/>
        <w:gridCol w:w="2732"/>
        <w:gridCol w:w="1854"/>
        <w:gridCol w:w="1376"/>
      </w:tblGrid>
      <w:tr w:rsidR="0088783F" w:rsidRPr="00AC0CC1" w14:paraId="15721761" w14:textId="77777777" w:rsidTr="0000285F">
        <w:trPr>
          <w:trHeight w:val="238"/>
          <w:tblHeader/>
        </w:trPr>
        <w:tc>
          <w:tcPr>
            <w:tcW w:w="2119" w:type="pct"/>
            <w:shd w:val="clear" w:color="auto" w:fill="F2F2F2" w:themeFill="background1" w:themeFillShade="F2"/>
            <w:vAlign w:val="center"/>
          </w:tcPr>
          <w:p w14:paraId="1572175D" w14:textId="77777777" w:rsidR="0088783F" w:rsidRPr="00AC0CC1" w:rsidRDefault="0088783F" w:rsidP="00AC0CC1">
            <w:pPr>
              <w:tabs>
                <w:tab w:val="left" w:pos="1660"/>
              </w:tabs>
              <w:spacing w:before="60" w:after="60"/>
              <w:jc w:val="left"/>
              <w:rPr>
                <w:rFonts w:asciiTheme="minorHAnsi" w:hAnsiTheme="minorHAnsi" w:cstheme="minorHAnsi"/>
                <w:b/>
                <w:szCs w:val="20"/>
                <w:lang w:val="en-AU"/>
              </w:rPr>
            </w:pPr>
            <w:bookmarkStart w:id="770" w:name="_Toc461457787"/>
            <w:r w:rsidRPr="00AC0CC1">
              <w:rPr>
                <w:rFonts w:asciiTheme="minorHAnsi" w:hAnsiTheme="minorHAnsi" w:cstheme="minorHAnsi"/>
                <w:b/>
                <w:szCs w:val="20"/>
                <w:lang w:val="en-AU"/>
              </w:rPr>
              <w:t>Organisms and comments</w:t>
            </w:r>
          </w:p>
        </w:tc>
        <w:tc>
          <w:tcPr>
            <w:tcW w:w="1320" w:type="pct"/>
            <w:shd w:val="clear" w:color="auto" w:fill="F2F2F2" w:themeFill="background1" w:themeFillShade="F2"/>
            <w:vAlign w:val="center"/>
          </w:tcPr>
          <w:p w14:paraId="1572175E" w14:textId="77777777" w:rsidR="0088783F" w:rsidRPr="00AC0CC1" w:rsidRDefault="0088783F" w:rsidP="00AC0CC1">
            <w:pPr>
              <w:tabs>
                <w:tab w:val="left" w:pos="1660"/>
              </w:tabs>
              <w:spacing w:before="60" w:after="60"/>
              <w:jc w:val="center"/>
              <w:rPr>
                <w:rFonts w:asciiTheme="minorHAnsi" w:hAnsiTheme="minorHAnsi" w:cstheme="minorHAnsi"/>
                <w:b/>
                <w:szCs w:val="20"/>
                <w:lang w:val="en-AU"/>
              </w:rPr>
            </w:pPr>
            <w:r w:rsidRPr="00AC0CC1">
              <w:rPr>
                <w:rFonts w:asciiTheme="minorHAnsi" w:hAnsiTheme="minorHAnsi" w:cstheme="minorHAnsi"/>
                <w:b/>
                <w:szCs w:val="20"/>
                <w:lang w:val="en-AU"/>
              </w:rPr>
              <w:t>Toxicity (ug</w:t>
            </w:r>
            <w:r w:rsidR="00305AC4" w:rsidRPr="00AC0CC1">
              <w:rPr>
                <w:rFonts w:asciiTheme="minorHAnsi" w:hAnsiTheme="minorHAnsi" w:cstheme="minorHAnsi"/>
                <w:b/>
                <w:szCs w:val="20"/>
                <w:lang w:val="en-AU"/>
              </w:rPr>
              <w:t xml:space="preserve"> </w:t>
            </w:r>
            <w:r w:rsidRPr="00AC0CC1">
              <w:rPr>
                <w:rFonts w:asciiTheme="minorHAnsi" w:hAnsiTheme="minorHAnsi" w:cstheme="minorHAnsi"/>
                <w:b/>
                <w:szCs w:val="20"/>
                <w:lang w:val="en-AU"/>
              </w:rPr>
              <w:t>L</w:t>
            </w:r>
            <w:r w:rsidRPr="00AC0CC1">
              <w:rPr>
                <w:rFonts w:asciiTheme="minorHAnsi" w:hAnsiTheme="minorHAnsi" w:cstheme="minorHAnsi"/>
                <w:b/>
                <w:szCs w:val="20"/>
                <w:vertAlign w:val="superscript"/>
                <w:lang w:val="en-AU"/>
              </w:rPr>
              <w:t>-1</w:t>
            </w:r>
            <w:r w:rsidRPr="00AC0CC1">
              <w:rPr>
                <w:rFonts w:asciiTheme="minorHAnsi" w:hAnsiTheme="minorHAnsi" w:cstheme="minorHAnsi"/>
                <w:b/>
                <w:szCs w:val="20"/>
                <w:lang w:val="en-AU"/>
              </w:rPr>
              <w:t>) test substance (95% CL)</w:t>
            </w:r>
          </w:p>
        </w:tc>
        <w:tc>
          <w:tcPr>
            <w:tcW w:w="896" w:type="pct"/>
            <w:shd w:val="clear" w:color="auto" w:fill="F2F2F2" w:themeFill="background1" w:themeFillShade="F2"/>
            <w:vAlign w:val="center"/>
          </w:tcPr>
          <w:p w14:paraId="1572175F" w14:textId="77777777" w:rsidR="0088783F" w:rsidRPr="00AC0CC1" w:rsidRDefault="0088783F" w:rsidP="00AC0CC1">
            <w:pPr>
              <w:tabs>
                <w:tab w:val="left" w:pos="1660"/>
              </w:tabs>
              <w:spacing w:before="60" w:after="60"/>
              <w:jc w:val="center"/>
              <w:rPr>
                <w:rFonts w:asciiTheme="minorHAnsi" w:hAnsiTheme="minorHAnsi" w:cstheme="minorHAnsi"/>
                <w:b/>
                <w:szCs w:val="20"/>
                <w:lang w:val="en-AU"/>
              </w:rPr>
            </w:pPr>
            <w:r w:rsidRPr="00AC0CC1">
              <w:rPr>
                <w:rFonts w:asciiTheme="minorHAnsi" w:hAnsiTheme="minorHAnsi" w:cstheme="minorHAnsi"/>
                <w:b/>
                <w:szCs w:val="20"/>
                <w:lang w:val="en-AU"/>
              </w:rPr>
              <w:t>Year reported</w:t>
            </w:r>
          </w:p>
        </w:tc>
        <w:tc>
          <w:tcPr>
            <w:tcW w:w="663" w:type="pct"/>
            <w:shd w:val="clear" w:color="auto" w:fill="F2F2F2" w:themeFill="background1" w:themeFillShade="F2"/>
            <w:vAlign w:val="center"/>
          </w:tcPr>
          <w:p w14:paraId="15721760" w14:textId="77777777" w:rsidR="0088783F" w:rsidRPr="00AC0CC1" w:rsidRDefault="0088783F" w:rsidP="00AC0CC1">
            <w:pPr>
              <w:tabs>
                <w:tab w:val="left" w:pos="1660"/>
              </w:tabs>
              <w:spacing w:before="60" w:after="60"/>
              <w:jc w:val="center"/>
              <w:rPr>
                <w:rFonts w:asciiTheme="minorHAnsi" w:hAnsiTheme="minorHAnsi" w:cstheme="minorHAnsi"/>
                <w:b/>
                <w:szCs w:val="20"/>
                <w:lang w:val="en-AU"/>
              </w:rPr>
            </w:pPr>
            <w:r w:rsidRPr="00AC0CC1">
              <w:rPr>
                <w:rFonts w:asciiTheme="minorHAnsi" w:hAnsiTheme="minorHAnsi" w:cstheme="minorHAnsi"/>
                <w:b/>
                <w:szCs w:val="20"/>
                <w:lang w:val="en-AU"/>
              </w:rPr>
              <w:t>US EPA category</w:t>
            </w:r>
          </w:p>
        </w:tc>
      </w:tr>
      <w:tr w:rsidR="00097E35" w:rsidRPr="00AC0CC1" w14:paraId="15721763" w14:textId="77777777" w:rsidTr="0000285F">
        <w:trPr>
          <w:trHeight w:val="258"/>
        </w:trPr>
        <w:tc>
          <w:tcPr>
            <w:tcW w:w="5000" w:type="pct"/>
            <w:gridSpan w:val="4"/>
            <w:tcBorders>
              <w:bottom w:val="single" w:sz="4" w:space="0" w:color="auto"/>
            </w:tcBorders>
            <w:shd w:val="clear" w:color="auto" w:fill="auto"/>
            <w:vAlign w:val="center"/>
          </w:tcPr>
          <w:p w14:paraId="15721762" w14:textId="77777777" w:rsidR="00097E35" w:rsidRPr="00AC0CC1" w:rsidRDefault="00097E35" w:rsidP="00AC0CC1">
            <w:pPr>
              <w:tabs>
                <w:tab w:val="left" w:pos="1660"/>
              </w:tabs>
              <w:spacing w:before="60" w:after="60"/>
              <w:jc w:val="left"/>
              <w:rPr>
                <w:rFonts w:asciiTheme="minorHAnsi" w:hAnsiTheme="minorHAnsi" w:cstheme="minorHAnsi"/>
                <w:b/>
                <w:szCs w:val="20"/>
                <w:lang w:val="en-AU"/>
              </w:rPr>
            </w:pPr>
            <w:r w:rsidRPr="00AC0CC1">
              <w:rPr>
                <w:rFonts w:asciiTheme="minorHAnsi" w:hAnsiTheme="minorHAnsi" w:cstheme="minorHAnsi"/>
                <w:b/>
                <w:szCs w:val="20"/>
                <w:lang w:val="en-AU"/>
              </w:rPr>
              <w:t>Fish</w:t>
            </w:r>
          </w:p>
        </w:tc>
      </w:tr>
      <w:tr w:rsidR="0088783F" w:rsidRPr="00AC0CC1" w14:paraId="15721768" w14:textId="77777777" w:rsidTr="0000285F">
        <w:trPr>
          <w:trHeight w:val="258"/>
        </w:trPr>
        <w:tc>
          <w:tcPr>
            <w:tcW w:w="2119" w:type="pct"/>
            <w:tcBorders>
              <w:bottom w:val="nil"/>
            </w:tcBorders>
            <w:vAlign w:val="center"/>
          </w:tcPr>
          <w:p w14:paraId="15721764"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M. cephalus </w:t>
            </w:r>
            <w:r w:rsidRPr="00AC0CC1">
              <w:rPr>
                <w:rFonts w:asciiTheme="minorHAnsi" w:hAnsiTheme="minorHAnsi" w:cstheme="minorHAnsi"/>
                <w:szCs w:val="20"/>
                <w:lang w:val="en-AU"/>
              </w:rPr>
              <w:t>(striped mullet) tech. (95%) static</w:t>
            </w:r>
          </w:p>
        </w:tc>
        <w:tc>
          <w:tcPr>
            <w:tcW w:w="1320" w:type="pct"/>
            <w:tcBorders>
              <w:bottom w:val="nil"/>
            </w:tcBorders>
            <w:vAlign w:val="center"/>
          </w:tcPr>
          <w:p w14:paraId="15721765"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6300 (NR)</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48h, acute</w:t>
            </w:r>
          </w:p>
        </w:tc>
        <w:tc>
          <w:tcPr>
            <w:tcW w:w="896" w:type="pct"/>
            <w:tcBorders>
              <w:bottom w:val="nil"/>
            </w:tcBorders>
            <w:vAlign w:val="center"/>
          </w:tcPr>
          <w:p w14:paraId="15721766"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bottom w:val="nil"/>
            </w:tcBorders>
            <w:vAlign w:val="center"/>
          </w:tcPr>
          <w:p w14:paraId="15721767"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6E" w14:textId="77777777" w:rsidTr="0000285F">
        <w:trPr>
          <w:trHeight w:val="516"/>
        </w:trPr>
        <w:tc>
          <w:tcPr>
            <w:tcW w:w="2119" w:type="pct"/>
            <w:tcBorders>
              <w:top w:val="nil"/>
            </w:tcBorders>
            <w:vAlign w:val="center"/>
          </w:tcPr>
          <w:p w14:paraId="15721769"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C. variegates </w:t>
            </w:r>
            <w:r w:rsidRPr="00AC0CC1">
              <w:rPr>
                <w:rFonts w:asciiTheme="minorHAnsi" w:hAnsiTheme="minorHAnsi" w:cstheme="minorHAnsi"/>
                <w:szCs w:val="20"/>
                <w:lang w:val="en-AU"/>
              </w:rPr>
              <w:t>(Sheephead minnow) 99% active constituent; static</w:t>
            </w:r>
          </w:p>
        </w:tc>
        <w:tc>
          <w:tcPr>
            <w:tcW w:w="1320" w:type="pct"/>
            <w:tcBorders>
              <w:top w:val="nil"/>
            </w:tcBorders>
            <w:vAlign w:val="center"/>
          </w:tcPr>
          <w:p w14:paraId="1572176A"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6700 (NR)</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96h, acute</w:t>
            </w:r>
          </w:p>
          <w:p w14:paraId="1572176B"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NOEC = 3600</w:t>
            </w:r>
          </w:p>
        </w:tc>
        <w:tc>
          <w:tcPr>
            <w:tcW w:w="896" w:type="pct"/>
            <w:tcBorders>
              <w:top w:val="nil"/>
            </w:tcBorders>
            <w:vAlign w:val="center"/>
          </w:tcPr>
          <w:p w14:paraId="1572176C"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tcBorders>
            <w:vAlign w:val="center"/>
          </w:tcPr>
          <w:p w14:paraId="1572176D"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Core</w:t>
            </w:r>
          </w:p>
        </w:tc>
      </w:tr>
      <w:tr w:rsidR="00097E35" w:rsidRPr="00AC0CC1" w14:paraId="15721770" w14:textId="77777777" w:rsidTr="0000285F">
        <w:trPr>
          <w:trHeight w:val="258"/>
        </w:trPr>
        <w:tc>
          <w:tcPr>
            <w:tcW w:w="5000" w:type="pct"/>
            <w:gridSpan w:val="4"/>
            <w:tcBorders>
              <w:bottom w:val="single" w:sz="4" w:space="0" w:color="auto"/>
            </w:tcBorders>
            <w:shd w:val="clear" w:color="auto" w:fill="auto"/>
            <w:vAlign w:val="center"/>
          </w:tcPr>
          <w:p w14:paraId="1572176F" w14:textId="77777777" w:rsidR="00097E35" w:rsidRPr="00AC0CC1" w:rsidRDefault="00097E35" w:rsidP="00AC0CC1">
            <w:pPr>
              <w:tabs>
                <w:tab w:val="left" w:pos="1660"/>
              </w:tabs>
              <w:spacing w:before="60" w:after="60"/>
              <w:jc w:val="left"/>
              <w:rPr>
                <w:rFonts w:asciiTheme="minorHAnsi" w:hAnsiTheme="minorHAnsi" w:cstheme="minorHAnsi"/>
                <w:b/>
                <w:szCs w:val="20"/>
                <w:lang w:val="en-AU"/>
              </w:rPr>
            </w:pPr>
            <w:r w:rsidRPr="00AC0CC1">
              <w:rPr>
                <w:rFonts w:asciiTheme="minorHAnsi" w:hAnsiTheme="minorHAnsi" w:cstheme="minorHAnsi"/>
                <w:b/>
                <w:szCs w:val="20"/>
                <w:lang w:val="en-AU"/>
              </w:rPr>
              <w:t>Invertebrates</w:t>
            </w:r>
          </w:p>
        </w:tc>
      </w:tr>
      <w:tr w:rsidR="0088783F" w:rsidRPr="00AC0CC1" w14:paraId="15721776" w14:textId="77777777" w:rsidTr="0000285F">
        <w:trPr>
          <w:trHeight w:val="258"/>
        </w:trPr>
        <w:tc>
          <w:tcPr>
            <w:tcW w:w="2119" w:type="pct"/>
            <w:tcBorders>
              <w:bottom w:val="nil"/>
            </w:tcBorders>
            <w:vAlign w:val="center"/>
          </w:tcPr>
          <w:p w14:paraId="15721771"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M. bahia </w:t>
            </w:r>
            <w:r w:rsidRPr="00AC0CC1">
              <w:rPr>
                <w:rFonts w:asciiTheme="minorHAnsi" w:hAnsiTheme="minorHAnsi" w:cstheme="minorHAnsi"/>
                <w:szCs w:val="20"/>
                <w:lang w:val="en-AU"/>
              </w:rPr>
              <w:t>(Mysid shrimp) 99% active constituent; static</w:t>
            </w:r>
          </w:p>
        </w:tc>
        <w:tc>
          <w:tcPr>
            <w:tcW w:w="1320" w:type="pct"/>
            <w:tcBorders>
              <w:bottom w:val="nil"/>
            </w:tcBorders>
            <w:vAlign w:val="center"/>
          </w:tcPr>
          <w:p w14:paraId="15721772"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LC50 = 110</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96h, acute</w:t>
            </w:r>
          </w:p>
          <w:p w14:paraId="15721773"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NOEC = 1000</w:t>
            </w:r>
          </w:p>
        </w:tc>
        <w:tc>
          <w:tcPr>
            <w:tcW w:w="896" w:type="pct"/>
            <w:tcBorders>
              <w:bottom w:val="nil"/>
            </w:tcBorders>
            <w:vAlign w:val="center"/>
          </w:tcPr>
          <w:p w14:paraId="15721774"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1987</w:t>
            </w:r>
          </w:p>
        </w:tc>
        <w:tc>
          <w:tcPr>
            <w:tcW w:w="663" w:type="pct"/>
            <w:tcBorders>
              <w:bottom w:val="nil"/>
            </w:tcBorders>
            <w:vAlign w:val="center"/>
          </w:tcPr>
          <w:p w14:paraId="15721775"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Core</w:t>
            </w:r>
          </w:p>
        </w:tc>
      </w:tr>
      <w:tr w:rsidR="0088783F" w:rsidRPr="00AC0CC1" w14:paraId="1572177C" w14:textId="77777777" w:rsidTr="0000285F">
        <w:trPr>
          <w:trHeight w:val="258"/>
        </w:trPr>
        <w:tc>
          <w:tcPr>
            <w:tcW w:w="2119" w:type="pct"/>
            <w:tcBorders>
              <w:top w:val="nil"/>
              <w:bottom w:val="nil"/>
            </w:tcBorders>
            <w:vAlign w:val="center"/>
          </w:tcPr>
          <w:p w14:paraId="15721777"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M. bahia </w:t>
            </w:r>
            <w:r w:rsidRPr="00AC0CC1">
              <w:rPr>
                <w:rFonts w:asciiTheme="minorHAnsi" w:hAnsiTheme="minorHAnsi" w:cstheme="minorHAnsi"/>
                <w:szCs w:val="20"/>
                <w:lang w:val="en-AU"/>
              </w:rPr>
              <w:t>(Mysid shrimp) 96.8% active constituent; early life stage; static</w:t>
            </w:r>
          </w:p>
        </w:tc>
        <w:tc>
          <w:tcPr>
            <w:tcW w:w="1320" w:type="pct"/>
            <w:tcBorders>
              <w:top w:val="nil"/>
              <w:bottom w:val="nil"/>
            </w:tcBorders>
            <w:vAlign w:val="center"/>
          </w:tcPr>
          <w:p w14:paraId="15721778"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28d LOEC = 110</w:t>
            </w:r>
          </w:p>
          <w:p w14:paraId="15721779"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NOEC = 270</w:t>
            </w:r>
          </w:p>
        </w:tc>
        <w:tc>
          <w:tcPr>
            <w:tcW w:w="896" w:type="pct"/>
            <w:tcBorders>
              <w:top w:val="nil"/>
              <w:bottom w:val="nil"/>
            </w:tcBorders>
            <w:vAlign w:val="center"/>
          </w:tcPr>
          <w:p w14:paraId="1572177A"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1992</w:t>
            </w:r>
          </w:p>
        </w:tc>
        <w:tc>
          <w:tcPr>
            <w:tcW w:w="663" w:type="pct"/>
            <w:tcBorders>
              <w:top w:val="nil"/>
              <w:bottom w:val="nil"/>
            </w:tcBorders>
            <w:vAlign w:val="center"/>
          </w:tcPr>
          <w:p w14:paraId="1572177B"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Core</w:t>
            </w:r>
          </w:p>
        </w:tc>
      </w:tr>
      <w:tr w:rsidR="0088783F" w:rsidRPr="00AC0CC1" w14:paraId="15721781" w14:textId="77777777" w:rsidTr="0000285F">
        <w:trPr>
          <w:trHeight w:val="258"/>
        </w:trPr>
        <w:tc>
          <w:tcPr>
            <w:tcW w:w="2119" w:type="pct"/>
            <w:tcBorders>
              <w:top w:val="nil"/>
              <w:bottom w:val="nil"/>
            </w:tcBorders>
            <w:vAlign w:val="center"/>
          </w:tcPr>
          <w:p w14:paraId="1572177D"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P. aztecus </w:t>
            </w:r>
            <w:r w:rsidRPr="00AC0CC1">
              <w:rPr>
                <w:rFonts w:asciiTheme="minorHAnsi" w:hAnsiTheme="minorHAnsi" w:cstheme="minorHAnsi"/>
                <w:szCs w:val="20"/>
                <w:lang w:val="en-AU"/>
              </w:rPr>
              <w:t>(Brown shrimp) 95% active constituent; flow through</w:t>
            </w:r>
          </w:p>
        </w:tc>
        <w:tc>
          <w:tcPr>
            <w:tcW w:w="1320" w:type="pct"/>
            <w:tcBorders>
              <w:top w:val="nil"/>
              <w:bottom w:val="nil"/>
            </w:tcBorders>
            <w:vAlign w:val="center"/>
          </w:tcPr>
          <w:p w14:paraId="1572177E"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LC50 = 1000</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48h acute</w:t>
            </w:r>
          </w:p>
        </w:tc>
        <w:tc>
          <w:tcPr>
            <w:tcW w:w="896" w:type="pct"/>
            <w:tcBorders>
              <w:top w:val="nil"/>
              <w:bottom w:val="nil"/>
            </w:tcBorders>
            <w:vAlign w:val="center"/>
          </w:tcPr>
          <w:p w14:paraId="1572177F"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bottom w:val="nil"/>
            </w:tcBorders>
            <w:vAlign w:val="center"/>
          </w:tcPr>
          <w:p w14:paraId="15721780"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87" w14:textId="77777777" w:rsidTr="0000285F">
        <w:trPr>
          <w:trHeight w:val="258"/>
        </w:trPr>
        <w:tc>
          <w:tcPr>
            <w:tcW w:w="2119" w:type="pct"/>
            <w:tcBorders>
              <w:top w:val="nil"/>
              <w:bottom w:val="nil"/>
            </w:tcBorders>
            <w:vAlign w:val="center"/>
          </w:tcPr>
          <w:p w14:paraId="15721782"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C. virginica </w:t>
            </w:r>
            <w:r w:rsidRPr="00AC0CC1">
              <w:rPr>
                <w:rFonts w:asciiTheme="minorHAnsi" w:hAnsiTheme="minorHAnsi" w:cstheme="minorHAnsi"/>
                <w:szCs w:val="20"/>
                <w:lang w:val="en-AU"/>
              </w:rPr>
              <w:t>(Eastern oyster) 96.8% active constituent; flow through</w:t>
            </w:r>
          </w:p>
        </w:tc>
        <w:tc>
          <w:tcPr>
            <w:tcW w:w="1320" w:type="pct"/>
            <w:tcBorders>
              <w:top w:val="nil"/>
              <w:bottom w:val="nil"/>
            </w:tcBorders>
            <w:vAlign w:val="center"/>
          </w:tcPr>
          <w:p w14:paraId="15721783"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4800</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 xml:space="preserve">96h, </w:t>
            </w:r>
            <w:r w:rsidR="00305AC4" w:rsidRPr="00AC0CC1">
              <w:rPr>
                <w:rFonts w:asciiTheme="minorHAnsi" w:hAnsiTheme="minorHAnsi" w:cstheme="minorHAnsi"/>
                <w:szCs w:val="20"/>
                <w:lang w:val="en-AU"/>
              </w:rPr>
              <w:t>acute</w:t>
            </w:r>
          </w:p>
          <w:p w14:paraId="15721784"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NOEC = 2400</w:t>
            </w:r>
          </w:p>
        </w:tc>
        <w:tc>
          <w:tcPr>
            <w:tcW w:w="896" w:type="pct"/>
            <w:tcBorders>
              <w:top w:val="nil"/>
              <w:bottom w:val="nil"/>
            </w:tcBorders>
            <w:vAlign w:val="center"/>
          </w:tcPr>
          <w:p w14:paraId="15721785"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1991</w:t>
            </w:r>
          </w:p>
        </w:tc>
        <w:tc>
          <w:tcPr>
            <w:tcW w:w="663" w:type="pct"/>
            <w:tcBorders>
              <w:top w:val="nil"/>
              <w:bottom w:val="nil"/>
            </w:tcBorders>
            <w:vAlign w:val="center"/>
          </w:tcPr>
          <w:p w14:paraId="15721786"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Core</w:t>
            </w:r>
          </w:p>
        </w:tc>
      </w:tr>
      <w:tr w:rsidR="0088783F" w:rsidRPr="00AC0CC1" w14:paraId="1572178C" w14:textId="77777777" w:rsidTr="0000285F">
        <w:trPr>
          <w:trHeight w:val="258"/>
        </w:trPr>
        <w:tc>
          <w:tcPr>
            <w:tcW w:w="2119" w:type="pct"/>
            <w:tcBorders>
              <w:top w:val="nil"/>
            </w:tcBorders>
            <w:vAlign w:val="center"/>
          </w:tcPr>
          <w:p w14:paraId="15721788"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C. virginica </w:t>
            </w:r>
            <w:r w:rsidRPr="00AC0CC1">
              <w:rPr>
                <w:rFonts w:asciiTheme="minorHAnsi" w:hAnsiTheme="minorHAnsi" w:cstheme="minorHAnsi"/>
                <w:szCs w:val="20"/>
                <w:lang w:val="en-AU"/>
              </w:rPr>
              <w:t>(Eastern oyster) 96.8% active constituent; flow through</w:t>
            </w:r>
          </w:p>
        </w:tc>
        <w:tc>
          <w:tcPr>
            <w:tcW w:w="1320" w:type="pct"/>
            <w:tcBorders>
              <w:top w:val="nil"/>
            </w:tcBorders>
            <w:vAlign w:val="center"/>
          </w:tcPr>
          <w:p w14:paraId="15721789"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3200</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96h acute</w:t>
            </w:r>
          </w:p>
        </w:tc>
        <w:tc>
          <w:tcPr>
            <w:tcW w:w="896" w:type="pct"/>
            <w:tcBorders>
              <w:top w:val="nil"/>
            </w:tcBorders>
            <w:vAlign w:val="center"/>
          </w:tcPr>
          <w:p w14:paraId="1572178A"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tcBorders>
            <w:vAlign w:val="center"/>
          </w:tcPr>
          <w:p w14:paraId="1572178B"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Core</w:t>
            </w:r>
          </w:p>
        </w:tc>
      </w:tr>
      <w:tr w:rsidR="00097E35" w:rsidRPr="00AC0CC1" w14:paraId="1572178E" w14:textId="77777777" w:rsidTr="0000285F">
        <w:trPr>
          <w:trHeight w:val="258"/>
        </w:trPr>
        <w:tc>
          <w:tcPr>
            <w:tcW w:w="5000" w:type="pct"/>
            <w:gridSpan w:val="4"/>
            <w:tcBorders>
              <w:bottom w:val="single" w:sz="4" w:space="0" w:color="auto"/>
            </w:tcBorders>
            <w:shd w:val="clear" w:color="auto" w:fill="auto"/>
            <w:vAlign w:val="center"/>
          </w:tcPr>
          <w:p w14:paraId="1572178D" w14:textId="77777777" w:rsidR="00097E35" w:rsidRPr="00AC0CC1" w:rsidRDefault="00097E35"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b/>
                <w:szCs w:val="20"/>
                <w:lang w:val="en-AU"/>
              </w:rPr>
              <w:t>Algae</w:t>
            </w:r>
          </w:p>
        </w:tc>
      </w:tr>
      <w:tr w:rsidR="0088783F" w:rsidRPr="00AC0CC1" w14:paraId="15721793" w14:textId="77777777" w:rsidTr="0000285F">
        <w:trPr>
          <w:trHeight w:val="258"/>
        </w:trPr>
        <w:tc>
          <w:tcPr>
            <w:tcW w:w="2119" w:type="pct"/>
            <w:tcBorders>
              <w:bottom w:val="nil"/>
            </w:tcBorders>
            <w:vAlign w:val="center"/>
          </w:tcPr>
          <w:p w14:paraId="1572178F"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D. tertiolecta</w:t>
            </w:r>
            <w:r w:rsidRPr="00AC0CC1">
              <w:rPr>
                <w:rFonts w:asciiTheme="minorHAnsi" w:hAnsiTheme="minorHAnsi" w:cstheme="minorHAnsi"/>
                <w:szCs w:val="20"/>
                <w:lang w:val="en-AU"/>
              </w:rPr>
              <w:t xml:space="preserve"> 95% active constituent; static</w:t>
            </w:r>
          </w:p>
        </w:tc>
        <w:tc>
          <w:tcPr>
            <w:tcW w:w="1320" w:type="pct"/>
            <w:tcBorders>
              <w:bottom w:val="nil"/>
            </w:tcBorders>
            <w:vAlign w:val="center"/>
          </w:tcPr>
          <w:p w14:paraId="15721790"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20</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240h chronic</w:t>
            </w:r>
          </w:p>
        </w:tc>
        <w:tc>
          <w:tcPr>
            <w:tcW w:w="896" w:type="pct"/>
            <w:tcBorders>
              <w:bottom w:val="nil"/>
            </w:tcBorders>
            <w:vAlign w:val="center"/>
          </w:tcPr>
          <w:p w14:paraId="15721791"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bottom w:val="nil"/>
            </w:tcBorders>
            <w:vAlign w:val="center"/>
          </w:tcPr>
          <w:p w14:paraId="15721792"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98" w14:textId="77777777" w:rsidTr="0000285F">
        <w:trPr>
          <w:trHeight w:val="258"/>
        </w:trPr>
        <w:tc>
          <w:tcPr>
            <w:tcW w:w="2119" w:type="pct"/>
            <w:tcBorders>
              <w:top w:val="nil"/>
              <w:bottom w:val="nil"/>
            </w:tcBorders>
            <w:vAlign w:val="center"/>
          </w:tcPr>
          <w:p w14:paraId="15721794"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Platmonas sp </w:t>
            </w:r>
            <w:r w:rsidRPr="00AC0CC1">
              <w:rPr>
                <w:rFonts w:asciiTheme="minorHAnsi" w:hAnsiTheme="minorHAnsi" w:cstheme="minorHAnsi"/>
                <w:szCs w:val="20"/>
                <w:lang w:val="en-AU"/>
              </w:rPr>
              <w:t>95% active constituent; static</w:t>
            </w:r>
          </w:p>
        </w:tc>
        <w:tc>
          <w:tcPr>
            <w:tcW w:w="1320" w:type="pct"/>
            <w:tcBorders>
              <w:top w:val="nil"/>
              <w:bottom w:val="nil"/>
            </w:tcBorders>
            <w:vAlign w:val="center"/>
          </w:tcPr>
          <w:p w14:paraId="15721795"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17</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72h chronic</w:t>
            </w:r>
          </w:p>
        </w:tc>
        <w:tc>
          <w:tcPr>
            <w:tcW w:w="896" w:type="pct"/>
            <w:tcBorders>
              <w:top w:val="nil"/>
              <w:bottom w:val="nil"/>
            </w:tcBorders>
            <w:vAlign w:val="center"/>
          </w:tcPr>
          <w:p w14:paraId="15721796"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bottom w:val="nil"/>
            </w:tcBorders>
            <w:vAlign w:val="center"/>
          </w:tcPr>
          <w:p w14:paraId="15721797"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9D" w14:textId="77777777" w:rsidTr="0000285F">
        <w:trPr>
          <w:trHeight w:val="258"/>
        </w:trPr>
        <w:tc>
          <w:tcPr>
            <w:tcW w:w="2119" w:type="pct"/>
            <w:tcBorders>
              <w:top w:val="nil"/>
              <w:bottom w:val="nil"/>
            </w:tcBorders>
            <w:vAlign w:val="center"/>
          </w:tcPr>
          <w:p w14:paraId="15721799"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P. cruentum </w:t>
            </w:r>
            <w:r w:rsidRPr="00AC0CC1">
              <w:rPr>
                <w:rFonts w:asciiTheme="minorHAnsi" w:hAnsiTheme="minorHAnsi" w:cstheme="minorHAnsi"/>
                <w:szCs w:val="20"/>
                <w:lang w:val="en-AU"/>
              </w:rPr>
              <w:t>(red algae) 95% active constituent; static</w:t>
            </w:r>
          </w:p>
        </w:tc>
        <w:tc>
          <w:tcPr>
            <w:tcW w:w="1320" w:type="pct"/>
            <w:tcBorders>
              <w:top w:val="nil"/>
              <w:bottom w:val="nil"/>
            </w:tcBorders>
            <w:vAlign w:val="center"/>
          </w:tcPr>
          <w:p w14:paraId="1572179A"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24</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72h chronic</w:t>
            </w:r>
          </w:p>
        </w:tc>
        <w:tc>
          <w:tcPr>
            <w:tcW w:w="896" w:type="pct"/>
            <w:tcBorders>
              <w:top w:val="nil"/>
              <w:bottom w:val="nil"/>
            </w:tcBorders>
            <w:vAlign w:val="center"/>
          </w:tcPr>
          <w:p w14:paraId="1572179B"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bottom w:val="nil"/>
            </w:tcBorders>
            <w:vAlign w:val="center"/>
          </w:tcPr>
          <w:p w14:paraId="1572179C"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A2" w14:textId="77777777" w:rsidTr="0000285F">
        <w:trPr>
          <w:trHeight w:val="258"/>
        </w:trPr>
        <w:tc>
          <w:tcPr>
            <w:tcW w:w="2119" w:type="pct"/>
            <w:tcBorders>
              <w:top w:val="nil"/>
              <w:bottom w:val="nil"/>
            </w:tcBorders>
            <w:vAlign w:val="center"/>
          </w:tcPr>
          <w:p w14:paraId="1572179E"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M. lutheri </w:t>
            </w:r>
            <w:r w:rsidRPr="00AC0CC1">
              <w:rPr>
                <w:rFonts w:asciiTheme="minorHAnsi" w:hAnsiTheme="minorHAnsi" w:cstheme="minorHAnsi"/>
                <w:szCs w:val="20"/>
                <w:lang w:val="en-AU"/>
              </w:rPr>
              <w:t>95% active constituent; static</w:t>
            </w:r>
          </w:p>
        </w:tc>
        <w:tc>
          <w:tcPr>
            <w:tcW w:w="1320" w:type="pct"/>
            <w:tcBorders>
              <w:top w:val="nil"/>
              <w:bottom w:val="nil"/>
            </w:tcBorders>
            <w:vAlign w:val="center"/>
          </w:tcPr>
          <w:p w14:paraId="1572179F"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18</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72h chronic</w:t>
            </w:r>
          </w:p>
        </w:tc>
        <w:tc>
          <w:tcPr>
            <w:tcW w:w="896" w:type="pct"/>
            <w:tcBorders>
              <w:top w:val="nil"/>
              <w:bottom w:val="nil"/>
            </w:tcBorders>
            <w:vAlign w:val="center"/>
          </w:tcPr>
          <w:p w14:paraId="157217A0"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bottom w:val="nil"/>
            </w:tcBorders>
            <w:vAlign w:val="center"/>
          </w:tcPr>
          <w:p w14:paraId="157217A1"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A7" w14:textId="77777777" w:rsidTr="0000285F">
        <w:trPr>
          <w:trHeight w:val="258"/>
        </w:trPr>
        <w:tc>
          <w:tcPr>
            <w:tcW w:w="2119" w:type="pct"/>
            <w:tcBorders>
              <w:top w:val="nil"/>
            </w:tcBorders>
            <w:vAlign w:val="center"/>
          </w:tcPr>
          <w:p w14:paraId="157217A3"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I. galbana </w:t>
            </w:r>
            <w:r w:rsidRPr="00AC0CC1">
              <w:rPr>
                <w:rFonts w:asciiTheme="minorHAnsi" w:hAnsiTheme="minorHAnsi" w:cstheme="minorHAnsi"/>
                <w:szCs w:val="20"/>
                <w:lang w:val="en-AU"/>
              </w:rPr>
              <w:t>95% active constituent; static</w:t>
            </w:r>
          </w:p>
        </w:tc>
        <w:tc>
          <w:tcPr>
            <w:tcW w:w="1320" w:type="pct"/>
            <w:tcBorders>
              <w:top w:val="nil"/>
            </w:tcBorders>
            <w:vAlign w:val="center"/>
          </w:tcPr>
          <w:p w14:paraId="157217A4"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10</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72h chronic</w:t>
            </w:r>
          </w:p>
        </w:tc>
        <w:tc>
          <w:tcPr>
            <w:tcW w:w="896" w:type="pct"/>
            <w:tcBorders>
              <w:top w:val="nil"/>
            </w:tcBorders>
            <w:vAlign w:val="center"/>
          </w:tcPr>
          <w:p w14:paraId="157217A5"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tcBorders>
            <w:vAlign w:val="center"/>
          </w:tcPr>
          <w:p w14:paraId="157217A6"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097E35" w:rsidRPr="00AC0CC1" w14:paraId="157217A9" w14:textId="77777777" w:rsidTr="0000285F">
        <w:trPr>
          <w:trHeight w:val="258"/>
        </w:trPr>
        <w:tc>
          <w:tcPr>
            <w:tcW w:w="5000" w:type="pct"/>
            <w:gridSpan w:val="4"/>
            <w:tcBorders>
              <w:bottom w:val="single" w:sz="4" w:space="0" w:color="auto"/>
            </w:tcBorders>
            <w:shd w:val="clear" w:color="auto" w:fill="auto"/>
            <w:vAlign w:val="center"/>
          </w:tcPr>
          <w:p w14:paraId="157217A8" w14:textId="77777777" w:rsidR="00097E35" w:rsidRPr="00AC0CC1" w:rsidRDefault="00097E35"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b/>
                <w:szCs w:val="20"/>
                <w:lang w:val="en-AU"/>
              </w:rPr>
              <w:t>Marine diatoms</w:t>
            </w:r>
          </w:p>
        </w:tc>
      </w:tr>
      <w:tr w:rsidR="0088783F" w:rsidRPr="00AC0CC1" w14:paraId="157217AE" w14:textId="77777777" w:rsidTr="0000285F">
        <w:trPr>
          <w:trHeight w:val="258"/>
        </w:trPr>
        <w:tc>
          <w:tcPr>
            <w:tcW w:w="2119" w:type="pct"/>
            <w:tcBorders>
              <w:bottom w:val="nil"/>
            </w:tcBorders>
            <w:vAlign w:val="center"/>
          </w:tcPr>
          <w:p w14:paraId="157217AA"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N. incerta</w:t>
            </w:r>
            <w:r w:rsidRPr="00AC0CC1">
              <w:rPr>
                <w:rFonts w:asciiTheme="minorHAnsi" w:hAnsiTheme="minorHAnsi" w:cstheme="minorHAnsi"/>
                <w:szCs w:val="20"/>
                <w:lang w:val="en-AU"/>
              </w:rPr>
              <w:t xml:space="preserve"> 95% active constituent; static</w:t>
            </w:r>
          </w:p>
        </w:tc>
        <w:tc>
          <w:tcPr>
            <w:tcW w:w="1320" w:type="pct"/>
            <w:tcBorders>
              <w:bottom w:val="nil"/>
            </w:tcBorders>
            <w:vAlign w:val="center"/>
          </w:tcPr>
          <w:p w14:paraId="157217AB"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93</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72h chronic</w:t>
            </w:r>
          </w:p>
        </w:tc>
        <w:tc>
          <w:tcPr>
            <w:tcW w:w="896" w:type="pct"/>
            <w:tcBorders>
              <w:bottom w:val="nil"/>
            </w:tcBorders>
            <w:vAlign w:val="center"/>
          </w:tcPr>
          <w:p w14:paraId="157217AC"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bottom w:val="nil"/>
            </w:tcBorders>
            <w:vAlign w:val="center"/>
          </w:tcPr>
          <w:p w14:paraId="157217AD"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B3" w14:textId="77777777" w:rsidTr="0000285F">
        <w:trPr>
          <w:trHeight w:val="258"/>
        </w:trPr>
        <w:tc>
          <w:tcPr>
            <w:tcW w:w="2119" w:type="pct"/>
            <w:tcBorders>
              <w:top w:val="nil"/>
              <w:bottom w:val="nil"/>
            </w:tcBorders>
            <w:vAlign w:val="center"/>
          </w:tcPr>
          <w:p w14:paraId="157217AF"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N. closterium </w:t>
            </w:r>
            <w:r w:rsidRPr="00AC0CC1">
              <w:rPr>
                <w:rFonts w:asciiTheme="minorHAnsi" w:hAnsiTheme="minorHAnsi" w:cstheme="minorHAnsi"/>
                <w:szCs w:val="20"/>
                <w:lang w:val="en-AU"/>
              </w:rPr>
              <w:t>95% active constituent; static</w:t>
            </w:r>
          </w:p>
        </w:tc>
        <w:tc>
          <w:tcPr>
            <w:tcW w:w="1320" w:type="pct"/>
            <w:tcBorders>
              <w:top w:val="nil"/>
              <w:bottom w:val="nil"/>
            </w:tcBorders>
            <w:vAlign w:val="center"/>
          </w:tcPr>
          <w:p w14:paraId="157217B0"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50</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72h chronic</w:t>
            </w:r>
          </w:p>
        </w:tc>
        <w:tc>
          <w:tcPr>
            <w:tcW w:w="896" w:type="pct"/>
            <w:tcBorders>
              <w:top w:val="nil"/>
              <w:bottom w:val="nil"/>
            </w:tcBorders>
            <w:vAlign w:val="center"/>
          </w:tcPr>
          <w:p w14:paraId="157217B1"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bottom w:val="nil"/>
            </w:tcBorders>
            <w:vAlign w:val="center"/>
          </w:tcPr>
          <w:p w14:paraId="157217B2"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B8" w14:textId="77777777" w:rsidTr="0000285F">
        <w:trPr>
          <w:trHeight w:val="258"/>
        </w:trPr>
        <w:tc>
          <w:tcPr>
            <w:tcW w:w="2119" w:type="pct"/>
            <w:tcBorders>
              <w:top w:val="nil"/>
              <w:bottom w:val="nil"/>
            </w:tcBorders>
            <w:vAlign w:val="center"/>
          </w:tcPr>
          <w:p w14:paraId="157217B4"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P. tricornutum </w:t>
            </w:r>
            <w:r w:rsidRPr="00AC0CC1">
              <w:rPr>
                <w:rFonts w:asciiTheme="minorHAnsi" w:hAnsiTheme="minorHAnsi" w:cstheme="minorHAnsi"/>
                <w:szCs w:val="20"/>
                <w:lang w:val="en-AU"/>
              </w:rPr>
              <w:t>95% active constituent; static</w:t>
            </w:r>
          </w:p>
        </w:tc>
        <w:tc>
          <w:tcPr>
            <w:tcW w:w="1320" w:type="pct"/>
            <w:tcBorders>
              <w:top w:val="nil"/>
              <w:bottom w:val="nil"/>
            </w:tcBorders>
            <w:vAlign w:val="center"/>
          </w:tcPr>
          <w:p w14:paraId="157217B5"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10</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240h chronic</w:t>
            </w:r>
          </w:p>
        </w:tc>
        <w:tc>
          <w:tcPr>
            <w:tcW w:w="896" w:type="pct"/>
            <w:tcBorders>
              <w:top w:val="nil"/>
              <w:bottom w:val="nil"/>
            </w:tcBorders>
            <w:vAlign w:val="center"/>
          </w:tcPr>
          <w:p w14:paraId="157217B6"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bottom w:val="nil"/>
            </w:tcBorders>
            <w:vAlign w:val="center"/>
          </w:tcPr>
          <w:p w14:paraId="157217B7"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BD" w14:textId="77777777" w:rsidTr="0000285F">
        <w:trPr>
          <w:trHeight w:val="258"/>
        </w:trPr>
        <w:tc>
          <w:tcPr>
            <w:tcW w:w="2119" w:type="pct"/>
            <w:tcBorders>
              <w:top w:val="nil"/>
              <w:bottom w:val="nil"/>
            </w:tcBorders>
            <w:vAlign w:val="center"/>
          </w:tcPr>
          <w:p w14:paraId="157217B9" w14:textId="77777777" w:rsidR="0088783F" w:rsidRPr="00AC0CC1" w:rsidRDefault="0088783F" w:rsidP="00AC0CC1">
            <w:pPr>
              <w:tabs>
                <w:tab w:val="left" w:pos="1660"/>
              </w:tabs>
              <w:spacing w:before="60" w:after="60"/>
              <w:jc w:val="left"/>
              <w:rPr>
                <w:rFonts w:asciiTheme="minorHAnsi" w:hAnsiTheme="minorHAnsi" w:cstheme="minorHAnsi"/>
                <w:szCs w:val="20"/>
                <w:lang w:val="en-AU"/>
              </w:rPr>
            </w:pPr>
            <w:r w:rsidRPr="00AC0CC1">
              <w:rPr>
                <w:rFonts w:asciiTheme="minorHAnsi" w:hAnsiTheme="minorHAnsi" w:cstheme="minorHAnsi"/>
                <w:i/>
                <w:szCs w:val="20"/>
                <w:lang w:val="en-AU"/>
              </w:rPr>
              <w:t xml:space="preserve">S. amphoroides </w:t>
            </w:r>
            <w:r w:rsidRPr="00AC0CC1">
              <w:rPr>
                <w:rFonts w:asciiTheme="minorHAnsi" w:hAnsiTheme="minorHAnsi" w:cstheme="minorHAnsi"/>
                <w:szCs w:val="20"/>
                <w:lang w:val="en-AU"/>
              </w:rPr>
              <w:t>95% active constituent; static</w:t>
            </w:r>
          </w:p>
        </w:tc>
        <w:tc>
          <w:tcPr>
            <w:tcW w:w="1320" w:type="pct"/>
            <w:tcBorders>
              <w:top w:val="nil"/>
              <w:bottom w:val="nil"/>
            </w:tcBorders>
            <w:vAlign w:val="center"/>
          </w:tcPr>
          <w:p w14:paraId="157217BA"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31</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72h chronic</w:t>
            </w:r>
          </w:p>
        </w:tc>
        <w:tc>
          <w:tcPr>
            <w:tcW w:w="896" w:type="pct"/>
            <w:tcBorders>
              <w:top w:val="nil"/>
              <w:bottom w:val="nil"/>
            </w:tcBorders>
            <w:vAlign w:val="center"/>
          </w:tcPr>
          <w:p w14:paraId="157217BB"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bottom w:val="nil"/>
            </w:tcBorders>
            <w:vAlign w:val="center"/>
          </w:tcPr>
          <w:p w14:paraId="157217BC"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C2" w14:textId="77777777" w:rsidTr="0000285F">
        <w:trPr>
          <w:trHeight w:val="258"/>
        </w:trPr>
        <w:tc>
          <w:tcPr>
            <w:tcW w:w="2119" w:type="pct"/>
            <w:tcBorders>
              <w:top w:val="nil"/>
              <w:bottom w:val="nil"/>
            </w:tcBorders>
            <w:vAlign w:val="center"/>
          </w:tcPr>
          <w:p w14:paraId="157217BE" w14:textId="77777777" w:rsidR="0088783F" w:rsidRPr="00AC0CC1" w:rsidRDefault="0088783F" w:rsidP="00AC0CC1">
            <w:pPr>
              <w:tabs>
                <w:tab w:val="left" w:pos="1660"/>
              </w:tabs>
              <w:spacing w:before="60" w:after="60"/>
              <w:jc w:val="left"/>
              <w:rPr>
                <w:rFonts w:asciiTheme="minorHAnsi" w:hAnsiTheme="minorHAnsi" w:cstheme="minorHAnsi"/>
                <w:i/>
                <w:szCs w:val="20"/>
                <w:lang w:val="en-AU"/>
              </w:rPr>
            </w:pPr>
            <w:r w:rsidRPr="00AC0CC1">
              <w:rPr>
                <w:rFonts w:asciiTheme="minorHAnsi" w:hAnsiTheme="minorHAnsi" w:cstheme="minorHAnsi"/>
                <w:i/>
                <w:szCs w:val="20"/>
                <w:lang w:val="en-AU"/>
              </w:rPr>
              <w:t xml:space="preserve">T. fluviatilis </w:t>
            </w:r>
            <w:r w:rsidRPr="00AC0CC1">
              <w:rPr>
                <w:rFonts w:asciiTheme="minorHAnsi" w:hAnsiTheme="minorHAnsi" w:cstheme="minorHAnsi"/>
                <w:szCs w:val="20"/>
                <w:lang w:val="en-AU"/>
              </w:rPr>
              <w:t>95% active constituent; static</w:t>
            </w:r>
          </w:p>
        </w:tc>
        <w:tc>
          <w:tcPr>
            <w:tcW w:w="1320" w:type="pct"/>
            <w:tcBorders>
              <w:top w:val="nil"/>
              <w:bottom w:val="nil"/>
            </w:tcBorders>
            <w:vAlign w:val="center"/>
          </w:tcPr>
          <w:p w14:paraId="157217BF"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95</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72h chronic</w:t>
            </w:r>
          </w:p>
        </w:tc>
        <w:tc>
          <w:tcPr>
            <w:tcW w:w="896" w:type="pct"/>
            <w:tcBorders>
              <w:top w:val="nil"/>
              <w:bottom w:val="nil"/>
            </w:tcBorders>
            <w:vAlign w:val="center"/>
          </w:tcPr>
          <w:p w14:paraId="157217C0"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bottom w:val="nil"/>
            </w:tcBorders>
            <w:vAlign w:val="center"/>
          </w:tcPr>
          <w:p w14:paraId="157217C1"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C7" w14:textId="77777777" w:rsidTr="0000285F">
        <w:trPr>
          <w:trHeight w:val="258"/>
        </w:trPr>
        <w:tc>
          <w:tcPr>
            <w:tcW w:w="2119" w:type="pct"/>
            <w:tcBorders>
              <w:top w:val="nil"/>
              <w:bottom w:val="nil"/>
            </w:tcBorders>
            <w:vAlign w:val="center"/>
          </w:tcPr>
          <w:p w14:paraId="157217C3" w14:textId="77777777" w:rsidR="0088783F" w:rsidRPr="00AC0CC1" w:rsidRDefault="0088783F" w:rsidP="00AC0CC1">
            <w:pPr>
              <w:tabs>
                <w:tab w:val="left" w:pos="1660"/>
              </w:tabs>
              <w:spacing w:before="60" w:after="60"/>
              <w:jc w:val="left"/>
              <w:rPr>
                <w:rFonts w:asciiTheme="minorHAnsi" w:hAnsiTheme="minorHAnsi" w:cstheme="minorHAnsi"/>
                <w:i/>
                <w:szCs w:val="20"/>
                <w:lang w:val="en-AU"/>
              </w:rPr>
            </w:pPr>
            <w:r w:rsidRPr="00AC0CC1">
              <w:rPr>
                <w:rFonts w:asciiTheme="minorHAnsi" w:hAnsiTheme="minorHAnsi" w:cstheme="minorHAnsi"/>
                <w:i/>
                <w:szCs w:val="20"/>
                <w:lang w:val="en-AU"/>
              </w:rPr>
              <w:t xml:space="preserve">C.nana </w:t>
            </w:r>
            <w:r w:rsidRPr="00AC0CC1">
              <w:rPr>
                <w:rFonts w:asciiTheme="minorHAnsi" w:hAnsiTheme="minorHAnsi" w:cstheme="minorHAnsi"/>
                <w:szCs w:val="20"/>
                <w:lang w:val="en-AU"/>
              </w:rPr>
              <w:t>95% active constituent; static</w:t>
            </w:r>
          </w:p>
        </w:tc>
        <w:tc>
          <w:tcPr>
            <w:tcW w:w="1320" w:type="pct"/>
            <w:tcBorders>
              <w:top w:val="nil"/>
              <w:bottom w:val="nil"/>
            </w:tcBorders>
            <w:vAlign w:val="center"/>
          </w:tcPr>
          <w:p w14:paraId="157217C4"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39</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72h chronic</w:t>
            </w:r>
          </w:p>
        </w:tc>
        <w:tc>
          <w:tcPr>
            <w:tcW w:w="896" w:type="pct"/>
            <w:tcBorders>
              <w:top w:val="nil"/>
              <w:bottom w:val="nil"/>
            </w:tcBorders>
            <w:vAlign w:val="center"/>
          </w:tcPr>
          <w:p w14:paraId="157217C5"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bottom w:val="nil"/>
            </w:tcBorders>
            <w:vAlign w:val="center"/>
          </w:tcPr>
          <w:p w14:paraId="157217C6"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r w:rsidR="0088783F" w:rsidRPr="00AC0CC1" w14:paraId="157217CC" w14:textId="77777777" w:rsidTr="0000285F">
        <w:trPr>
          <w:trHeight w:val="258"/>
        </w:trPr>
        <w:tc>
          <w:tcPr>
            <w:tcW w:w="2119" w:type="pct"/>
            <w:tcBorders>
              <w:top w:val="nil"/>
            </w:tcBorders>
            <w:vAlign w:val="center"/>
          </w:tcPr>
          <w:p w14:paraId="157217C8" w14:textId="77777777" w:rsidR="0088783F" w:rsidRPr="00AC0CC1" w:rsidRDefault="0088783F" w:rsidP="00AC0CC1">
            <w:pPr>
              <w:tabs>
                <w:tab w:val="left" w:pos="1660"/>
              </w:tabs>
              <w:spacing w:before="60" w:after="60"/>
              <w:jc w:val="left"/>
              <w:rPr>
                <w:rFonts w:asciiTheme="minorHAnsi" w:hAnsiTheme="minorHAnsi" w:cstheme="minorHAnsi"/>
                <w:i/>
                <w:szCs w:val="20"/>
                <w:lang w:val="en-AU"/>
              </w:rPr>
            </w:pPr>
            <w:r w:rsidRPr="00AC0CC1">
              <w:rPr>
                <w:rFonts w:asciiTheme="minorHAnsi" w:hAnsiTheme="minorHAnsi" w:cstheme="minorHAnsi"/>
                <w:i/>
                <w:szCs w:val="20"/>
                <w:lang w:val="en-AU"/>
              </w:rPr>
              <w:t xml:space="preserve">A. exigua </w:t>
            </w:r>
            <w:r w:rsidRPr="00AC0CC1">
              <w:rPr>
                <w:rFonts w:asciiTheme="minorHAnsi" w:hAnsiTheme="minorHAnsi" w:cstheme="minorHAnsi"/>
                <w:szCs w:val="20"/>
                <w:lang w:val="en-AU"/>
              </w:rPr>
              <w:t>95% active constituent; static</w:t>
            </w:r>
          </w:p>
        </w:tc>
        <w:tc>
          <w:tcPr>
            <w:tcW w:w="1320" w:type="pct"/>
            <w:tcBorders>
              <w:top w:val="nil"/>
            </w:tcBorders>
            <w:vAlign w:val="center"/>
          </w:tcPr>
          <w:p w14:paraId="157217C9"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EC50 = 31</w:t>
            </w:r>
            <w:r w:rsidR="00305AC4" w:rsidRPr="00AC0CC1">
              <w:rPr>
                <w:rFonts w:asciiTheme="minorHAnsi" w:hAnsiTheme="minorHAnsi" w:cstheme="minorHAnsi"/>
                <w:szCs w:val="20"/>
                <w:lang w:val="en-AU"/>
              </w:rPr>
              <w:t xml:space="preserve">, </w:t>
            </w:r>
            <w:r w:rsidRPr="00AC0CC1">
              <w:rPr>
                <w:rFonts w:asciiTheme="minorHAnsi" w:hAnsiTheme="minorHAnsi" w:cstheme="minorHAnsi"/>
                <w:szCs w:val="20"/>
                <w:lang w:val="en-AU"/>
              </w:rPr>
              <w:t>72h chronic</w:t>
            </w:r>
          </w:p>
        </w:tc>
        <w:tc>
          <w:tcPr>
            <w:tcW w:w="896" w:type="pct"/>
            <w:tcBorders>
              <w:top w:val="nil"/>
            </w:tcBorders>
            <w:vAlign w:val="center"/>
          </w:tcPr>
          <w:p w14:paraId="157217CA"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1986</w:t>
            </w:r>
          </w:p>
        </w:tc>
        <w:tc>
          <w:tcPr>
            <w:tcW w:w="663" w:type="pct"/>
            <w:tcBorders>
              <w:top w:val="nil"/>
            </w:tcBorders>
            <w:vAlign w:val="center"/>
          </w:tcPr>
          <w:p w14:paraId="157217CB" w14:textId="77777777" w:rsidR="0088783F" w:rsidRPr="00AC0CC1" w:rsidRDefault="0088783F" w:rsidP="00AC0CC1">
            <w:pPr>
              <w:tabs>
                <w:tab w:val="left" w:pos="1660"/>
              </w:tabs>
              <w:spacing w:before="60" w:after="60"/>
              <w:jc w:val="center"/>
              <w:rPr>
                <w:rFonts w:asciiTheme="minorHAnsi" w:hAnsiTheme="minorHAnsi" w:cstheme="minorHAnsi"/>
                <w:szCs w:val="20"/>
                <w:lang w:val="en-AU"/>
              </w:rPr>
            </w:pPr>
            <w:r w:rsidRPr="00AC0CC1">
              <w:rPr>
                <w:rFonts w:asciiTheme="minorHAnsi" w:hAnsiTheme="minorHAnsi" w:cstheme="minorHAnsi"/>
                <w:szCs w:val="20"/>
                <w:lang w:val="en-AU"/>
              </w:rPr>
              <w:t>S</w:t>
            </w:r>
          </w:p>
        </w:tc>
      </w:tr>
    </w:tbl>
    <w:p w14:paraId="157217CD" w14:textId="77777777" w:rsidR="008232E9" w:rsidRDefault="008232E9" w:rsidP="008232E9">
      <w:pPr>
        <w:jc w:val="left"/>
        <w:rPr>
          <w:bCs/>
          <w:sz w:val="26"/>
          <w:szCs w:val="26"/>
          <w:lang w:val="en-AU" w:bidi="ar-SA"/>
        </w:rPr>
      </w:pPr>
    </w:p>
    <w:p w14:paraId="157217CE" w14:textId="77777777" w:rsidR="008232E9" w:rsidRDefault="008232E9" w:rsidP="008232E9">
      <w:pPr>
        <w:jc w:val="left"/>
        <w:rPr>
          <w:bCs/>
          <w:sz w:val="26"/>
          <w:szCs w:val="26"/>
          <w:lang w:val="en-AU" w:bidi="ar-SA"/>
        </w:rPr>
      </w:pPr>
    </w:p>
    <w:p w14:paraId="157217CF" w14:textId="77777777" w:rsidR="0056354A" w:rsidRDefault="0056354A" w:rsidP="008232E9">
      <w:pPr>
        <w:jc w:val="left"/>
        <w:rPr>
          <w:b/>
          <w:bCs/>
          <w:sz w:val="26"/>
          <w:szCs w:val="26"/>
          <w:lang w:val="en-AU" w:bidi="ar-SA"/>
        </w:rPr>
        <w:sectPr w:rsidR="0056354A" w:rsidSect="0056354A">
          <w:pgSz w:w="11907" w:h="16839" w:code="9"/>
          <w:pgMar w:top="720" w:right="720" w:bottom="720" w:left="720" w:header="709" w:footer="709" w:gutter="0"/>
          <w:cols w:space="708"/>
          <w:docGrid w:linePitch="360"/>
        </w:sectPr>
      </w:pPr>
    </w:p>
    <w:p w14:paraId="157217D0" w14:textId="77777777" w:rsidR="0059608E" w:rsidRPr="008232E9" w:rsidRDefault="008232E9" w:rsidP="008232E9">
      <w:pPr>
        <w:jc w:val="left"/>
        <w:rPr>
          <w:rFonts w:eastAsiaTheme="majorEastAsia" w:cstheme="majorBidi"/>
          <w:b/>
          <w:bCs/>
          <w:sz w:val="26"/>
          <w:szCs w:val="26"/>
          <w:lang w:val="en-AU" w:bidi="ar-SA"/>
        </w:rPr>
      </w:pPr>
      <w:r w:rsidRPr="008232E9">
        <w:rPr>
          <w:b/>
          <w:bCs/>
          <w:sz w:val="26"/>
          <w:szCs w:val="26"/>
          <w:lang w:val="en-AU" w:bidi="ar-SA"/>
        </w:rPr>
        <w:t>C-1.</w:t>
      </w:r>
      <w:r>
        <w:rPr>
          <w:bCs/>
          <w:sz w:val="26"/>
          <w:szCs w:val="26"/>
          <w:lang w:val="en-AU" w:bidi="ar-SA"/>
        </w:rPr>
        <w:t xml:space="preserve">   </w:t>
      </w:r>
      <w:r w:rsidR="0059608E" w:rsidRPr="008232E9">
        <w:rPr>
          <w:b/>
          <w:sz w:val="24"/>
        </w:rPr>
        <w:t>Calculating PSII-</w:t>
      </w:r>
      <w:r w:rsidR="009D307F" w:rsidRPr="008232E9">
        <w:rPr>
          <w:b/>
          <w:sz w:val="24"/>
        </w:rPr>
        <w:t>HEq</w:t>
      </w:r>
      <w:r w:rsidR="0059608E" w:rsidRPr="008232E9">
        <w:rPr>
          <w:b/>
          <w:sz w:val="24"/>
        </w:rPr>
        <w:t xml:space="preserve"> concentrations and assessing risk using the PSII Index</w:t>
      </w:r>
      <w:bookmarkEnd w:id="770"/>
    </w:p>
    <w:p w14:paraId="157217D1" w14:textId="77777777" w:rsidR="008232E9" w:rsidRPr="008232E9" w:rsidRDefault="008232E9" w:rsidP="008232E9">
      <w:pPr>
        <w:rPr>
          <w:b/>
        </w:rPr>
      </w:pPr>
    </w:p>
    <w:p w14:paraId="157217D2" w14:textId="2EBE6056" w:rsidR="0059608E" w:rsidRDefault="0059608E" w:rsidP="00015606">
      <w:pPr>
        <w:spacing w:line="276" w:lineRule="auto"/>
        <w:rPr>
          <w:lang w:val="en-AU"/>
        </w:rPr>
      </w:pPr>
      <w:r>
        <w:rPr>
          <w:lang w:val="en-AU"/>
        </w:rPr>
        <w:t>A given PSII herbicide with an RPF of 1 is equally as potent as diuron. If it is more potent than diuron it will have an RPF of &gt;1, while if it is less potent than diuron it will have an RPF of &lt;1. To calculate the PSII-</w:t>
      </w:r>
      <w:r w:rsidR="009D307F">
        <w:rPr>
          <w:lang w:val="en-AU"/>
        </w:rPr>
        <w:t>HEq</w:t>
      </w:r>
      <w:r>
        <w:rPr>
          <w:lang w:val="en-AU"/>
        </w:rPr>
        <w:t xml:space="preserve"> concentration of a given grab or passive sample, it is assumed that these herbicides act additively</w:t>
      </w:r>
      <w:r w:rsidRPr="00C11BBA">
        <w:rPr>
          <w:lang w:val="en-AU"/>
        </w:rPr>
        <w:t xml:space="preserve"> </w:t>
      </w:r>
      <w:r w:rsidR="00C91BF5">
        <w:rPr>
          <w:lang w:val="en-AU"/>
        </w:rPr>
        <w:fldChar w:fldCharType="begin">
          <w:fldData xml:space="preserve">PEVuZE5vdGU+PENpdGU+PEF1dGhvcj5Fc2NoZXI8L0F1dGhvcj48WWVhcj4yMDA2PC9ZZWFyPjxS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</w:fldData>
        </w:fldChar>
      </w:r>
      <w:r w:rsidR="009D4492">
        <w:rPr>
          <w:lang w:val="en-AU"/>
        </w:rPr>
        <w:instrText xml:space="preserve"> ADDIN EN.CITE </w:instrText>
      </w:r>
      <w:r w:rsidR="009D4492">
        <w:rPr>
          <w:lang w:val="en-AU"/>
        </w:rPr>
        <w:fldChar w:fldCharType="begin">
          <w:fldData xml:space="preserve">PEVuZE5vdGU+PENpdGU+PEF1dGhvcj5Fc2NoZXI8L0F1dGhvcj48WWVhcj4yMDA2PC9ZZWFyPjxS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</w:fldData>
        </w:fldChar>
      </w:r>
      <w:r w:rsidR="009D4492">
        <w:rPr>
          <w:lang w:val="en-AU"/>
        </w:rPr>
        <w:instrText xml:space="preserve"> ADDIN EN.CITE.DATA </w:instrText>
      </w:r>
      <w:r w:rsidR="009D4492">
        <w:rPr>
          <w:lang w:val="en-AU"/>
        </w:rPr>
      </w:r>
      <w:r w:rsidR="009D4492">
        <w:rPr>
          <w:lang w:val="en-AU"/>
        </w:rPr>
        <w:fldChar w:fldCharType="end"/>
      </w:r>
      <w:r w:rsidR="00C91BF5">
        <w:rPr>
          <w:lang w:val="en-AU"/>
        </w:rPr>
      </w:r>
      <w:r w:rsidR="00C91BF5">
        <w:rPr>
          <w:lang w:val="en-AU"/>
        </w:rPr>
        <w:fldChar w:fldCharType="separate"/>
      </w:r>
      <w:r w:rsidR="009D4492">
        <w:rPr>
          <w:noProof/>
          <w:lang w:val="en-AU"/>
        </w:rPr>
        <w:t>(Escher et al., 2006, Muller et al., 2008, Magnusson et al., 2010)</w:t>
      </w:r>
      <w:r w:rsidR="00C91BF5">
        <w:rPr>
          <w:lang w:val="en-AU"/>
        </w:rPr>
        <w:fldChar w:fldCharType="end"/>
      </w:r>
      <w:r>
        <w:rPr>
          <w:lang w:val="en-AU"/>
        </w:rPr>
        <w:t>. T</w:t>
      </w:r>
      <w:r w:rsidRPr="00C11BBA">
        <w:rPr>
          <w:lang w:val="en-AU"/>
        </w:rPr>
        <w:t>he PSII-</w:t>
      </w:r>
      <w:r w:rsidR="009D307F">
        <w:rPr>
          <w:lang w:val="en-AU"/>
        </w:rPr>
        <w:t>HEq</w:t>
      </w:r>
      <w:r w:rsidRPr="00C11BBA">
        <w:rPr>
          <w:lang w:val="en-AU"/>
        </w:rPr>
        <w:t xml:space="preserve"> </w:t>
      </w:r>
      <w:r>
        <w:rPr>
          <w:lang w:val="en-AU"/>
        </w:rPr>
        <w:t xml:space="preserve">(ng </w:t>
      </w:r>
      <w:r w:rsidRPr="00C11BBA">
        <w:rPr>
          <w:lang w:val="en-AU"/>
        </w:rPr>
        <w:t>L</w:t>
      </w:r>
      <w:r w:rsidRPr="00C11BBA">
        <w:rPr>
          <w:vertAlign w:val="superscript"/>
          <w:lang w:val="en-AU"/>
        </w:rPr>
        <w:t>-1</w:t>
      </w:r>
      <w:r w:rsidRPr="00C11BBA">
        <w:rPr>
          <w:lang w:val="en-AU"/>
        </w:rPr>
        <w:t xml:space="preserve">) </w:t>
      </w:r>
      <w:r>
        <w:rPr>
          <w:lang w:val="en-AU"/>
        </w:rPr>
        <w:t>is therefore the sum of the individual RPF-corrected concentrations of each individual PSII herbicide</w:t>
      </w:r>
      <w:r w:rsidR="00293D1F">
        <w:rPr>
          <w:lang w:val="en-AU"/>
        </w:rPr>
        <w:t>, i,</w:t>
      </w:r>
      <w:r>
        <w:rPr>
          <w:lang w:val="en-AU"/>
        </w:rPr>
        <w:t xml:space="preserve"> </w:t>
      </w:r>
      <w:r w:rsidR="00293D1F">
        <w:rPr>
          <w:lang w:val="en-AU"/>
        </w:rPr>
        <w:t>with potency factor RPF</w:t>
      </w:r>
      <w:r w:rsidR="00293D1F" w:rsidRPr="00293D1F">
        <w:rPr>
          <w:vertAlign w:val="subscript"/>
          <w:lang w:val="en-AU"/>
        </w:rPr>
        <w:t>i</w:t>
      </w:r>
      <w:r w:rsidR="00293D1F">
        <w:rPr>
          <w:lang w:val="en-AU"/>
        </w:rPr>
        <w:t xml:space="preserve"> and concentration </w:t>
      </w:r>
      <w:r>
        <w:rPr>
          <w:lang w:val="en-AU"/>
        </w:rPr>
        <w:t>C</w:t>
      </w:r>
      <w:r w:rsidRPr="00293D1F">
        <w:rPr>
          <w:vertAlign w:val="subscript"/>
          <w:lang w:val="en-AU"/>
        </w:rPr>
        <w:t>i</w:t>
      </w:r>
      <w:r>
        <w:rPr>
          <w:lang w:val="en-AU"/>
        </w:rPr>
        <w:t xml:space="preserve">, </w:t>
      </w:r>
      <w:r w:rsidR="00293D1F">
        <w:rPr>
          <w:lang w:val="en-AU"/>
        </w:rPr>
        <w:t>(</w:t>
      </w:r>
      <w:r>
        <w:rPr>
          <w:lang w:val="en-AU"/>
        </w:rPr>
        <w:t>ng L</w:t>
      </w:r>
      <w:r w:rsidRPr="00D07710">
        <w:rPr>
          <w:vertAlign w:val="superscript"/>
          <w:lang w:val="en-AU"/>
        </w:rPr>
        <w:t>-1</w:t>
      </w:r>
      <w:r>
        <w:rPr>
          <w:lang w:val="en-AU"/>
        </w:rPr>
        <w:t xml:space="preserve">) detected in </w:t>
      </w:r>
      <w:r w:rsidR="00293D1F">
        <w:rPr>
          <w:lang w:val="en-AU"/>
        </w:rPr>
        <w:t>the</w:t>
      </w:r>
      <w:r>
        <w:rPr>
          <w:lang w:val="en-AU"/>
        </w:rPr>
        <w:t xml:space="preserve"> sample</w:t>
      </w:r>
      <w:r w:rsidRPr="00C11BBA">
        <w:rPr>
          <w:lang w:val="en-AU"/>
        </w:rPr>
        <w:t xml:space="preserve"> using </w:t>
      </w:r>
      <w:r w:rsidR="00293D1F">
        <w:rPr>
          <w:lang w:val="en-AU"/>
        </w:rPr>
        <w:t>(</w:t>
      </w:r>
      <w:r w:rsidRPr="00C11BBA">
        <w:rPr>
          <w:lang w:val="en-AU"/>
        </w:rPr>
        <w:t xml:space="preserve">Equation </w:t>
      </w:r>
      <w:r w:rsidR="005C069F">
        <w:rPr>
          <w:lang w:val="en-AU"/>
        </w:rPr>
        <w:t>2</w:t>
      </w:r>
      <w:r w:rsidR="00293D1F">
        <w:rPr>
          <w:lang w:val="en-AU"/>
        </w:rPr>
        <w:t>):</w:t>
      </w:r>
    </w:p>
    <w:p w14:paraId="157217D3" w14:textId="77777777" w:rsidR="00293D1F" w:rsidRPr="00C11BBA" w:rsidRDefault="00293D1F" w:rsidP="00015606">
      <w:pPr>
        <w:spacing w:line="276" w:lineRule="auto"/>
        <w:rPr>
          <w:lang w:val="en-AU"/>
        </w:rPr>
      </w:pPr>
    </w:p>
    <w:p w14:paraId="157217D4" w14:textId="61264E05" w:rsidR="0059608E" w:rsidRPr="000A467A" w:rsidRDefault="00E45FCB" w:rsidP="005C069F">
      <w:pPr>
        <w:pStyle w:val="Caption"/>
        <w:tabs>
          <w:tab w:val="right" w:pos="10206"/>
        </w:tabs>
        <w:spacing w:line="276" w:lineRule="auto"/>
        <w:jc w:val="center"/>
        <w:rPr>
          <w:b w:val="0"/>
          <w:sz w:val="22"/>
          <w:lang w:val="en-AU"/>
        </w:rPr>
      </w:pPr>
      <m:oMath>
        <m:r>
          <m:rPr>
            <m:sty m:val="b"/>
          </m:rPr>
          <w:rPr>
            <w:rFonts w:ascii="Cambria Math" w:hAnsi="Cambria Math" w:cstheme="minorHAnsi"/>
            <w:sz w:val="28"/>
            <w:lang w:val="en-AU"/>
          </w:rPr>
          <m:t xml:space="preserve">PSII-HEq = </m:t>
        </m:r>
        <m:nary>
          <m:naryPr>
            <m:chr m:val="∑"/>
            <m:limLoc m:val="undOvr"/>
            <m:ctrlPr>
              <w:rPr>
                <w:rFonts w:ascii="Cambria Math" w:hAnsi="Cambria Math" w:cstheme="minorHAnsi"/>
                <w:b w:val="0"/>
                <w:sz w:val="28"/>
                <w:lang w:val="en-AU"/>
              </w:rPr>
            </m:ctrlPr>
          </m:naryPr>
          <m:sub>
            <m:r>
              <m:rPr>
                <m:sty m:val="bi"/>
              </m:rPr>
              <w:rPr>
                <w:rFonts w:ascii="Cambria Math" w:hAnsi="Cambria Math" w:cstheme="minorHAnsi"/>
                <w:sz w:val="28"/>
                <w:lang w:val="en-AU"/>
              </w:rPr>
              <m:t>i=1</m:t>
            </m:r>
          </m:sub>
          <m:sup>
            <m:r>
              <m:rPr>
                <m:sty m:val="bi"/>
              </m:rPr>
              <w:rPr>
                <w:rFonts w:ascii="Cambria Math" w:hAnsi="Cambria Math" w:cstheme="minorHAnsi"/>
                <w:sz w:val="28"/>
                <w:lang w:val="en-AU"/>
              </w:rPr>
              <m:t>n</m:t>
            </m:r>
          </m:sup>
          <m:e>
            <m:sSub>
              <m:sSubPr>
                <m:ctrlPr>
                  <w:rPr>
                    <w:rFonts w:ascii="Cambria Math" w:hAnsi="Cambria Math" w:cstheme="minorHAnsi"/>
                    <w:b w:val="0"/>
                    <w:sz w:val="28"/>
                    <w:lang w:val="en-AU"/>
                  </w:rPr>
                </m:ctrlPr>
              </m:sSubPr>
              <m:e>
                <m:r>
                  <m:rPr>
                    <m:sty m:val="b"/>
                  </m:rPr>
                  <w:rPr>
                    <w:rFonts w:ascii="Cambria Math" w:hAnsi="Cambria Math" w:cstheme="minorHAnsi"/>
                    <w:sz w:val="28"/>
                    <w:lang w:val="en-AU"/>
                  </w:rPr>
                  <m:t>C</m:t>
                </m:r>
              </m:e>
              <m:sub>
                <m:r>
                  <m:rPr>
                    <m:sty m:val="bi"/>
                  </m:rPr>
                  <w:rPr>
                    <w:rFonts w:ascii="Cambria Math" w:hAnsi="Cambria Math" w:cstheme="minorHAnsi"/>
                    <w:sz w:val="28"/>
                    <w:lang w:val="en-AU"/>
                  </w:rPr>
                  <m:t>i</m:t>
                </m:r>
              </m:sub>
            </m:sSub>
            <m:r>
              <m:rPr>
                <m:sty m:val="b"/>
              </m:rPr>
              <w:rPr>
                <w:rFonts w:ascii="Cambria Math" w:hAnsi="Cambria Math" w:cstheme="minorHAnsi"/>
                <w:sz w:val="28"/>
                <w:lang w:val="en-AU"/>
              </w:rPr>
              <m:t xml:space="preserve"> x </m:t>
            </m:r>
            <m:sSub>
              <m:sSubPr>
                <m:ctrlPr>
                  <w:rPr>
                    <w:rFonts w:ascii="Cambria Math" w:hAnsi="Cambria Math" w:cstheme="minorHAnsi"/>
                    <w:b w:val="0"/>
                    <w:sz w:val="28"/>
                    <w:lang w:val="en-AU"/>
                  </w:rPr>
                </m:ctrlPr>
              </m:sSubPr>
              <m:e>
                <m:r>
                  <m:rPr>
                    <m:sty m:val="b"/>
                  </m:rPr>
                  <w:rPr>
                    <w:rFonts w:ascii="Cambria Math" w:hAnsi="Cambria Math" w:cstheme="minorHAnsi"/>
                    <w:sz w:val="28"/>
                    <w:lang w:val="en-AU"/>
                  </w:rPr>
                  <m:t>RPF</m:t>
                </m:r>
              </m:e>
              <m:sub>
                <m:r>
                  <m:rPr>
                    <m:sty m:val="bi"/>
                  </m:rPr>
                  <w:rPr>
                    <w:rFonts w:ascii="Cambria Math" w:hAnsi="Cambria Math" w:cstheme="minorHAnsi"/>
                    <w:sz w:val="28"/>
                    <w:lang w:val="en-AU"/>
                  </w:rPr>
                  <m:t>i</m:t>
                </m:r>
              </m:sub>
            </m:sSub>
          </m:e>
        </m:nary>
      </m:oMath>
      <w:r w:rsidR="0059608E" w:rsidRPr="00E45FCB">
        <w:rPr>
          <w:b w:val="0"/>
          <w:sz w:val="22"/>
          <w:vertAlign w:val="subscript"/>
          <w:lang w:val="en-AU"/>
        </w:rPr>
        <w:tab/>
      </w:r>
      <w:r w:rsidR="0059608E" w:rsidRPr="000A467A">
        <w:rPr>
          <w:b w:val="0"/>
          <w:sz w:val="22"/>
          <w:lang w:val="en-AU"/>
        </w:rPr>
        <w:t xml:space="preserve">Equation </w:t>
      </w:r>
      <w:r w:rsidR="000A467A">
        <w:rPr>
          <w:b w:val="0"/>
          <w:sz w:val="22"/>
          <w:lang w:val="en-AU"/>
        </w:rPr>
        <w:t>(</w:t>
      </w:r>
      <w:r w:rsidR="005C069F">
        <w:rPr>
          <w:b w:val="0"/>
          <w:sz w:val="22"/>
          <w:lang w:val="en-AU"/>
        </w:rPr>
        <w:t>2</w:t>
      </w:r>
      <w:r w:rsidR="000A467A">
        <w:rPr>
          <w:b w:val="0"/>
          <w:sz w:val="22"/>
          <w:lang w:val="en-AU"/>
        </w:rPr>
        <w:t>)</w:t>
      </w:r>
    </w:p>
    <w:p w14:paraId="157217D5" w14:textId="77777777" w:rsidR="00293D1F" w:rsidRPr="000A467A" w:rsidRDefault="00293D1F" w:rsidP="00015606">
      <w:pPr>
        <w:spacing w:line="276" w:lineRule="auto"/>
        <w:rPr>
          <w:lang w:val="en-AU"/>
        </w:rPr>
      </w:pPr>
    </w:p>
    <w:p w14:paraId="157217D6" w14:textId="77777777" w:rsidR="0059608E" w:rsidRDefault="0059608E" w:rsidP="00015606">
      <w:pPr>
        <w:spacing w:line="276" w:lineRule="auto"/>
        <w:rPr>
          <w:lang w:val="en-AU"/>
        </w:rPr>
      </w:pPr>
      <w:r w:rsidRPr="00C11BBA">
        <w:rPr>
          <w:lang w:val="en-AU"/>
        </w:rPr>
        <w:t>RP</w:t>
      </w:r>
      <w:r>
        <w:rPr>
          <w:lang w:val="en-AU"/>
        </w:rPr>
        <w:t>F</w:t>
      </w:r>
      <w:r w:rsidRPr="00C11BBA">
        <w:rPr>
          <w:lang w:val="en-AU"/>
        </w:rPr>
        <w:t xml:space="preserve"> values for the chemicals of interest were </w:t>
      </w:r>
      <w:r>
        <w:rPr>
          <w:lang w:val="en-AU"/>
        </w:rPr>
        <w:t>obtained</w:t>
      </w:r>
      <w:r w:rsidRPr="00C11BBA">
        <w:rPr>
          <w:lang w:val="en-AU"/>
        </w:rPr>
        <w:t xml:space="preserve"> from relevant laboratory studies </w:t>
      </w:r>
      <w:r>
        <w:rPr>
          <w:lang w:val="en-AU"/>
        </w:rPr>
        <w:t>(</w:t>
      </w:r>
      <w:r w:rsidRPr="008D6B14">
        <w:rPr>
          <w:lang w:val="en-AU"/>
        </w:rPr>
        <w:t xml:space="preserve">Table </w:t>
      </w:r>
      <w:r w:rsidR="00293D1F">
        <w:rPr>
          <w:lang w:val="en-AU"/>
        </w:rPr>
        <w:t>A9</w:t>
      </w:r>
      <w:r>
        <w:rPr>
          <w:lang w:val="en-AU"/>
        </w:rPr>
        <w:t>)</w:t>
      </w:r>
      <w:r w:rsidRPr="008D6B14">
        <w:rPr>
          <w:lang w:val="en-AU"/>
        </w:rPr>
        <w:t>. For</w:t>
      </w:r>
      <w:r>
        <w:rPr>
          <w:lang w:val="en-AU"/>
        </w:rPr>
        <w:t xml:space="preserve"> the</w:t>
      </w:r>
      <w:r w:rsidRPr="00C11BBA">
        <w:rPr>
          <w:lang w:val="en-AU"/>
        </w:rPr>
        <w:t xml:space="preserve"> initial determination of </w:t>
      </w:r>
      <w:r>
        <w:rPr>
          <w:lang w:val="en-AU"/>
        </w:rPr>
        <w:t xml:space="preserve">RPF </w:t>
      </w:r>
      <w:r w:rsidRPr="00C11BBA">
        <w:rPr>
          <w:lang w:val="en-AU"/>
        </w:rPr>
        <w:t>consensus values</w:t>
      </w:r>
      <w:r>
        <w:rPr>
          <w:lang w:val="en-AU"/>
        </w:rPr>
        <w:t>,</w:t>
      </w:r>
      <w:r w:rsidRPr="00C11BBA">
        <w:rPr>
          <w:lang w:val="en-AU"/>
        </w:rPr>
        <w:t xml:space="preserve"> average values from studies obtained using corals, </w:t>
      </w:r>
      <w:r>
        <w:rPr>
          <w:lang w:val="en-AU"/>
        </w:rPr>
        <w:t>P</w:t>
      </w:r>
      <w:r w:rsidRPr="00C11BBA">
        <w:rPr>
          <w:lang w:val="en-AU"/>
        </w:rPr>
        <w:t xml:space="preserve">haeodactylum and </w:t>
      </w:r>
      <w:r>
        <w:rPr>
          <w:lang w:val="en-AU"/>
        </w:rPr>
        <w:t>C</w:t>
      </w:r>
      <w:r w:rsidRPr="00C11BBA">
        <w:rPr>
          <w:lang w:val="en-AU"/>
        </w:rPr>
        <w:t>hlorella were used (different organisms were not weighted). The PSII-</w:t>
      </w:r>
      <w:r w:rsidR="009D307F">
        <w:rPr>
          <w:lang w:val="en-AU"/>
        </w:rPr>
        <w:t>HEq</w:t>
      </w:r>
      <w:r w:rsidRPr="00C11BBA">
        <w:rPr>
          <w:lang w:val="en-AU"/>
        </w:rPr>
        <w:t xml:space="preserve"> concentrations in this report were then predicted using these mean preliminary consensus </w:t>
      </w:r>
      <w:r>
        <w:rPr>
          <w:lang w:val="en-AU"/>
        </w:rPr>
        <w:t>RPF values</w:t>
      </w:r>
      <w:r w:rsidRPr="00C11BBA">
        <w:rPr>
          <w:lang w:val="en-AU"/>
        </w:rPr>
        <w:t xml:space="preserve"> giving equal weight to EC</w:t>
      </w:r>
      <w:r w:rsidRPr="00C11BBA">
        <w:rPr>
          <w:vertAlign w:val="subscript"/>
          <w:lang w:val="en-AU"/>
        </w:rPr>
        <w:t>50</w:t>
      </w:r>
      <w:r w:rsidRPr="00C11BBA">
        <w:rPr>
          <w:lang w:val="en-AU"/>
        </w:rPr>
        <w:t xml:space="preserve"> and EC</w:t>
      </w:r>
      <w:r w:rsidRPr="00C11BBA">
        <w:rPr>
          <w:vertAlign w:val="subscript"/>
          <w:lang w:val="en-AU"/>
        </w:rPr>
        <w:t>20</w:t>
      </w:r>
      <w:r w:rsidRPr="00C11BBA">
        <w:rPr>
          <w:lang w:val="en-AU"/>
        </w:rPr>
        <w:t xml:space="preserve"> values. These initial consensus values were developed and applied to determine PSII-</w:t>
      </w:r>
      <w:r w:rsidR="009D307F">
        <w:rPr>
          <w:lang w:val="en-AU"/>
        </w:rPr>
        <w:t>HEq</w:t>
      </w:r>
      <w:r w:rsidRPr="00C11BBA">
        <w:rPr>
          <w:lang w:val="en-AU"/>
        </w:rPr>
        <w:t xml:space="preserve"> </w:t>
      </w:r>
      <w:r>
        <w:rPr>
          <w:lang w:val="en-AU"/>
        </w:rPr>
        <w:t>since</w:t>
      </w:r>
      <w:r w:rsidRPr="00C11BBA">
        <w:rPr>
          <w:lang w:val="en-AU"/>
        </w:rPr>
        <w:t xml:space="preserve"> the baseline reporting year 2008-09 and</w:t>
      </w:r>
      <w:r w:rsidR="00AC0CC1">
        <w:rPr>
          <w:lang w:val="en-AU"/>
        </w:rPr>
        <w:t>,</w:t>
      </w:r>
      <w:r w:rsidRPr="00C11BBA">
        <w:rPr>
          <w:lang w:val="en-AU"/>
        </w:rPr>
        <w:t xml:space="preserve"> </w:t>
      </w:r>
      <w:r w:rsidR="00AC0CC1" w:rsidRPr="00C11BBA">
        <w:rPr>
          <w:lang w:val="en-AU"/>
        </w:rPr>
        <w:t>for the sake of consistency</w:t>
      </w:r>
      <w:r w:rsidR="00AC0CC1">
        <w:rPr>
          <w:lang w:val="en-AU"/>
        </w:rPr>
        <w:t>,</w:t>
      </w:r>
      <w:r w:rsidR="00AC0CC1" w:rsidRPr="00C11BBA">
        <w:rPr>
          <w:lang w:val="en-AU"/>
        </w:rPr>
        <w:t xml:space="preserve"> </w:t>
      </w:r>
      <w:r w:rsidRPr="00C11BBA">
        <w:rPr>
          <w:lang w:val="en-AU"/>
        </w:rPr>
        <w:t>have not been updated</w:t>
      </w:r>
      <w:r>
        <w:rPr>
          <w:lang w:val="en-AU"/>
        </w:rPr>
        <w:t xml:space="preserve">. </w:t>
      </w:r>
      <w:r w:rsidR="00AC0CC1">
        <w:rPr>
          <w:lang w:val="en-AU"/>
        </w:rPr>
        <w:t>H</w:t>
      </w:r>
      <w:r w:rsidR="00AC0CC1" w:rsidRPr="00C11BBA">
        <w:rPr>
          <w:lang w:val="en-AU"/>
        </w:rPr>
        <w:t>owever,</w:t>
      </w:r>
      <w:r w:rsidRPr="00C11BBA">
        <w:rPr>
          <w:lang w:val="en-AU"/>
        </w:rPr>
        <w:t xml:space="preserve"> it should be acknowledged that </w:t>
      </w:r>
      <w:r>
        <w:rPr>
          <w:lang w:val="en-AU"/>
        </w:rPr>
        <w:t xml:space="preserve">as more </w:t>
      </w:r>
      <w:r w:rsidRPr="00C11BBA">
        <w:rPr>
          <w:lang w:val="en-AU"/>
        </w:rPr>
        <w:t xml:space="preserve">data continue to be published </w:t>
      </w:r>
      <w:r>
        <w:rPr>
          <w:noProof/>
          <w:lang w:val="en-AU"/>
        </w:rPr>
        <w:t>(Magnusson et al., 2010)</w:t>
      </w:r>
      <w:r>
        <w:rPr>
          <w:lang w:val="en-AU"/>
        </w:rPr>
        <w:t>,</w:t>
      </w:r>
      <w:r w:rsidRPr="00C11BBA">
        <w:rPr>
          <w:lang w:val="en-AU"/>
        </w:rPr>
        <w:t xml:space="preserve"> it is likely that these values would benefit from review and updating in the future</w:t>
      </w:r>
      <w:r>
        <w:rPr>
          <w:lang w:val="en-AU"/>
        </w:rPr>
        <w:t xml:space="preserve"> to include not only more data for these chemicals but also additional PSII herbicides that are detected in the Reef lagoon</w:t>
      </w:r>
      <w:r w:rsidRPr="00C11BBA">
        <w:rPr>
          <w:lang w:val="en-AU"/>
        </w:rPr>
        <w:t>.</w:t>
      </w:r>
    </w:p>
    <w:p w14:paraId="157217D8" w14:textId="77777777" w:rsidR="008232E9" w:rsidRDefault="008232E9" w:rsidP="008232E9">
      <w:pPr>
        <w:spacing w:line="276" w:lineRule="auto"/>
        <w:jc w:val="left"/>
        <w:rPr>
          <w:b/>
          <w:bCs/>
          <w:sz w:val="18"/>
          <w:szCs w:val="18"/>
          <w:lang w:val="en-AU"/>
        </w:rPr>
      </w:pPr>
    </w:p>
    <w:p w14:paraId="157217D9" w14:textId="77777777" w:rsidR="008232E9" w:rsidRDefault="008232E9" w:rsidP="008232E9">
      <w:pPr>
        <w:spacing w:line="276" w:lineRule="auto"/>
        <w:jc w:val="left"/>
        <w:rPr>
          <w:b/>
          <w:bCs/>
          <w:sz w:val="18"/>
          <w:szCs w:val="18"/>
          <w:lang w:val="en-AU"/>
        </w:rPr>
      </w:pPr>
    </w:p>
    <w:p w14:paraId="157217DA" w14:textId="77777777" w:rsidR="001D1EBC" w:rsidRPr="00840E64" w:rsidRDefault="008232E9" w:rsidP="008232E9">
      <w:pPr>
        <w:pStyle w:val="Caption"/>
        <w:spacing w:after="120"/>
        <w:rPr>
          <w:b w:val="0"/>
        </w:rPr>
      </w:pPr>
      <w:bookmarkStart w:id="771" w:name="_Ref480726847"/>
      <w:bookmarkStart w:id="772" w:name="_Ref480726842"/>
      <w:bookmarkStart w:id="773" w:name="_Toc502499813"/>
      <w:r>
        <w:t xml:space="preserve">Table </w:t>
      </w:r>
      <w:r w:rsidR="00C91BF5">
        <w:fldChar w:fldCharType="begin"/>
      </w:r>
      <w:r w:rsidR="008C60F9">
        <w:instrText xml:space="preserve"> STYLEREF 7 \s </w:instrText>
      </w:r>
      <w:r w:rsidR="00C91BF5">
        <w:fldChar w:fldCharType="separate"/>
      </w:r>
      <w:r w:rsidR="00D12276">
        <w:rPr>
          <w:noProof/>
        </w:rPr>
        <w:t>C</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3</w:t>
      </w:r>
      <w:r w:rsidR="00C91BF5">
        <w:fldChar w:fldCharType="end"/>
      </w:r>
      <w:bookmarkEnd w:id="771"/>
      <w:r>
        <w:t xml:space="preserve">: </w:t>
      </w:r>
      <w:r w:rsidR="001D1EBC" w:rsidRPr="00840E64">
        <w:rPr>
          <w:b w:val="0"/>
        </w:rPr>
        <w:t>Relative potency factors (RPF) for PSII herbicides and selected transformation products</w:t>
      </w:r>
      <w:bookmarkEnd w:id="772"/>
      <w:bookmarkEnd w:id="773"/>
    </w:p>
    <w:tbl>
      <w:tblPr>
        <w:tblStyle w:val="MediumShading2-Accent5"/>
        <w:tblW w:w="0" w:type="auto"/>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Caption w:val="Relative potency factors (RPF) for PSII herbicides and selected transformation products"/>
        <w:tblDescription w:val="Relative potency data for PSII Herbicides on various species:&#10;Diuron (reference)&#10;Ametryn&#10;Atrazine&#10;Desethyl-atrazine&#10;Desisopropyl- atrazine&#10;Fluometuron&#10;Hexazinone&#10;Prometryn&#10;Simazine&#10;Tebuthiuron&#10;Terbuthylazine&#10;"/>
      </w:tblPr>
      <w:tblGrid>
        <w:gridCol w:w="1668"/>
        <w:gridCol w:w="1417"/>
        <w:gridCol w:w="1418"/>
        <w:gridCol w:w="1134"/>
        <w:gridCol w:w="1275"/>
        <w:gridCol w:w="1459"/>
        <w:gridCol w:w="1093"/>
        <w:gridCol w:w="14"/>
        <w:gridCol w:w="1205"/>
      </w:tblGrid>
      <w:tr w:rsidR="0059608E" w:rsidRPr="00293D1F" w14:paraId="157217DF" w14:textId="77777777" w:rsidTr="003E1F60">
        <w:trPr>
          <w:cnfStyle w:val="100000000000" w:firstRow="1" w:lastRow="0" w:firstColumn="0" w:lastColumn="0" w:oddVBand="0" w:evenVBand="0" w:oddHBand="0" w:evenHBand="0" w:firstRowFirstColumn="0" w:firstRowLastColumn="0" w:lastRowFirstColumn="0" w:lastRowLastColumn="0"/>
          <w:trHeight w:val="397"/>
          <w:tblHeader/>
          <w:jc w:val="center"/>
        </w:trPr>
        <w:tc>
          <w:tcPr>
            <w:cnfStyle w:val="001000000100" w:firstRow="0" w:lastRow="0" w:firstColumn="1" w:lastColumn="0" w:oddVBand="0" w:evenVBand="0" w:oddHBand="0" w:evenHBand="0" w:firstRowFirstColumn="1" w:firstRowLastColumn="0" w:lastRowFirstColumn="0" w:lastRowLastColumn="0"/>
            <w:tcW w:w="1668" w:type="dxa"/>
            <w:vMerge w:val="restart"/>
            <w:tcBorders>
              <w:top w:val="single" w:sz="4" w:space="0" w:color="auto"/>
            </w:tcBorders>
            <w:shd w:val="clear" w:color="auto" w:fill="F2F2F2" w:themeFill="background1" w:themeFillShade="F2"/>
            <w:vAlign w:val="center"/>
          </w:tcPr>
          <w:p w14:paraId="157217DB" w14:textId="77777777" w:rsidR="0059608E" w:rsidRPr="00293D1F" w:rsidRDefault="0059608E" w:rsidP="00015606">
            <w:pPr>
              <w:spacing w:line="276" w:lineRule="auto"/>
              <w:jc w:val="center"/>
              <w:rPr>
                <w:rFonts w:asciiTheme="minorHAnsi" w:hAnsiTheme="minorHAnsi" w:cstheme="minorHAnsi"/>
                <w:color w:val="auto"/>
                <w:sz w:val="24"/>
                <w:lang w:val="en-AU"/>
              </w:rPr>
            </w:pPr>
            <w:r w:rsidRPr="00293D1F">
              <w:rPr>
                <w:rFonts w:asciiTheme="minorHAnsi" w:hAnsiTheme="minorHAnsi" w:cstheme="minorHAnsi"/>
                <w:color w:val="auto"/>
                <w:sz w:val="24"/>
                <w:lang w:val="en-AU"/>
              </w:rPr>
              <w:t>PSII</w:t>
            </w:r>
          </w:p>
          <w:p w14:paraId="157217DC" w14:textId="77777777" w:rsidR="0059608E" w:rsidRPr="00293D1F" w:rsidRDefault="0059608E" w:rsidP="00015606">
            <w:pPr>
              <w:spacing w:line="276" w:lineRule="auto"/>
              <w:jc w:val="center"/>
              <w:rPr>
                <w:rFonts w:asciiTheme="minorHAnsi" w:hAnsiTheme="minorHAnsi" w:cstheme="minorHAnsi"/>
                <w:color w:val="auto"/>
                <w:sz w:val="24"/>
                <w:lang w:val="en-AU"/>
              </w:rPr>
            </w:pPr>
            <w:r w:rsidRPr="00293D1F">
              <w:rPr>
                <w:rFonts w:asciiTheme="minorHAnsi" w:hAnsiTheme="minorHAnsi" w:cstheme="minorHAnsi"/>
                <w:color w:val="auto"/>
                <w:sz w:val="24"/>
                <w:lang w:val="en-AU"/>
              </w:rPr>
              <w:t>Herbicides</w:t>
            </w:r>
          </w:p>
        </w:tc>
        <w:tc>
          <w:tcPr>
            <w:tcW w:w="7796" w:type="dxa"/>
            <w:gridSpan w:val="6"/>
            <w:tcBorders>
              <w:top w:val="single" w:sz="4" w:space="0" w:color="auto"/>
              <w:bottom w:val="single" w:sz="4" w:space="0" w:color="auto"/>
            </w:tcBorders>
            <w:shd w:val="clear" w:color="auto" w:fill="F2F2F2" w:themeFill="background1" w:themeFillShade="F2"/>
            <w:vAlign w:val="center"/>
          </w:tcPr>
          <w:p w14:paraId="157217DD" w14:textId="77777777" w:rsidR="0059608E" w:rsidRPr="00293D1F" w:rsidRDefault="0059608E" w:rsidP="00015606">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4"/>
                <w:lang w:val="en-AU"/>
              </w:rPr>
            </w:pPr>
            <w:r w:rsidRPr="00293D1F">
              <w:rPr>
                <w:rFonts w:asciiTheme="minorHAnsi" w:hAnsiTheme="minorHAnsi" w:cstheme="minorHAnsi"/>
                <w:color w:val="auto"/>
                <w:sz w:val="24"/>
                <w:lang w:val="en-AU"/>
              </w:rPr>
              <w:t>Relative potency (range)</w:t>
            </w:r>
          </w:p>
        </w:tc>
        <w:tc>
          <w:tcPr>
            <w:tcW w:w="1219" w:type="dxa"/>
            <w:gridSpan w:val="2"/>
            <w:tcBorders>
              <w:top w:val="single" w:sz="4" w:space="0" w:color="auto"/>
              <w:bottom w:val="single" w:sz="4" w:space="0" w:color="auto"/>
            </w:tcBorders>
            <w:shd w:val="clear" w:color="auto" w:fill="F2F2F2" w:themeFill="background1" w:themeFillShade="F2"/>
            <w:vAlign w:val="center"/>
          </w:tcPr>
          <w:p w14:paraId="157217DE" w14:textId="77777777" w:rsidR="0059608E" w:rsidRPr="00293D1F" w:rsidRDefault="00097E35" w:rsidP="00097E35">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4"/>
                <w:lang w:val="en-AU"/>
              </w:rPr>
            </w:pPr>
            <w:r w:rsidRPr="00293D1F">
              <w:rPr>
                <w:rFonts w:asciiTheme="minorHAnsi" w:hAnsiTheme="minorHAnsi" w:cstheme="minorHAnsi"/>
                <w:color w:val="auto"/>
                <w:sz w:val="24"/>
                <w:lang w:val="en-AU"/>
              </w:rPr>
              <w:t>Relative potency</w:t>
            </w:r>
          </w:p>
        </w:tc>
      </w:tr>
      <w:tr w:rsidR="0059608E" w:rsidRPr="00293D1F" w14:paraId="157217EA" w14:textId="77777777" w:rsidTr="003E1F60">
        <w:trPr>
          <w:cnfStyle w:val="100000000000" w:firstRow="1" w:lastRow="0" w:firstColumn="0" w:lastColumn="0" w:oddVBand="0" w:evenVBand="0" w:oddHBand="0" w:evenHBand="0" w:firstRowFirstColumn="0" w:firstRowLastColumn="0" w:lastRowFirstColumn="0" w:lastRowLastColumn="0"/>
          <w:trHeight w:val="397"/>
          <w:tblHeader/>
          <w:jc w:val="center"/>
        </w:trPr>
        <w:tc>
          <w:tcPr>
            <w:cnfStyle w:val="001000000100" w:firstRow="0" w:lastRow="0" w:firstColumn="1" w:lastColumn="0" w:oddVBand="0" w:evenVBand="0" w:oddHBand="0" w:evenHBand="0" w:firstRowFirstColumn="1" w:firstRowLastColumn="0" w:lastRowFirstColumn="0" w:lastRowLastColumn="0"/>
            <w:tcW w:w="1668" w:type="dxa"/>
            <w:vMerge/>
            <w:tcBorders>
              <w:bottom w:val="single" w:sz="4" w:space="0" w:color="auto"/>
            </w:tcBorders>
            <w:shd w:val="clear" w:color="auto" w:fill="F2F2F2" w:themeFill="background1" w:themeFillShade="F2"/>
            <w:vAlign w:val="center"/>
          </w:tcPr>
          <w:p w14:paraId="157217E0" w14:textId="77777777" w:rsidR="0059608E" w:rsidRPr="00293D1F" w:rsidRDefault="0059608E" w:rsidP="00015606">
            <w:pPr>
              <w:spacing w:line="276" w:lineRule="auto"/>
              <w:jc w:val="center"/>
              <w:rPr>
                <w:rFonts w:asciiTheme="minorHAnsi" w:hAnsiTheme="minorHAnsi" w:cstheme="minorHAnsi"/>
                <w:color w:val="auto"/>
                <w:lang w:val="en-AU"/>
              </w:rPr>
            </w:pPr>
          </w:p>
        </w:tc>
        <w:tc>
          <w:tcPr>
            <w:tcW w:w="1417" w:type="dxa"/>
            <w:tcBorders>
              <w:top w:val="single" w:sz="4" w:space="0" w:color="auto"/>
              <w:bottom w:val="single" w:sz="4" w:space="0" w:color="auto"/>
            </w:tcBorders>
            <w:shd w:val="clear" w:color="auto" w:fill="F2F2F2" w:themeFill="background1" w:themeFillShade="F2"/>
            <w:vAlign w:val="center"/>
          </w:tcPr>
          <w:p w14:paraId="157217E1" w14:textId="77777777" w:rsidR="0059608E" w:rsidRPr="00293D1F" w:rsidRDefault="0059608E" w:rsidP="00015606">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8"/>
                <w:lang w:val="en-AU"/>
              </w:rPr>
            </w:pPr>
            <w:r w:rsidRPr="00293D1F">
              <w:rPr>
                <w:rFonts w:asciiTheme="minorHAnsi" w:hAnsiTheme="minorHAnsi" w:cstheme="minorHAnsi"/>
                <w:b w:val="0"/>
                <w:color w:val="auto"/>
                <w:sz w:val="18"/>
                <w:lang w:val="en-AU"/>
              </w:rPr>
              <w:t xml:space="preserve">Zooxanthellae (Corals) </w:t>
            </w:r>
            <w:r w:rsidRPr="00293D1F">
              <w:rPr>
                <w:rFonts w:asciiTheme="minorHAnsi" w:hAnsiTheme="minorHAnsi" w:cstheme="minorHAnsi"/>
                <w:b w:val="0"/>
                <w:color w:val="auto"/>
                <w:sz w:val="18"/>
                <w:vertAlign w:val="superscript"/>
                <w:lang w:val="en-AU"/>
              </w:rPr>
              <w:t>a</w:t>
            </w:r>
          </w:p>
        </w:tc>
        <w:tc>
          <w:tcPr>
            <w:tcW w:w="1418" w:type="dxa"/>
            <w:tcBorders>
              <w:top w:val="single" w:sz="4" w:space="0" w:color="auto"/>
              <w:bottom w:val="single" w:sz="4" w:space="0" w:color="auto"/>
            </w:tcBorders>
            <w:shd w:val="clear" w:color="auto" w:fill="F2F2F2" w:themeFill="background1" w:themeFillShade="F2"/>
            <w:vAlign w:val="center"/>
          </w:tcPr>
          <w:p w14:paraId="157217E2" w14:textId="77777777" w:rsidR="0059608E" w:rsidRPr="00293D1F" w:rsidRDefault="0059608E" w:rsidP="00015606">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8"/>
                <w:vertAlign w:val="superscript"/>
                <w:lang w:val="en-AU"/>
              </w:rPr>
            </w:pPr>
            <w:r w:rsidRPr="00293D1F">
              <w:rPr>
                <w:rFonts w:asciiTheme="minorHAnsi" w:hAnsiTheme="minorHAnsi" w:cstheme="minorHAnsi"/>
                <w:b w:val="0"/>
                <w:color w:val="auto"/>
                <w:sz w:val="18"/>
                <w:lang w:val="en-AU"/>
              </w:rPr>
              <w:t>Phaeodactylum tricornutum</w:t>
            </w:r>
            <w:r w:rsidRPr="00293D1F">
              <w:rPr>
                <w:rFonts w:asciiTheme="minorHAnsi" w:hAnsiTheme="minorHAnsi" w:cstheme="minorHAnsi"/>
                <w:b w:val="0"/>
                <w:color w:val="auto"/>
                <w:sz w:val="18"/>
                <w:vertAlign w:val="superscript"/>
                <w:lang w:val="en-AU"/>
              </w:rPr>
              <w:t>bcd</w:t>
            </w:r>
          </w:p>
        </w:tc>
        <w:tc>
          <w:tcPr>
            <w:tcW w:w="1134" w:type="dxa"/>
            <w:tcBorders>
              <w:top w:val="single" w:sz="4" w:space="0" w:color="auto"/>
              <w:bottom w:val="single" w:sz="4" w:space="0" w:color="auto"/>
            </w:tcBorders>
            <w:shd w:val="clear" w:color="auto" w:fill="F2F2F2" w:themeFill="background1" w:themeFillShade="F2"/>
            <w:vAlign w:val="center"/>
          </w:tcPr>
          <w:p w14:paraId="157217E3" w14:textId="77777777" w:rsidR="0059608E" w:rsidRPr="00293D1F" w:rsidRDefault="0059608E" w:rsidP="00097E35">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8"/>
                <w:vertAlign w:val="superscript"/>
                <w:lang w:val="en-AU"/>
              </w:rPr>
            </w:pPr>
            <w:r w:rsidRPr="00293D1F">
              <w:rPr>
                <w:rFonts w:asciiTheme="minorHAnsi" w:hAnsiTheme="minorHAnsi" w:cstheme="minorHAnsi"/>
                <w:b w:val="0"/>
                <w:color w:val="auto"/>
                <w:sz w:val="18"/>
                <w:lang w:val="en-AU"/>
              </w:rPr>
              <w:t>Chlorella vulgaris</w:t>
            </w:r>
            <w:r w:rsidR="00097E35" w:rsidRPr="00293D1F">
              <w:rPr>
                <w:rFonts w:asciiTheme="minorHAnsi" w:hAnsiTheme="minorHAnsi" w:cstheme="minorHAnsi"/>
                <w:b w:val="0"/>
                <w:color w:val="auto"/>
                <w:sz w:val="18"/>
                <w:vertAlign w:val="superscript"/>
                <w:lang w:val="en-AU"/>
              </w:rPr>
              <w:t>bde</w:t>
            </w:r>
          </w:p>
        </w:tc>
        <w:tc>
          <w:tcPr>
            <w:tcW w:w="1275" w:type="dxa"/>
            <w:tcBorders>
              <w:top w:val="single" w:sz="4" w:space="0" w:color="auto"/>
              <w:bottom w:val="single" w:sz="4" w:space="0" w:color="auto"/>
            </w:tcBorders>
            <w:shd w:val="clear" w:color="auto" w:fill="F2F2F2" w:themeFill="background1" w:themeFillShade="F2"/>
            <w:vAlign w:val="center"/>
          </w:tcPr>
          <w:p w14:paraId="157217E4" w14:textId="77777777" w:rsidR="0059608E" w:rsidRPr="00293D1F" w:rsidRDefault="0059608E" w:rsidP="00015606">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8"/>
                <w:vertAlign w:val="superscript"/>
                <w:lang w:val="en-AU"/>
              </w:rPr>
            </w:pPr>
            <w:r w:rsidRPr="00293D1F">
              <w:rPr>
                <w:rFonts w:asciiTheme="minorHAnsi" w:hAnsiTheme="minorHAnsi" w:cstheme="minorHAnsi"/>
                <w:b w:val="0"/>
                <w:color w:val="auto"/>
                <w:sz w:val="18"/>
                <w:lang w:val="en-AU"/>
              </w:rPr>
              <w:t xml:space="preserve">Zooxanthellae (Corals) </w:t>
            </w:r>
            <w:r w:rsidRPr="00293D1F">
              <w:rPr>
                <w:rFonts w:asciiTheme="minorHAnsi" w:hAnsiTheme="minorHAnsi" w:cstheme="minorHAnsi"/>
                <w:b w:val="0"/>
                <w:color w:val="auto"/>
                <w:sz w:val="18"/>
                <w:vertAlign w:val="superscript"/>
                <w:lang w:val="en-AU"/>
              </w:rPr>
              <w:t>a</w:t>
            </w:r>
          </w:p>
        </w:tc>
        <w:tc>
          <w:tcPr>
            <w:tcW w:w="1459" w:type="dxa"/>
            <w:tcBorders>
              <w:top w:val="single" w:sz="4" w:space="0" w:color="auto"/>
              <w:bottom w:val="single" w:sz="4" w:space="0" w:color="auto"/>
            </w:tcBorders>
            <w:shd w:val="clear" w:color="auto" w:fill="F2F2F2" w:themeFill="background1" w:themeFillShade="F2"/>
            <w:vAlign w:val="center"/>
          </w:tcPr>
          <w:p w14:paraId="157217E5" w14:textId="77777777" w:rsidR="0059608E" w:rsidRPr="00293D1F" w:rsidRDefault="0059608E" w:rsidP="00015606">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8"/>
                <w:vertAlign w:val="superscript"/>
                <w:lang w:val="en-AU"/>
              </w:rPr>
            </w:pPr>
            <w:r w:rsidRPr="00293D1F">
              <w:rPr>
                <w:rFonts w:asciiTheme="minorHAnsi" w:hAnsiTheme="minorHAnsi" w:cstheme="minorHAnsi"/>
                <w:b w:val="0"/>
                <w:color w:val="auto"/>
                <w:sz w:val="18"/>
                <w:lang w:val="en-AU"/>
              </w:rPr>
              <w:t>Phaeodactylum tricornutum</w:t>
            </w:r>
            <w:r w:rsidRPr="00293D1F">
              <w:rPr>
                <w:rFonts w:asciiTheme="minorHAnsi" w:hAnsiTheme="minorHAnsi" w:cstheme="minorHAnsi"/>
                <w:b w:val="0"/>
                <w:color w:val="auto"/>
                <w:sz w:val="18"/>
                <w:vertAlign w:val="superscript"/>
                <w:lang w:val="en-AU"/>
              </w:rPr>
              <w:t>bcd</w:t>
            </w:r>
          </w:p>
        </w:tc>
        <w:tc>
          <w:tcPr>
            <w:tcW w:w="1107" w:type="dxa"/>
            <w:gridSpan w:val="2"/>
            <w:tcBorders>
              <w:top w:val="single" w:sz="4" w:space="0" w:color="auto"/>
              <w:bottom w:val="single" w:sz="4" w:space="0" w:color="auto"/>
            </w:tcBorders>
            <w:shd w:val="clear" w:color="auto" w:fill="F2F2F2" w:themeFill="background1" w:themeFillShade="F2"/>
            <w:vAlign w:val="center"/>
          </w:tcPr>
          <w:p w14:paraId="157217E6" w14:textId="77777777" w:rsidR="0059608E" w:rsidRPr="00293D1F" w:rsidRDefault="0059608E" w:rsidP="00097E35">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8"/>
                <w:vertAlign w:val="superscript"/>
                <w:lang w:val="en-AU"/>
              </w:rPr>
            </w:pPr>
            <w:r w:rsidRPr="00293D1F">
              <w:rPr>
                <w:rFonts w:asciiTheme="minorHAnsi" w:hAnsiTheme="minorHAnsi" w:cstheme="minorHAnsi"/>
                <w:b w:val="0"/>
                <w:color w:val="auto"/>
                <w:sz w:val="18"/>
                <w:lang w:val="en-AU"/>
              </w:rPr>
              <w:t>Chlorella vulgaris</w:t>
            </w:r>
            <w:r w:rsidR="00097E35" w:rsidRPr="00293D1F">
              <w:rPr>
                <w:rFonts w:asciiTheme="minorHAnsi" w:hAnsiTheme="minorHAnsi" w:cstheme="minorHAnsi"/>
                <w:b w:val="0"/>
                <w:color w:val="auto"/>
                <w:sz w:val="18"/>
                <w:vertAlign w:val="superscript"/>
                <w:lang w:val="en-AU"/>
              </w:rPr>
              <w:t>bde</w:t>
            </w:r>
          </w:p>
        </w:tc>
        <w:tc>
          <w:tcPr>
            <w:tcW w:w="1205" w:type="dxa"/>
            <w:tcBorders>
              <w:top w:val="single" w:sz="4" w:space="0" w:color="auto"/>
              <w:bottom w:val="single" w:sz="4" w:space="0" w:color="auto"/>
            </w:tcBorders>
            <w:shd w:val="clear" w:color="auto" w:fill="F2F2F2" w:themeFill="background1" w:themeFillShade="F2"/>
            <w:vAlign w:val="center"/>
          </w:tcPr>
          <w:p w14:paraId="157217E7" w14:textId="77777777" w:rsidR="0059608E" w:rsidRPr="00293D1F" w:rsidRDefault="0059608E" w:rsidP="00015606">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8"/>
                <w:lang w:val="en-AU"/>
              </w:rPr>
            </w:pPr>
            <w:r w:rsidRPr="00293D1F">
              <w:rPr>
                <w:rFonts w:asciiTheme="minorHAnsi" w:hAnsiTheme="minorHAnsi" w:cstheme="minorHAnsi"/>
                <w:b w:val="0"/>
                <w:color w:val="auto"/>
                <w:sz w:val="18"/>
                <w:lang w:val="en-AU"/>
              </w:rPr>
              <w:t>Mean/</w:t>
            </w:r>
          </w:p>
          <w:p w14:paraId="157217E8" w14:textId="77777777" w:rsidR="0059608E" w:rsidRPr="00293D1F" w:rsidRDefault="0059608E" w:rsidP="00015606">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8"/>
                <w:vertAlign w:val="superscript"/>
                <w:lang w:val="en-AU"/>
              </w:rPr>
            </w:pPr>
            <w:r w:rsidRPr="00293D1F">
              <w:rPr>
                <w:rFonts w:asciiTheme="minorHAnsi" w:hAnsiTheme="minorHAnsi" w:cstheme="minorHAnsi"/>
                <w:b w:val="0"/>
                <w:color w:val="auto"/>
                <w:sz w:val="18"/>
                <w:lang w:val="en-AU"/>
              </w:rPr>
              <w:t xml:space="preserve">Preliminary consensus </w:t>
            </w:r>
            <w:r w:rsidR="0088783F" w:rsidRPr="00293D1F">
              <w:rPr>
                <w:rFonts w:asciiTheme="minorHAnsi" w:hAnsiTheme="minorHAnsi" w:cstheme="minorHAnsi"/>
                <w:b w:val="0"/>
                <w:color w:val="auto"/>
                <w:sz w:val="18"/>
                <w:vertAlign w:val="superscript"/>
                <w:lang w:val="en-AU"/>
              </w:rPr>
              <w:t>f</w:t>
            </w:r>
          </w:p>
          <w:p w14:paraId="157217E9" w14:textId="77777777" w:rsidR="0059608E" w:rsidRPr="00293D1F" w:rsidRDefault="0059608E" w:rsidP="00015606">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8"/>
                <w:lang w:val="en-AU"/>
              </w:rPr>
            </w:pPr>
            <w:r w:rsidRPr="00293D1F">
              <w:rPr>
                <w:rFonts w:asciiTheme="minorHAnsi" w:hAnsiTheme="minorHAnsi" w:cstheme="minorHAnsi"/>
                <w:b w:val="0"/>
                <w:color w:val="auto"/>
                <w:sz w:val="18"/>
                <w:lang w:val="en-AU"/>
              </w:rPr>
              <w:t>RPF</w:t>
            </w:r>
          </w:p>
        </w:tc>
      </w:tr>
      <w:tr w:rsidR="0059608E" w:rsidRPr="00293D1F" w14:paraId="157217F3" w14:textId="77777777" w:rsidTr="003E1F60">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auto"/>
            </w:tcBorders>
            <w:shd w:val="clear" w:color="auto" w:fill="auto"/>
            <w:vAlign w:val="center"/>
          </w:tcPr>
          <w:p w14:paraId="157217EB"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Diuron (reference)</w:t>
            </w:r>
          </w:p>
        </w:tc>
        <w:tc>
          <w:tcPr>
            <w:tcW w:w="1417" w:type="dxa"/>
            <w:tcBorders>
              <w:top w:val="single" w:sz="4" w:space="0" w:color="auto"/>
              <w:left w:val="nil"/>
              <w:bottom w:val="nil"/>
              <w:right w:val="nil"/>
            </w:tcBorders>
            <w:shd w:val="clear" w:color="auto" w:fill="auto"/>
            <w:vAlign w:val="center"/>
          </w:tcPr>
          <w:p w14:paraId="157217EC"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1</w:t>
            </w:r>
          </w:p>
        </w:tc>
        <w:tc>
          <w:tcPr>
            <w:tcW w:w="1418" w:type="dxa"/>
            <w:tcBorders>
              <w:top w:val="single" w:sz="4" w:space="0" w:color="auto"/>
              <w:left w:val="nil"/>
              <w:bottom w:val="nil"/>
              <w:right w:val="nil"/>
            </w:tcBorders>
            <w:shd w:val="clear" w:color="auto" w:fill="auto"/>
            <w:vAlign w:val="center"/>
          </w:tcPr>
          <w:p w14:paraId="157217ED"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1</w:t>
            </w:r>
          </w:p>
        </w:tc>
        <w:tc>
          <w:tcPr>
            <w:tcW w:w="1134" w:type="dxa"/>
            <w:tcBorders>
              <w:top w:val="single" w:sz="4" w:space="0" w:color="auto"/>
              <w:left w:val="nil"/>
              <w:bottom w:val="nil"/>
              <w:right w:val="nil"/>
            </w:tcBorders>
            <w:shd w:val="clear" w:color="auto" w:fill="auto"/>
            <w:vAlign w:val="center"/>
          </w:tcPr>
          <w:p w14:paraId="157217EE"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1</w:t>
            </w:r>
          </w:p>
        </w:tc>
        <w:tc>
          <w:tcPr>
            <w:tcW w:w="1275" w:type="dxa"/>
            <w:tcBorders>
              <w:top w:val="single" w:sz="4" w:space="0" w:color="auto"/>
              <w:left w:val="nil"/>
              <w:bottom w:val="nil"/>
              <w:right w:val="nil"/>
            </w:tcBorders>
            <w:shd w:val="clear" w:color="auto" w:fill="auto"/>
            <w:vAlign w:val="center"/>
          </w:tcPr>
          <w:p w14:paraId="157217EF"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1</w:t>
            </w:r>
          </w:p>
        </w:tc>
        <w:tc>
          <w:tcPr>
            <w:tcW w:w="1459" w:type="dxa"/>
            <w:tcBorders>
              <w:top w:val="single" w:sz="4" w:space="0" w:color="auto"/>
              <w:left w:val="nil"/>
              <w:bottom w:val="nil"/>
              <w:right w:val="nil"/>
            </w:tcBorders>
            <w:shd w:val="clear" w:color="auto" w:fill="auto"/>
            <w:vAlign w:val="center"/>
          </w:tcPr>
          <w:p w14:paraId="157217F0"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1</w:t>
            </w:r>
          </w:p>
        </w:tc>
        <w:tc>
          <w:tcPr>
            <w:tcW w:w="1107" w:type="dxa"/>
            <w:gridSpan w:val="2"/>
            <w:tcBorders>
              <w:top w:val="single" w:sz="4" w:space="0" w:color="auto"/>
              <w:left w:val="nil"/>
              <w:bottom w:val="nil"/>
              <w:right w:val="nil"/>
            </w:tcBorders>
            <w:shd w:val="clear" w:color="auto" w:fill="auto"/>
            <w:vAlign w:val="center"/>
          </w:tcPr>
          <w:p w14:paraId="157217F1"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1</w:t>
            </w:r>
          </w:p>
        </w:tc>
        <w:tc>
          <w:tcPr>
            <w:tcW w:w="1205" w:type="dxa"/>
            <w:tcBorders>
              <w:top w:val="single" w:sz="4" w:space="0" w:color="auto"/>
              <w:left w:val="nil"/>
              <w:bottom w:val="nil"/>
              <w:right w:val="nil"/>
            </w:tcBorders>
            <w:shd w:val="clear" w:color="auto" w:fill="auto"/>
            <w:vAlign w:val="center"/>
          </w:tcPr>
          <w:p w14:paraId="157217F2"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1</w:t>
            </w:r>
          </w:p>
        </w:tc>
      </w:tr>
      <w:tr w:rsidR="0059608E" w:rsidRPr="00293D1F" w14:paraId="157217FC" w14:textId="77777777" w:rsidTr="003E1F60">
        <w:trPr>
          <w:trHeight w:val="397"/>
          <w:jc w:val="center"/>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vAlign w:val="center"/>
          </w:tcPr>
          <w:p w14:paraId="157217F4"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Ametryn</w:t>
            </w:r>
          </w:p>
        </w:tc>
        <w:tc>
          <w:tcPr>
            <w:tcW w:w="1417" w:type="dxa"/>
            <w:tcBorders>
              <w:top w:val="nil"/>
              <w:left w:val="nil"/>
              <w:bottom w:val="nil"/>
              <w:right w:val="nil"/>
            </w:tcBorders>
            <w:shd w:val="clear" w:color="auto" w:fill="auto"/>
            <w:vAlign w:val="center"/>
          </w:tcPr>
          <w:p w14:paraId="157217F5"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1.2-1.35</w:t>
            </w:r>
          </w:p>
        </w:tc>
        <w:tc>
          <w:tcPr>
            <w:tcW w:w="1418" w:type="dxa"/>
            <w:tcBorders>
              <w:top w:val="nil"/>
              <w:left w:val="nil"/>
              <w:bottom w:val="nil"/>
              <w:right w:val="nil"/>
            </w:tcBorders>
            <w:shd w:val="clear" w:color="auto" w:fill="auto"/>
            <w:vAlign w:val="center"/>
          </w:tcPr>
          <w:p w14:paraId="157217F6"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0.94</w:t>
            </w:r>
          </w:p>
        </w:tc>
        <w:tc>
          <w:tcPr>
            <w:tcW w:w="1134" w:type="dxa"/>
            <w:tcBorders>
              <w:top w:val="nil"/>
              <w:left w:val="nil"/>
              <w:bottom w:val="nil"/>
              <w:right w:val="nil"/>
            </w:tcBorders>
            <w:shd w:val="clear" w:color="auto" w:fill="auto"/>
            <w:vAlign w:val="center"/>
          </w:tcPr>
          <w:p w14:paraId="157217F7"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0.9 -2.7</w:t>
            </w:r>
          </w:p>
        </w:tc>
        <w:tc>
          <w:tcPr>
            <w:tcW w:w="1275" w:type="dxa"/>
            <w:tcBorders>
              <w:top w:val="nil"/>
              <w:left w:val="nil"/>
              <w:bottom w:val="nil"/>
              <w:right w:val="nil"/>
            </w:tcBorders>
            <w:shd w:val="clear" w:color="auto" w:fill="auto"/>
            <w:vAlign w:val="center"/>
          </w:tcPr>
          <w:p w14:paraId="157217F8"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1.28</w:t>
            </w:r>
          </w:p>
        </w:tc>
        <w:tc>
          <w:tcPr>
            <w:tcW w:w="1459" w:type="dxa"/>
            <w:tcBorders>
              <w:top w:val="nil"/>
              <w:left w:val="nil"/>
              <w:bottom w:val="nil"/>
              <w:right w:val="nil"/>
            </w:tcBorders>
            <w:shd w:val="clear" w:color="auto" w:fill="auto"/>
            <w:vAlign w:val="center"/>
          </w:tcPr>
          <w:p w14:paraId="157217F9"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0.94</w:t>
            </w:r>
          </w:p>
        </w:tc>
        <w:tc>
          <w:tcPr>
            <w:tcW w:w="1107" w:type="dxa"/>
            <w:gridSpan w:val="2"/>
            <w:tcBorders>
              <w:top w:val="nil"/>
              <w:left w:val="nil"/>
              <w:bottom w:val="nil"/>
              <w:right w:val="nil"/>
            </w:tcBorders>
            <w:shd w:val="clear" w:color="auto" w:fill="auto"/>
            <w:vAlign w:val="center"/>
          </w:tcPr>
          <w:p w14:paraId="157217FA"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1.71</w:t>
            </w:r>
          </w:p>
        </w:tc>
        <w:tc>
          <w:tcPr>
            <w:tcW w:w="1205" w:type="dxa"/>
            <w:tcBorders>
              <w:top w:val="nil"/>
              <w:left w:val="nil"/>
              <w:bottom w:val="nil"/>
              <w:right w:val="nil"/>
            </w:tcBorders>
            <w:shd w:val="clear" w:color="auto" w:fill="auto"/>
            <w:vAlign w:val="center"/>
          </w:tcPr>
          <w:p w14:paraId="157217FB"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1.31</w:t>
            </w:r>
          </w:p>
        </w:tc>
      </w:tr>
      <w:tr w:rsidR="0059608E" w:rsidRPr="00293D1F" w14:paraId="15721805" w14:textId="77777777" w:rsidTr="003E1F60">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vAlign w:val="center"/>
          </w:tcPr>
          <w:p w14:paraId="157217FD"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Atrazine</w:t>
            </w:r>
          </w:p>
        </w:tc>
        <w:tc>
          <w:tcPr>
            <w:tcW w:w="1417" w:type="dxa"/>
            <w:tcBorders>
              <w:top w:val="nil"/>
              <w:left w:val="nil"/>
              <w:bottom w:val="nil"/>
              <w:right w:val="nil"/>
            </w:tcBorders>
            <w:shd w:val="clear" w:color="auto" w:fill="auto"/>
            <w:vAlign w:val="center"/>
          </w:tcPr>
          <w:p w14:paraId="157217FE"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0.05-0.06</w:t>
            </w:r>
          </w:p>
        </w:tc>
        <w:tc>
          <w:tcPr>
            <w:tcW w:w="1418" w:type="dxa"/>
            <w:tcBorders>
              <w:top w:val="nil"/>
              <w:left w:val="nil"/>
              <w:bottom w:val="nil"/>
              <w:right w:val="nil"/>
            </w:tcBorders>
            <w:shd w:val="clear" w:color="auto" w:fill="auto"/>
            <w:vAlign w:val="center"/>
          </w:tcPr>
          <w:p w14:paraId="157217FF"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0.1-0.4</w:t>
            </w:r>
          </w:p>
        </w:tc>
        <w:tc>
          <w:tcPr>
            <w:tcW w:w="1134" w:type="dxa"/>
            <w:tcBorders>
              <w:top w:val="nil"/>
              <w:left w:val="nil"/>
              <w:bottom w:val="nil"/>
              <w:right w:val="nil"/>
            </w:tcBorders>
            <w:shd w:val="clear" w:color="auto" w:fill="auto"/>
            <w:vAlign w:val="center"/>
          </w:tcPr>
          <w:p w14:paraId="15721800"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0.15 -0.3</w:t>
            </w:r>
          </w:p>
        </w:tc>
        <w:tc>
          <w:tcPr>
            <w:tcW w:w="1275" w:type="dxa"/>
            <w:tcBorders>
              <w:top w:val="nil"/>
              <w:left w:val="nil"/>
              <w:bottom w:val="nil"/>
              <w:right w:val="nil"/>
            </w:tcBorders>
            <w:shd w:val="clear" w:color="auto" w:fill="auto"/>
            <w:vAlign w:val="center"/>
          </w:tcPr>
          <w:p w14:paraId="15721801"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0.05</w:t>
            </w:r>
          </w:p>
        </w:tc>
        <w:tc>
          <w:tcPr>
            <w:tcW w:w="1459" w:type="dxa"/>
            <w:tcBorders>
              <w:top w:val="nil"/>
              <w:left w:val="nil"/>
              <w:bottom w:val="nil"/>
              <w:right w:val="nil"/>
            </w:tcBorders>
            <w:shd w:val="clear" w:color="auto" w:fill="auto"/>
            <w:vAlign w:val="center"/>
          </w:tcPr>
          <w:p w14:paraId="15721802"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0.22</w:t>
            </w:r>
          </w:p>
        </w:tc>
        <w:tc>
          <w:tcPr>
            <w:tcW w:w="1107" w:type="dxa"/>
            <w:gridSpan w:val="2"/>
            <w:tcBorders>
              <w:top w:val="nil"/>
              <w:left w:val="nil"/>
              <w:bottom w:val="nil"/>
              <w:right w:val="nil"/>
            </w:tcBorders>
            <w:shd w:val="clear" w:color="auto" w:fill="auto"/>
            <w:vAlign w:val="center"/>
          </w:tcPr>
          <w:p w14:paraId="15721803"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0.21</w:t>
            </w:r>
          </w:p>
        </w:tc>
        <w:tc>
          <w:tcPr>
            <w:tcW w:w="1205" w:type="dxa"/>
            <w:tcBorders>
              <w:top w:val="nil"/>
              <w:left w:val="nil"/>
              <w:bottom w:val="nil"/>
              <w:right w:val="nil"/>
            </w:tcBorders>
            <w:shd w:val="clear" w:color="auto" w:fill="auto"/>
            <w:vAlign w:val="center"/>
          </w:tcPr>
          <w:p w14:paraId="15721804"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0.16</w:t>
            </w:r>
          </w:p>
        </w:tc>
      </w:tr>
      <w:tr w:rsidR="0059608E" w:rsidRPr="00293D1F" w14:paraId="1572180E" w14:textId="77777777" w:rsidTr="003E1F60">
        <w:trPr>
          <w:trHeight w:val="397"/>
          <w:jc w:val="center"/>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vAlign w:val="center"/>
          </w:tcPr>
          <w:p w14:paraId="15721806"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Desethyl-atrazine</w:t>
            </w:r>
          </w:p>
        </w:tc>
        <w:tc>
          <w:tcPr>
            <w:tcW w:w="1417" w:type="dxa"/>
            <w:tcBorders>
              <w:top w:val="nil"/>
              <w:left w:val="nil"/>
              <w:bottom w:val="nil"/>
              <w:right w:val="nil"/>
            </w:tcBorders>
            <w:shd w:val="clear" w:color="auto" w:fill="auto"/>
            <w:vAlign w:val="center"/>
          </w:tcPr>
          <w:p w14:paraId="15721807"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418" w:type="dxa"/>
            <w:tcBorders>
              <w:top w:val="nil"/>
              <w:left w:val="nil"/>
              <w:bottom w:val="nil"/>
              <w:right w:val="nil"/>
            </w:tcBorders>
            <w:shd w:val="clear" w:color="auto" w:fill="auto"/>
            <w:vAlign w:val="center"/>
          </w:tcPr>
          <w:p w14:paraId="15721808"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134" w:type="dxa"/>
            <w:tcBorders>
              <w:top w:val="nil"/>
              <w:left w:val="nil"/>
              <w:bottom w:val="nil"/>
              <w:right w:val="nil"/>
            </w:tcBorders>
            <w:shd w:val="clear" w:color="auto" w:fill="auto"/>
            <w:vAlign w:val="center"/>
          </w:tcPr>
          <w:p w14:paraId="15721809"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0.01-0.2</w:t>
            </w:r>
          </w:p>
        </w:tc>
        <w:tc>
          <w:tcPr>
            <w:tcW w:w="1275" w:type="dxa"/>
            <w:tcBorders>
              <w:top w:val="nil"/>
              <w:left w:val="nil"/>
              <w:bottom w:val="nil"/>
              <w:right w:val="nil"/>
            </w:tcBorders>
            <w:shd w:val="clear" w:color="auto" w:fill="auto"/>
            <w:vAlign w:val="center"/>
          </w:tcPr>
          <w:p w14:paraId="1572180A"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459" w:type="dxa"/>
            <w:tcBorders>
              <w:top w:val="nil"/>
              <w:left w:val="nil"/>
              <w:bottom w:val="nil"/>
              <w:right w:val="nil"/>
            </w:tcBorders>
            <w:shd w:val="clear" w:color="auto" w:fill="auto"/>
            <w:vAlign w:val="center"/>
          </w:tcPr>
          <w:p w14:paraId="1572180B"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107" w:type="dxa"/>
            <w:gridSpan w:val="2"/>
            <w:tcBorders>
              <w:top w:val="nil"/>
              <w:left w:val="nil"/>
              <w:bottom w:val="nil"/>
              <w:right w:val="nil"/>
            </w:tcBorders>
            <w:shd w:val="clear" w:color="auto" w:fill="auto"/>
            <w:vAlign w:val="center"/>
          </w:tcPr>
          <w:p w14:paraId="1572180C"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0.105</w:t>
            </w:r>
          </w:p>
        </w:tc>
        <w:tc>
          <w:tcPr>
            <w:tcW w:w="1205" w:type="dxa"/>
            <w:tcBorders>
              <w:top w:val="nil"/>
              <w:left w:val="nil"/>
              <w:bottom w:val="nil"/>
              <w:right w:val="nil"/>
            </w:tcBorders>
            <w:shd w:val="clear" w:color="auto" w:fill="auto"/>
            <w:vAlign w:val="center"/>
          </w:tcPr>
          <w:p w14:paraId="1572180D"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0.11</w:t>
            </w:r>
          </w:p>
        </w:tc>
      </w:tr>
      <w:tr w:rsidR="0059608E" w:rsidRPr="00293D1F" w14:paraId="15721817" w14:textId="77777777" w:rsidTr="003E1F60">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vAlign w:val="center"/>
          </w:tcPr>
          <w:p w14:paraId="1572180F"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Desisopropyl- atrazine</w:t>
            </w:r>
          </w:p>
        </w:tc>
        <w:tc>
          <w:tcPr>
            <w:tcW w:w="1417" w:type="dxa"/>
            <w:tcBorders>
              <w:top w:val="nil"/>
              <w:left w:val="nil"/>
              <w:bottom w:val="nil"/>
              <w:right w:val="nil"/>
            </w:tcBorders>
            <w:shd w:val="clear" w:color="auto" w:fill="auto"/>
            <w:vAlign w:val="center"/>
          </w:tcPr>
          <w:p w14:paraId="15721810"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p>
        </w:tc>
        <w:tc>
          <w:tcPr>
            <w:tcW w:w="1418" w:type="dxa"/>
            <w:tcBorders>
              <w:top w:val="nil"/>
              <w:left w:val="nil"/>
              <w:bottom w:val="nil"/>
              <w:right w:val="nil"/>
            </w:tcBorders>
            <w:shd w:val="clear" w:color="auto" w:fill="auto"/>
            <w:vAlign w:val="center"/>
          </w:tcPr>
          <w:p w14:paraId="15721811"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p>
        </w:tc>
        <w:tc>
          <w:tcPr>
            <w:tcW w:w="1134" w:type="dxa"/>
            <w:tcBorders>
              <w:top w:val="nil"/>
              <w:left w:val="nil"/>
              <w:bottom w:val="nil"/>
              <w:right w:val="nil"/>
            </w:tcBorders>
            <w:shd w:val="clear" w:color="auto" w:fill="auto"/>
            <w:vAlign w:val="center"/>
          </w:tcPr>
          <w:p w14:paraId="15721812"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0.003</w:t>
            </w:r>
          </w:p>
        </w:tc>
        <w:tc>
          <w:tcPr>
            <w:tcW w:w="1275" w:type="dxa"/>
            <w:tcBorders>
              <w:top w:val="nil"/>
              <w:left w:val="nil"/>
              <w:bottom w:val="nil"/>
              <w:right w:val="nil"/>
            </w:tcBorders>
            <w:shd w:val="clear" w:color="auto" w:fill="auto"/>
            <w:vAlign w:val="center"/>
          </w:tcPr>
          <w:p w14:paraId="15721813"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p>
        </w:tc>
        <w:tc>
          <w:tcPr>
            <w:tcW w:w="1459" w:type="dxa"/>
            <w:tcBorders>
              <w:top w:val="nil"/>
              <w:left w:val="nil"/>
              <w:bottom w:val="nil"/>
              <w:right w:val="nil"/>
            </w:tcBorders>
            <w:shd w:val="clear" w:color="auto" w:fill="auto"/>
            <w:vAlign w:val="center"/>
          </w:tcPr>
          <w:p w14:paraId="15721814"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p>
        </w:tc>
        <w:tc>
          <w:tcPr>
            <w:tcW w:w="1107" w:type="dxa"/>
            <w:gridSpan w:val="2"/>
            <w:tcBorders>
              <w:top w:val="nil"/>
              <w:left w:val="nil"/>
              <w:bottom w:val="nil"/>
              <w:right w:val="nil"/>
            </w:tcBorders>
            <w:shd w:val="clear" w:color="auto" w:fill="auto"/>
            <w:vAlign w:val="center"/>
          </w:tcPr>
          <w:p w14:paraId="15721815"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0.003</w:t>
            </w:r>
          </w:p>
        </w:tc>
        <w:tc>
          <w:tcPr>
            <w:tcW w:w="1205" w:type="dxa"/>
            <w:tcBorders>
              <w:top w:val="nil"/>
              <w:left w:val="nil"/>
              <w:bottom w:val="nil"/>
              <w:right w:val="nil"/>
            </w:tcBorders>
            <w:shd w:val="clear" w:color="auto" w:fill="auto"/>
            <w:vAlign w:val="center"/>
          </w:tcPr>
          <w:p w14:paraId="15721816"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0.003</w:t>
            </w:r>
          </w:p>
        </w:tc>
      </w:tr>
      <w:tr w:rsidR="0059608E" w:rsidRPr="00293D1F" w14:paraId="15721820" w14:textId="77777777" w:rsidTr="003E1F60">
        <w:trPr>
          <w:trHeight w:val="397"/>
          <w:jc w:val="center"/>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vAlign w:val="center"/>
          </w:tcPr>
          <w:p w14:paraId="15721818"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Flu</w:t>
            </w:r>
            <w:r w:rsidR="00A04F09">
              <w:rPr>
                <w:rFonts w:asciiTheme="minorHAnsi" w:hAnsiTheme="minorHAnsi" w:cstheme="minorHAnsi"/>
                <w:b w:val="0"/>
                <w:color w:val="auto"/>
                <w:lang w:val="en-AU"/>
              </w:rPr>
              <w:t>o</w:t>
            </w:r>
            <w:r w:rsidRPr="00293D1F">
              <w:rPr>
                <w:rFonts w:asciiTheme="minorHAnsi" w:hAnsiTheme="minorHAnsi" w:cstheme="minorHAnsi"/>
                <w:b w:val="0"/>
                <w:color w:val="auto"/>
                <w:lang w:val="en-AU"/>
              </w:rPr>
              <w:t>meturon</w:t>
            </w:r>
          </w:p>
        </w:tc>
        <w:tc>
          <w:tcPr>
            <w:tcW w:w="1417" w:type="dxa"/>
            <w:tcBorders>
              <w:top w:val="nil"/>
              <w:left w:val="nil"/>
              <w:bottom w:val="nil"/>
              <w:right w:val="nil"/>
            </w:tcBorders>
            <w:shd w:val="clear" w:color="auto" w:fill="auto"/>
            <w:vAlign w:val="center"/>
          </w:tcPr>
          <w:p w14:paraId="15721819"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418" w:type="dxa"/>
            <w:tcBorders>
              <w:top w:val="nil"/>
              <w:left w:val="nil"/>
              <w:bottom w:val="nil"/>
              <w:right w:val="nil"/>
            </w:tcBorders>
            <w:shd w:val="clear" w:color="auto" w:fill="auto"/>
            <w:vAlign w:val="center"/>
          </w:tcPr>
          <w:p w14:paraId="1572181A"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134" w:type="dxa"/>
            <w:tcBorders>
              <w:top w:val="nil"/>
              <w:left w:val="nil"/>
              <w:bottom w:val="nil"/>
              <w:right w:val="nil"/>
            </w:tcBorders>
            <w:shd w:val="clear" w:color="auto" w:fill="auto"/>
            <w:vAlign w:val="center"/>
          </w:tcPr>
          <w:p w14:paraId="1572181B"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0.04</w:t>
            </w:r>
          </w:p>
        </w:tc>
        <w:tc>
          <w:tcPr>
            <w:tcW w:w="1275" w:type="dxa"/>
            <w:tcBorders>
              <w:top w:val="nil"/>
              <w:left w:val="nil"/>
              <w:bottom w:val="nil"/>
              <w:right w:val="nil"/>
            </w:tcBorders>
            <w:shd w:val="clear" w:color="auto" w:fill="auto"/>
            <w:vAlign w:val="center"/>
          </w:tcPr>
          <w:p w14:paraId="1572181C"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459" w:type="dxa"/>
            <w:tcBorders>
              <w:top w:val="nil"/>
              <w:left w:val="nil"/>
              <w:bottom w:val="nil"/>
              <w:right w:val="nil"/>
            </w:tcBorders>
            <w:shd w:val="clear" w:color="auto" w:fill="auto"/>
            <w:vAlign w:val="center"/>
          </w:tcPr>
          <w:p w14:paraId="1572181D"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107" w:type="dxa"/>
            <w:gridSpan w:val="2"/>
            <w:tcBorders>
              <w:top w:val="nil"/>
              <w:left w:val="nil"/>
              <w:bottom w:val="nil"/>
              <w:right w:val="nil"/>
            </w:tcBorders>
            <w:shd w:val="clear" w:color="auto" w:fill="auto"/>
            <w:vAlign w:val="center"/>
          </w:tcPr>
          <w:p w14:paraId="1572181E"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0.04</w:t>
            </w:r>
          </w:p>
        </w:tc>
        <w:tc>
          <w:tcPr>
            <w:tcW w:w="1205" w:type="dxa"/>
            <w:tcBorders>
              <w:top w:val="nil"/>
              <w:left w:val="nil"/>
              <w:bottom w:val="nil"/>
              <w:right w:val="nil"/>
            </w:tcBorders>
            <w:shd w:val="clear" w:color="auto" w:fill="auto"/>
            <w:vAlign w:val="center"/>
          </w:tcPr>
          <w:p w14:paraId="1572181F"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0.04</w:t>
            </w:r>
          </w:p>
        </w:tc>
      </w:tr>
      <w:tr w:rsidR="0059608E" w:rsidRPr="00293D1F" w14:paraId="15721829" w14:textId="77777777" w:rsidTr="003E1F60">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vAlign w:val="center"/>
          </w:tcPr>
          <w:p w14:paraId="15721821"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Hexazinone</w:t>
            </w:r>
          </w:p>
        </w:tc>
        <w:tc>
          <w:tcPr>
            <w:tcW w:w="1417" w:type="dxa"/>
            <w:tcBorders>
              <w:top w:val="nil"/>
              <w:left w:val="nil"/>
              <w:bottom w:val="nil"/>
              <w:right w:val="nil"/>
            </w:tcBorders>
            <w:shd w:val="clear" w:color="auto" w:fill="auto"/>
            <w:vAlign w:val="center"/>
          </w:tcPr>
          <w:p w14:paraId="15721822"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0.2-0.26</w:t>
            </w:r>
          </w:p>
        </w:tc>
        <w:tc>
          <w:tcPr>
            <w:tcW w:w="1418" w:type="dxa"/>
            <w:tcBorders>
              <w:top w:val="nil"/>
              <w:left w:val="nil"/>
              <w:bottom w:val="nil"/>
              <w:right w:val="nil"/>
            </w:tcBorders>
            <w:shd w:val="clear" w:color="auto" w:fill="auto"/>
            <w:vAlign w:val="center"/>
          </w:tcPr>
          <w:p w14:paraId="15721823"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0.27-0.82</w:t>
            </w:r>
          </w:p>
        </w:tc>
        <w:tc>
          <w:tcPr>
            <w:tcW w:w="1134" w:type="dxa"/>
            <w:tcBorders>
              <w:top w:val="nil"/>
              <w:left w:val="nil"/>
              <w:bottom w:val="nil"/>
              <w:right w:val="nil"/>
            </w:tcBorders>
            <w:shd w:val="clear" w:color="auto" w:fill="auto"/>
            <w:vAlign w:val="center"/>
          </w:tcPr>
          <w:p w14:paraId="15721824"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0.17-0.95</w:t>
            </w:r>
          </w:p>
        </w:tc>
        <w:tc>
          <w:tcPr>
            <w:tcW w:w="1275" w:type="dxa"/>
            <w:tcBorders>
              <w:top w:val="nil"/>
              <w:left w:val="nil"/>
              <w:bottom w:val="nil"/>
              <w:right w:val="nil"/>
            </w:tcBorders>
            <w:shd w:val="clear" w:color="auto" w:fill="auto"/>
            <w:vAlign w:val="center"/>
          </w:tcPr>
          <w:p w14:paraId="15721825"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0.23</w:t>
            </w:r>
          </w:p>
        </w:tc>
        <w:tc>
          <w:tcPr>
            <w:tcW w:w="1459" w:type="dxa"/>
            <w:tcBorders>
              <w:top w:val="nil"/>
              <w:left w:val="nil"/>
              <w:bottom w:val="nil"/>
              <w:right w:val="nil"/>
            </w:tcBorders>
            <w:shd w:val="clear" w:color="auto" w:fill="auto"/>
            <w:vAlign w:val="center"/>
          </w:tcPr>
          <w:p w14:paraId="15721826"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0.46</w:t>
            </w:r>
          </w:p>
        </w:tc>
        <w:tc>
          <w:tcPr>
            <w:tcW w:w="1107" w:type="dxa"/>
            <w:gridSpan w:val="2"/>
            <w:tcBorders>
              <w:top w:val="nil"/>
              <w:left w:val="nil"/>
              <w:bottom w:val="nil"/>
              <w:right w:val="nil"/>
            </w:tcBorders>
            <w:shd w:val="clear" w:color="auto" w:fill="auto"/>
            <w:vAlign w:val="center"/>
          </w:tcPr>
          <w:p w14:paraId="15721827"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0.44</w:t>
            </w:r>
          </w:p>
        </w:tc>
        <w:tc>
          <w:tcPr>
            <w:tcW w:w="1205" w:type="dxa"/>
            <w:tcBorders>
              <w:top w:val="nil"/>
              <w:left w:val="nil"/>
              <w:bottom w:val="nil"/>
              <w:right w:val="nil"/>
            </w:tcBorders>
            <w:shd w:val="clear" w:color="auto" w:fill="auto"/>
            <w:vAlign w:val="center"/>
          </w:tcPr>
          <w:p w14:paraId="15721828"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0.38</w:t>
            </w:r>
          </w:p>
        </w:tc>
      </w:tr>
      <w:tr w:rsidR="0059608E" w:rsidRPr="00293D1F" w14:paraId="15721832" w14:textId="77777777" w:rsidTr="003E1F60">
        <w:trPr>
          <w:trHeight w:val="397"/>
          <w:jc w:val="center"/>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vAlign w:val="center"/>
          </w:tcPr>
          <w:p w14:paraId="1572182A"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Prometryn</w:t>
            </w:r>
          </w:p>
        </w:tc>
        <w:tc>
          <w:tcPr>
            <w:tcW w:w="1417" w:type="dxa"/>
            <w:tcBorders>
              <w:top w:val="nil"/>
              <w:left w:val="nil"/>
              <w:bottom w:val="nil"/>
              <w:right w:val="nil"/>
            </w:tcBorders>
            <w:shd w:val="clear" w:color="auto" w:fill="auto"/>
            <w:vAlign w:val="center"/>
          </w:tcPr>
          <w:p w14:paraId="1572182B"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418" w:type="dxa"/>
            <w:tcBorders>
              <w:top w:val="nil"/>
              <w:left w:val="nil"/>
              <w:bottom w:val="nil"/>
              <w:right w:val="nil"/>
            </w:tcBorders>
            <w:shd w:val="clear" w:color="auto" w:fill="auto"/>
            <w:vAlign w:val="center"/>
          </w:tcPr>
          <w:p w14:paraId="1572182C"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134" w:type="dxa"/>
            <w:tcBorders>
              <w:top w:val="nil"/>
              <w:left w:val="nil"/>
              <w:bottom w:val="nil"/>
              <w:right w:val="nil"/>
            </w:tcBorders>
            <w:shd w:val="clear" w:color="auto" w:fill="auto"/>
            <w:vAlign w:val="center"/>
          </w:tcPr>
          <w:p w14:paraId="1572182D"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1-1.1</w:t>
            </w:r>
          </w:p>
        </w:tc>
        <w:tc>
          <w:tcPr>
            <w:tcW w:w="1275" w:type="dxa"/>
            <w:tcBorders>
              <w:top w:val="nil"/>
              <w:left w:val="nil"/>
              <w:bottom w:val="nil"/>
              <w:right w:val="nil"/>
            </w:tcBorders>
            <w:shd w:val="clear" w:color="auto" w:fill="auto"/>
            <w:vAlign w:val="center"/>
          </w:tcPr>
          <w:p w14:paraId="1572182E"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459" w:type="dxa"/>
            <w:tcBorders>
              <w:top w:val="nil"/>
              <w:left w:val="nil"/>
              <w:bottom w:val="nil"/>
              <w:right w:val="nil"/>
            </w:tcBorders>
            <w:shd w:val="clear" w:color="auto" w:fill="auto"/>
            <w:vAlign w:val="center"/>
          </w:tcPr>
          <w:p w14:paraId="1572182F"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p>
        </w:tc>
        <w:tc>
          <w:tcPr>
            <w:tcW w:w="1107" w:type="dxa"/>
            <w:gridSpan w:val="2"/>
            <w:tcBorders>
              <w:top w:val="nil"/>
              <w:left w:val="nil"/>
              <w:bottom w:val="nil"/>
              <w:right w:val="nil"/>
            </w:tcBorders>
            <w:shd w:val="clear" w:color="auto" w:fill="auto"/>
            <w:vAlign w:val="center"/>
          </w:tcPr>
          <w:p w14:paraId="15721830"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1.05</w:t>
            </w:r>
          </w:p>
        </w:tc>
        <w:tc>
          <w:tcPr>
            <w:tcW w:w="1205" w:type="dxa"/>
            <w:tcBorders>
              <w:top w:val="nil"/>
              <w:left w:val="nil"/>
              <w:bottom w:val="nil"/>
              <w:right w:val="nil"/>
            </w:tcBorders>
            <w:shd w:val="clear" w:color="auto" w:fill="auto"/>
            <w:vAlign w:val="center"/>
          </w:tcPr>
          <w:p w14:paraId="15721831"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1.05</w:t>
            </w:r>
          </w:p>
        </w:tc>
      </w:tr>
      <w:tr w:rsidR="0059608E" w:rsidRPr="00293D1F" w14:paraId="1572183B" w14:textId="77777777" w:rsidTr="003E1F60">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vAlign w:val="center"/>
          </w:tcPr>
          <w:p w14:paraId="15721833"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Simazine</w:t>
            </w:r>
          </w:p>
        </w:tc>
        <w:tc>
          <w:tcPr>
            <w:tcW w:w="1417" w:type="dxa"/>
            <w:tcBorders>
              <w:top w:val="nil"/>
              <w:left w:val="nil"/>
              <w:bottom w:val="nil"/>
              <w:right w:val="nil"/>
            </w:tcBorders>
            <w:shd w:val="clear" w:color="auto" w:fill="auto"/>
            <w:vAlign w:val="center"/>
          </w:tcPr>
          <w:p w14:paraId="15721834"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0.02</w:t>
            </w:r>
          </w:p>
        </w:tc>
        <w:tc>
          <w:tcPr>
            <w:tcW w:w="1418" w:type="dxa"/>
            <w:tcBorders>
              <w:top w:val="nil"/>
              <w:left w:val="nil"/>
              <w:bottom w:val="nil"/>
              <w:right w:val="nil"/>
            </w:tcBorders>
            <w:shd w:val="clear" w:color="auto" w:fill="auto"/>
            <w:vAlign w:val="center"/>
          </w:tcPr>
          <w:p w14:paraId="15721835"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0.03-0.05</w:t>
            </w:r>
          </w:p>
        </w:tc>
        <w:tc>
          <w:tcPr>
            <w:tcW w:w="1134" w:type="dxa"/>
            <w:tcBorders>
              <w:top w:val="nil"/>
              <w:left w:val="nil"/>
              <w:bottom w:val="nil"/>
              <w:right w:val="nil"/>
            </w:tcBorders>
            <w:shd w:val="clear" w:color="auto" w:fill="auto"/>
            <w:vAlign w:val="center"/>
          </w:tcPr>
          <w:p w14:paraId="15721836"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0.02-0.26</w:t>
            </w:r>
          </w:p>
        </w:tc>
        <w:tc>
          <w:tcPr>
            <w:tcW w:w="1275" w:type="dxa"/>
            <w:tcBorders>
              <w:top w:val="nil"/>
              <w:left w:val="nil"/>
              <w:bottom w:val="nil"/>
              <w:right w:val="nil"/>
            </w:tcBorders>
            <w:shd w:val="clear" w:color="auto" w:fill="auto"/>
            <w:vAlign w:val="center"/>
          </w:tcPr>
          <w:p w14:paraId="15721837"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0.02</w:t>
            </w:r>
          </w:p>
        </w:tc>
        <w:tc>
          <w:tcPr>
            <w:tcW w:w="1459" w:type="dxa"/>
            <w:tcBorders>
              <w:top w:val="nil"/>
              <w:left w:val="nil"/>
              <w:bottom w:val="nil"/>
              <w:right w:val="nil"/>
            </w:tcBorders>
            <w:shd w:val="clear" w:color="auto" w:fill="auto"/>
            <w:vAlign w:val="center"/>
          </w:tcPr>
          <w:p w14:paraId="15721838"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0.04</w:t>
            </w:r>
          </w:p>
        </w:tc>
        <w:tc>
          <w:tcPr>
            <w:tcW w:w="1107" w:type="dxa"/>
            <w:gridSpan w:val="2"/>
            <w:tcBorders>
              <w:top w:val="nil"/>
              <w:left w:val="nil"/>
              <w:bottom w:val="nil"/>
              <w:right w:val="nil"/>
            </w:tcBorders>
            <w:shd w:val="clear" w:color="auto" w:fill="auto"/>
            <w:vAlign w:val="center"/>
          </w:tcPr>
          <w:p w14:paraId="15721839"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0.14</w:t>
            </w:r>
          </w:p>
        </w:tc>
        <w:tc>
          <w:tcPr>
            <w:tcW w:w="1205" w:type="dxa"/>
            <w:tcBorders>
              <w:top w:val="nil"/>
              <w:left w:val="nil"/>
              <w:bottom w:val="nil"/>
              <w:right w:val="nil"/>
            </w:tcBorders>
            <w:shd w:val="clear" w:color="auto" w:fill="auto"/>
            <w:vAlign w:val="center"/>
          </w:tcPr>
          <w:p w14:paraId="1572183A"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0.07</w:t>
            </w:r>
          </w:p>
        </w:tc>
      </w:tr>
      <w:tr w:rsidR="0059608E" w:rsidRPr="00293D1F" w14:paraId="15721844" w14:textId="77777777" w:rsidTr="003E1F60">
        <w:trPr>
          <w:trHeight w:val="397"/>
          <w:jc w:val="center"/>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vAlign w:val="center"/>
          </w:tcPr>
          <w:p w14:paraId="1572183C"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Tebuthiuron</w:t>
            </w:r>
          </w:p>
        </w:tc>
        <w:tc>
          <w:tcPr>
            <w:tcW w:w="1417" w:type="dxa"/>
            <w:tcBorders>
              <w:top w:val="nil"/>
              <w:left w:val="nil"/>
              <w:bottom w:val="nil"/>
              <w:right w:val="nil"/>
            </w:tcBorders>
            <w:shd w:val="clear" w:color="auto" w:fill="auto"/>
            <w:vAlign w:val="center"/>
          </w:tcPr>
          <w:p w14:paraId="1572183D"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0.01</w:t>
            </w:r>
          </w:p>
        </w:tc>
        <w:tc>
          <w:tcPr>
            <w:tcW w:w="1418" w:type="dxa"/>
            <w:tcBorders>
              <w:top w:val="nil"/>
              <w:left w:val="nil"/>
              <w:bottom w:val="nil"/>
              <w:right w:val="nil"/>
            </w:tcBorders>
            <w:shd w:val="clear" w:color="auto" w:fill="auto"/>
            <w:vAlign w:val="center"/>
          </w:tcPr>
          <w:p w14:paraId="1572183E"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0.07</w:t>
            </w:r>
          </w:p>
        </w:tc>
        <w:tc>
          <w:tcPr>
            <w:tcW w:w="1134" w:type="dxa"/>
            <w:tcBorders>
              <w:top w:val="nil"/>
              <w:left w:val="nil"/>
              <w:bottom w:val="nil"/>
              <w:right w:val="nil"/>
            </w:tcBorders>
            <w:shd w:val="clear" w:color="auto" w:fill="auto"/>
            <w:vAlign w:val="center"/>
          </w:tcPr>
          <w:p w14:paraId="1572183F"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0.11-0.2</w:t>
            </w:r>
          </w:p>
        </w:tc>
        <w:tc>
          <w:tcPr>
            <w:tcW w:w="1275" w:type="dxa"/>
            <w:tcBorders>
              <w:top w:val="nil"/>
              <w:left w:val="nil"/>
              <w:bottom w:val="nil"/>
              <w:right w:val="nil"/>
            </w:tcBorders>
            <w:shd w:val="clear" w:color="auto" w:fill="auto"/>
            <w:vAlign w:val="center"/>
          </w:tcPr>
          <w:p w14:paraId="15721840"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0.01</w:t>
            </w:r>
          </w:p>
        </w:tc>
        <w:tc>
          <w:tcPr>
            <w:tcW w:w="1459" w:type="dxa"/>
            <w:tcBorders>
              <w:top w:val="nil"/>
              <w:left w:val="nil"/>
              <w:bottom w:val="nil"/>
              <w:right w:val="nil"/>
            </w:tcBorders>
            <w:shd w:val="clear" w:color="auto" w:fill="auto"/>
            <w:vAlign w:val="center"/>
          </w:tcPr>
          <w:p w14:paraId="15721841"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0.07</w:t>
            </w:r>
          </w:p>
        </w:tc>
        <w:tc>
          <w:tcPr>
            <w:tcW w:w="1107" w:type="dxa"/>
            <w:gridSpan w:val="2"/>
            <w:tcBorders>
              <w:top w:val="nil"/>
              <w:left w:val="nil"/>
              <w:bottom w:val="nil"/>
              <w:right w:val="nil"/>
            </w:tcBorders>
            <w:shd w:val="clear" w:color="auto" w:fill="auto"/>
            <w:vAlign w:val="center"/>
          </w:tcPr>
          <w:p w14:paraId="15721842"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0.15</w:t>
            </w:r>
          </w:p>
        </w:tc>
        <w:tc>
          <w:tcPr>
            <w:tcW w:w="1205" w:type="dxa"/>
            <w:tcBorders>
              <w:top w:val="nil"/>
              <w:left w:val="nil"/>
              <w:bottom w:val="nil"/>
              <w:right w:val="nil"/>
            </w:tcBorders>
            <w:shd w:val="clear" w:color="auto" w:fill="auto"/>
            <w:vAlign w:val="center"/>
          </w:tcPr>
          <w:p w14:paraId="15721843" w14:textId="77777777" w:rsidR="0059608E" w:rsidRPr="00293D1F" w:rsidRDefault="0059608E" w:rsidP="000156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0.08</w:t>
            </w:r>
          </w:p>
        </w:tc>
      </w:tr>
      <w:tr w:rsidR="00097E35" w:rsidRPr="00293D1F" w14:paraId="1572184D" w14:textId="77777777" w:rsidTr="003E1F60">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668" w:type="dxa"/>
            <w:tcBorders>
              <w:bottom w:val="single" w:sz="4" w:space="0" w:color="auto"/>
            </w:tcBorders>
            <w:shd w:val="clear" w:color="auto" w:fill="auto"/>
            <w:vAlign w:val="center"/>
          </w:tcPr>
          <w:p w14:paraId="15721845" w14:textId="77777777" w:rsidR="0059608E" w:rsidRPr="00293D1F" w:rsidRDefault="0059608E" w:rsidP="00097E35">
            <w:pPr>
              <w:spacing w:line="276" w:lineRule="auto"/>
              <w:jc w:val="left"/>
              <w:rPr>
                <w:rFonts w:asciiTheme="minorHAnsi" w:hAnsiTheme="minorHAnsi" w:cstheme="minorHAnsi"/>
                <w:b w:val="0"/>
                <w:color w:val="auto"/>
                <w:lang w:val="en-AU"/>
              </w:rPr>
            </w:pPr>
            <w:r w:rsidRPr="00293D1F">
              <w:rPr>
                <w:rFonts w:asciiTheme="minorHAnsi" w:hAnsiTheme="minorHAnsi" w:cstheme="minorHAnsi"/>
                <w:b w:val="0"/>
                <w:color w:val="auto"/>
                <w:lang w:val="en-AU"/>
              </w:rPr>
              <w:t>Terbuthylazine</w:t>
            </w:r>
          </w:p>
        </w:tc>
        <w:tc>
          <w:tcPr>
            <w:tcW w:w="1417" w:type="dxa"/>
            <w:tcBorders>
              <w:top w:val="nil"/>
              <w:left w:val="nil"/>
              <w:bottom w:val="single" w:sz="4" w:space="0" w:color="auto"/>
              <w:right w:val="nil"/>
            </w:tcBorders>
            <w:shd w:val="clear" w:color="auto" w:fill="auto"/>
            <w:vAlign w:val="center"/>
          </w:tcPr>
          <w:p w14:paraId="15721846"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p>
        </w:tc>
        <w:tc>
          <w:tcPr>
            <w:tcW w:w="1418" w:type="dxa"/>
            <w:tcBorders>
              <w:top w:val="nil"/>
              <w:left w:val="nil"/>
              <w:bottom w:val="single" w:sz="4" w:space="0" w:color="auto"/>
              <w:right w:val="nil"/>
            </w:tcBorders>
            <w:shd w:val="clear" w:color="auto" w:fill="auto"/>
            <w:vAlign w:val="center"/>
          </w:tcPr>
          <w:p w14:paraId="15721847"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p>
        </w:tc>
        <w:tc>
          <w:tcPr>
            <w:tcW w:w="1134" w:type="dxa"/>
            <w:tcBorders>
              <w:top w:val="nil"/>
              <w:left w:val="nil"/>
              <w:bottom w:val="single" w:sz="4" w:space="0" w:color="auto"/>
              <w:right w:val="nil"/>
            </w:tcBorders>
            <w:shd w:val="clear" w:color="auto" w:fill="auto"/>
            <w:vAlign w:val="center"/>
          </w:tcPr>
          <w:p w14:paraId="15721848"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0.3</w:t>
            </w:r>
          </w:p>
        </w:tc>
        <w:tc>
          <w:tcPr>
            <w:tcW w:w="1275" w:type="dxa"/>
            <w:tcBorders>
              <w:top w:val="nil"/>
              <w:left w:val="nil"/>
              <w:bottom w:val="single" w:sz="4" w:space="0" w:color="auto"/>
              <w:right w:val="nil"/>
            </w:tcBorders>
            <w:shd w:val="clear" w:color="auto" w:fill="auto"/>
            <w:vAlign w:val="center"/>
          </w:tcPr>
          <w:p w14:paraId="15721849"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p>
        </w:tc>
        <w:tc>
          <w:tcPr>
            <w:tcW w:w="1459" w:type="dxa"/>
            <w:tcBorders>
              <w:top w:val="nil"/>
              <w:left w:val="nil"/>
              <w:bottom w:val="single" w:sz="4" w:space="0" w:color="auto"/>
              <w:right w:val="nil"/>
            </w:tcBorders>
            <w:shd w:val="clear" w:color="auto" w:fill="auto"/>
            <w:vAlign w:val="center"/>
          </w:tcPr>
          <w:p w14:paraId="1572184A"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p>
        </w:tc>
        <w:tc>
          <w:tcPr>
            <w:tcW w:w="1107" w:type="dxa"/>
            <w:gridSpan w:val="2"/>
            <w:tcBorders>
              <w:top w:val="nil"/>
              <w:left w:val="nil"/>
              <w:bottom w:val="single" w:sz="4" w:space="0" w:color="auto"/>
              <w:right w:val="nil"/>
            </w:tcBorders>
            <w:shd w:val="clear" w:color="auto" w:fill="auto"/>
            <w:vAlign w:val="center"/>
          </w:tcPr>
          <w:p w14:paraId="1572184B"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en-AU"/>
              </w:rPr>
            </w:pPr>
            <w:r w:rsidRPr="00293D1F">
              <w:rPr>
                <w:rFonts w:asciiTheme="minorHAnsi" w:hAnsiTheme="minorHAnsi" w:cstheme="minorHAnsi"/>
                <w:lang w:val="en-AU"/>
              </w:rPr>
              <w:t>0.3</w:t>
            </w:r>
          </w:p>
        </w:tc>
        <w:tc>
          <w:tcPr>
            <w:tcW w:w="1205" w:type="dxa"/>
            <w:tcBorders>
              <w:top w:val="nil"/>
              <w:left w:val="nil"/>
              <w:bottom w:val="single" w:sz="4" w:space="0" w:color="auto"/>
              <w:right w:val="nil"/>
            </w:tcBorders>
            <w:shd w:val="clear" w:color="auto" w:fill="auto"/>
            <w:vAlign w:val="center"/>
          </w:tcPr>
          <w:p w14:paraId="1572184C" w14:textId="77777777" w:rsidR="0059608E" w:rsidRPr="00293D1F" w:rsidRDefault="0059608E" w:rsidP="0001560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lang w:val="en-AU"/>
              </w:rPr>
            </w:pPr>
            <w:r w:rsidRPr="00293D1F">
              <w:rPr>
                <w:rFonts w:asciiTheme="minorHAnsi" w:hAnsiTheme="minorHAnsi" w:cstheme="minorHAnsi"/>
                <w:b/>
                <w:lang w:val="en-AU"/>
              </w:rPr>
              <w:t>0.3</w:t>
            </w:r>
          </w:p>
        </w:tc>
      </w:tr>
    </w:tbl>
    <w:p w14:paraId="1572184E" w14:textId="1643CEBC" w:rsidR="0059608E" w:rsidRDefault="0059608E" w:rsidP="00015606">
      <w:pPr>
        <w:pStyle w:val="Footer"/>
        <w:spacing w:line="276" w:lineRule="auto"/>
        <w:rPr>
          <w:sz w:val="18"/>
          <w:szCs w:val="18"/>
          <w:lang w:val="en-AU"/>
        </w:rPr>
      </w:pPr>
      <w:r w:rsidRPr="00ED6396">
        <w:rPr>
          <w:sz w:val="18"/>
          <w:szCs w:val="18"/>
          <w:vertAlign w:val="superscript"/>
          <w:lang w:val="en-AU"/>
        </w:rPr>
        <w:t>a</w:t>
      </w:r>
      <w:r w:rsidR="00097E35">
        <w:rPr>
          <w:sz w:val="18"/>
          <w:szCs w:val="18"/>
          <w:vertAlign w:val="superscript"/>
          <w:lang w:val="en-AU"/>
        </w:rPr>
        <w:t xml:space="preserve"> </w:t>
      </w:r>
      <w:r w:rsidR="00C91BF5" w:rsidRPr="00D74133">
        <w:rPr>
          <w:sz w:val="18"/>
          <w:szCs w:val="18"/>
          <w:lang w:val="en-AU"/>
        </w:rPr>
        <w:fldChar w:fldCharType="begin"/>
      </w:r>
      <w:r w:rsidR="009D4492">
        <w:rPr>
          <w:sz w:val="18"/>
          <w:szCs w:val="18"/>
          <w:lang w:val="en-AU"/>
        </w:rPr>
        <w:instrText xml:space="preserve"> ADDIN EN.CITE &lt;EndNote&gt;&lt;Cite&gt;&lt;Author&gt;Jones&lt;/Author&gt;&lt;Year&gt;2003&lt;/Year&gt;&lt;RecNum&gt;85&lt;/RecNum&gt;&lt;DisplayText&gt;(Jones and Kerswell, 2003)&lt;/DisplayText&gt;&lt;record&gt;&lt;rec-number&gt;85&lt;/rec-number&gt;&lt;foreign-keys&gt;&lt;key app="EN" db-id="vvtrt2pt4xpx5teta99vvtwg50vzve2aexae" timestamp="1493157433"&gt;85&lt;/key&gt;&lt;/foreign-keys&gt;&lt;ref-type name="Journal Article"&gt;17&lt;/ref-type&gt;&lt;contributors&gt;&lt;authors&gt;&lt;author&gt;Jones, Ross J&lt;/author&gt;&lt;author&gt;Kerswell, Ailsa P&lt;/author&gt;&lt;/authors&gt;&lt;/contributors&gt;&lt;titles&gt;&lt;title&gt;Phytotoxicity of photosystem II (PSII) herbicides to coral&lt;/title&gt;&lt;secondary-title&gt;Marine Ecology Progress Series&lt;/secondary-title&gt;&lt;/titles&gt;&lt;periodical&gt;&lt;full-title&gt;Marine Ecology Progress Series&lt;/full-title&gt;&lt;/periodical&gt;&lt;pages&gt;149-159&lt;/pages&gt;&lt;volume&gt;261&lt;/volume&gt;&lt;dates&gt;&lt;year&gt;2003&lt;/year&gt;&lt;/dates&gt;&lt;isbn&gt;0171-8630&lt;/isbn&gt;&lt;urls&gt;&lt;/urls&gt;&lt;/record&gt;&lt;/Cite&gt;&lt;/EndNote&gt;</w:instrText>
      </w:r>
      <w:r w:rsidR="00C91BF5" w:rsidRPr="00D74133">
        <w:rPr>
          <w:sz w:val="18"/>
          <w:szCs w:val="18"/>
          <w:lang w:val="en-AU"/>
        </w:rPr>
        <w:fldChar w:fldCharType="separate"/>
      </w:r>
      <w:r w:rsidR="009D4492">
        <w:rPr>
          <w:noProof/>
          <w:sz w:val="18"/>
          <w:szCs w:val="18"/>
          <w:lang w:val="en-AU"/>
        </w:rPr>
        <w:t>(Jones and Kerswell, 2003)</w:t>
      </w:r>
      <w:r w:rsidR="00C91BF5" w:rsidRPr="00D74133">
        <w:rPr>
          <w:sz w:val="18"/>
          <w:szCs w:val="18"/>
          <w:lang w:val="en-AU"/>
        </w:rPr>
        <w:fldChar w:fldCharType="end"/>
      </w:r>
      <w:r w:rsidRPr="00ED6396">
        <w:rPr>
          <w:sz w:val="18"/>
          <w:szCs w:val="18"/>
          <w:lang w:val="en-AU"/>
        </w:rPr>
        <w:t>;</w:t>
      </w:r>
      <w:r w:rsidR="0088783F">
        <w:rPr>
          <w:sz w:val="18"/>
          <w:szCs w:val="18"/>
          <w:lang w:val="en-AU"/>
        </w:rPr>
        <w:t xml:space="preserve"> </w:t>
      </w:r>
      <w:r w:rsidRPr="00ED6396">
        <w:rPr>
          <w:sz w:val="18"/>
          <w:szCs w:val="18"/>
          <w:vertAlign w:val="superscript"/>
          <w:lang w:val="en-AU"/>
        </w:rPr>
        <w:t>b</w:t>
      </w:r>
      <w:r w:rsidRPr="00ED6396">
        <w:rPr>
          <w:sz w:val="18"/>
          <w:szCs w:val="18"/>
          <w:lang w:val="en-AU"/>
        </w:rPr>
        <w:t xml:space="preserve"> </w:t>
      </w:r>
      <w:r w:rsidR="00C91BF5">
        <w:rPr>
          <w:sz w:val="18"/>
          <w:szCs w:val="18"/>
          <w:lang w:val="en-AU"/>
        </w:rPr>
        <w:fldChar w:fldCharType="begin"/>
      </w:r>
      <w:r w:rsidR="009D4492">
        <w:rPr>
          <w:sz w:val="18"/>
          <w:szCs w:val="18"/>
          <w:lang w:val="en-AU"/>
        </w:rPr>
        <w:instrText xml:space="preserve"> ADDIN EN.CITE &lt;EndNote&gt;&lt;Cite&gt;&lt;Author&gt;Muller&lt;/Author&gt;&lt;Year&gt;2008&lt;/Year&gt;&lt;RecNum&gt;84&lt;/RecNum&gt;&lt;DisplayText&gt;(Muller et al., 2008)&lt;/DisplayText&gt;&lt;record&gt;&lt;rec-number&gt;84&lt;/rec-number&gt;&lt;foreign-keys&gt;&lt;key app="EN" db-id="vvtrt2pt4xpx5teta99vvtwg50vzve2aexae" timestamp="1493157432"&gt;84&lt;/key&gt;&lt;/foreign-keys&gt;&lt;ref-type name="Journal Article"&gt;17&lt;/ref-type&gt;&lt;contributors&gt;&lt;authors&gt;&lt;author&gt;Muller, Renee&lt;/author&gt;&lt;author&gt;Schreiber, Ulrich&lt;/author&gt;&lt;author&gt;Escher, Beate I&lt;/author&gt;&lt;author&gt;Quayle, Pamela&lt;/author&gt;&lt;author&gt;Nash, Susan M Bengtson&lt;/author&gt;&lt;author&gt;Mueller, Jochen F&lt;/author&gt;&lt;/authors&gt;&lt;/contributors&gt;&lt;titles&gt;&lt;title&gt;Rapid exposure assessment of PSII herbicides in surface water using a novel chlorophyll a fluorescence imaging assay&lt;/title&gt;&lt;secondary-title&gt;Science of the Total Environment&lt;/secondary-title&gt;&lt;/titles&gt;&lt;periodical&gt;&lt;full-title&gt;Science of The Total Environment&lt;/full-title&gt;&lt;/periodical&gt;&lt;pages&gt;51-59&lt;/pages&gt;&lt;volume&gt;401&lt;/volume&gt;&lt;number&gt;1&lt;/number&gt;&lt;dates&gt;&lt;year&gt;2008&lt;/year&gt;&lt;/dates&gt;&lt;isbn&gt;0048-9697&lt;/isbn&gt;&lt;urls&gt;&lt;/urls&gt;&lt;/record&gt;&lt;/Cite&gt;&lt;/EndNote&gt;</w:instrText>
      </w:r>
      <w:r w:rsidR="00C91BF5">
        <w:rPr>
          <w:sz w:val="18"/>
          <w:szCs w:val="18"/>
          <w:lang w:val="en-AU"/>
        </w:rPr>
        <w:fldChar w:fldCharType="separate"/>
      </w:r>
      <w:r w:rsidR="009D4492">
        <w:rPr>
          <w:noProof/>
          <w:sz w:val="18"/>
          <w:szCs w:val="18"/>
          <w:lang w:val="en-AU"/>
        </w:rPr>
        <w:t>(Muller et al., 2008)</w:t>
      </w:r>
      <w:r w:rsidR="00C91BF5">
        <w:rPr>
          <w:sz w:val="18"/>
          <w:szCs w:val="18"/>
          <w:lang w:val="en-AU"/>
        </w:rPr>
        <w:fldChar w:fldCharType="end"/>
      </w:r>
      <w:r w:rsidRPr="00ED6396">
        <w:rPr>
          <w:sz w:val="18"/>
          <w:szCs w:val="18"/>
          <w:lang w:val="en-AU"/>
        </w:rPr>
        <w:t xml:space="preserve">; </w:t>
      </w:r>
      <w:r w:rsidRPr="00ED6396">
        <w:rPr>
          <w:sz w:val="18"/>
          <w:szCs w:val="18"/>
          <w:vertAlign w:val="superscript"/>
          <w:lang w:val="en-AU"/>
        </w:rPr>
        <w:t>c</w:t>
      </w:r>
      <w:r w:rsidRPr="00ED6396">
        <w:rPr>
          <w:sz w:val="18"/>
          <w:szCs w:val="18"/>
          <w:lang w:val="en-AU"/>
        </w:rPr>
        <w:t xml:space="preserve"> </w:t>
      </w:r>
      <w:r w:rsidR="00C91BF5">
        <w:rPr>
          <w:sz w:val="18"/>
          <w:szCs w:val="18"/>
          <w:lang w:val="en-AU"/>
        </w:rPr>
        <w:fldChar w:fldCharType="begin"/>
      </w:r>
      <w:r w:rsidR="009D4492">
        <w:rPr>
          <w:sz w:val="18"/>
          <w:szCs w:val="18"/>
          <w:lang w:val="en-AU"/>
        </w:rPr>
        <w:instrText xml:space="preserve"> ADDIN EN.CITE &lt;EndNote&gt;&lt;Cite&gt;&lt;Author&gt;Nash&lt;/Author&gt;&lt;Year&gt;2005&lt;/Year&gt;&lt;RecNum&gt;86&lt;/RecNum&gt;&lt;DisplayText&gt;(Nash et al., 2005)&lt;/DisplayText&gt;&lt;record&gt;&lt;rec-number&gt;86&lt;/rec-number&gt;&lt;foreign-keys&gt;&lt;key app="EN" db-id="vvtrt2pt4xpx5teta99vvtwg50vzve2aexae" timestamp="1493157434"&gt;86&lt;/key&gt;&lt;/foreign-keys&gt;&lt;ref-type name="Journal Article"&gt;17&lt;/ref-type&gt;&lt;contributors&gt;&lt;authors&gt;&lt;author&gt;Nash, SM Bengtson&lt;/author&gt;&lt;author&gt;McMahon, Kathryn&lt;/author&gt;&lt;author&gt;Eaglesham, Geoff&lt;/author&gt;&lt;author&gt;Müller, JF&lt;/author&gt;&lt;/authors&gt;&lt;/contributors&gt;&lt;titles&gt;&lt;title&gt;Application of a novel phytotoxicity assay for the detection of herbicides in Hervey Bay and the Great Sandy Straits&lt;/title&gt;&lt;secondary-title&gt;Marine Pollution Bulletin&lt;/secondary-title&gt;&lt;/titles&gt;&lt;periodical&gt;&lt;full-title&gt;Marine pollution bulletin&lt;/full-title&gt;&lt;/periodical&gt;&lt;pages&gt;351-360&lt;/pages&gt;&lt;volume&gt;51&lt;/volume&gt;&lt;number&gt;1&lt;/number&gt;&lt;dates&gt;&lt;year&gt;2005&lt;/year&gt;&lt;/dates&gt;&lt;isbn&gt;0025-326X&lt;/isbn&gt;&lt;urls&gt;&lt;/urls&gt;&lt;/record&gt;&lt;/Cite&gt;&lt;/EndNote&gt;</w:instrText>
      </w:r>
      <w:r w:rsidR="00C91BF5">
        <w:rPr>
          <w:sz w:val="18"/>
          <w:szCs w:val="18"/>
          <w:lang w:val="en-AU"/>
        </w:rPr>
        <w:fldChar w:fldCharType="separate"/>
      </w:r>
      <w:r w:rsidR="009D4492">
        <w:rPr>
          <w:noProof/>
          <w:sz w:val="18"/>
          <w:szCs w:val="18"/>
          <w:lang w:val="en-AU"/>
        </w:rPr>
        <w:t>(Nash et al., 2005)</w:t>
      </w:r>
      <w:r w:rsidR="00C91BF5">
        <w:rPr>
          <w:sz w:val="18"/>
          <w:szCs w:val="18"/>
          <w:lang w:val="en-AU"/>
        </w:rPr>
        <w:fldChar w:fldCharType="end"/>
      </w:r>
      <w:r w:rsidRPr="00ED6396">
        <w:rPr>
          <w:sz w:val="18"/>
          <w:szCs w:val="18"/>
          <w:lang w:val="en-AU"/>
        </w:rPr>
        <w:t xml:space="preserve">; </w:t>
      </w:r>
      <w:r w:rsidRPr="00ED6396">
        <w:rPr>
          <w:sz w:val="18"/>
          <w:szCs w:val="18"/>
          <w:vertAlign w:val="superscript"/>
          <w:lang w:val="en-AU"/>
        </w:rPr>
        <w:t>d</w:t>
      </w:r>
      <w:r w:rsidRPr="00097E35">
        <w:rPr>
          <w:sz w:val="18"/>
          <w:szCs w:val="18"/>
          <w:lang w:val="en-AU"/>
        </w:rPr>
        <w:t xml:space="preserve"> </w:t>
      </w:r>
      <w:r w:rsidR="00C91BF5" w:rsidRPr="00097E35">
        <w:rPr>
          <w:sz w:val="18"/>
          <w:szCs w:val="18"/>
          <w:lang w:val="en-AU"/>
        </w:rPr>
        <w:fldChar w:fldCharType="begin"/>
      </w:r>
      <w:r w:rsidR="009D4492">
        <w:rPr>
          <w:sz w:val="18"/>
          <w:szCs w:val="18"/>
          <w:lang w:val="en-AU"/>
        </w:rPr>
        <w:instrText xml:space="preserve"> ADDIN EN.CITE &lt;EndNote&gt;&lt;Cite&gt;&lt;Author&gt;Schmidt&lt;/Author&gt;&lt;Year&gt;2005&lt;/Year&gt;&lt;RecNum&gt;87&lt;/RecNum&gt;&lt;DisplayText&gt;(Schmidt, 2005)&lt;/DisplayText&gt;&lt;record&gt;&lt;rec-number&gt;87&lt;/rec-number&gt;&lt;foreign-keys&gt;&lt;key app="EN" db-id="vvtrt2pt4xpx5teta99vvtwg50vzve2aexae" timestamp="1493157435"&gt;87&lt;/key&gt;&lt;/foreign-keys&gt;&lt;ref-type name="Journal Article"&gt;17&lt;/ref-type&gt;&lt;contributors&gt;&lt;authors&gt;&lt;author&gt;Schmidt, S&lt;/author&gt;&lt;/authors&gt;&lt;/contributors&gt;&lt;titles&gt;&lt;title&gt;Development and evaluation of the Maxi-Imaging-PAM algae assay using 96 well plates&lt;/title&gt;&lt;secondary-title&gt;The National Research Centre for Environmental Toxicology&lt;/secondary-title&gt;&lt;/titles&gt;&lt;periodical&gt;&lt;full-title&gt;The National Research Centre for Environmental Toxicology&lt;/full-title&gt;&lt;/periodical&gt;&lt;dates&gt;&lt;year&gt;2005&lt;/year&gt;&lt;/dates&gt;&lt;urls&gt;&lt;/urls&gt;&lt;/record&gt;&lt;/Cite&gt;&lt;/EndNote&gt;</w:instrText>
      </w:r>
      <w:r w:rsidR="00C91BF5" w:rsidRPr="00097E35">
        <w:rPr>
          <w:sz w:val="18"/>
          <w:szCs w:val="18"/>
          <w:lang w:val="en-AU"/>
        </w:rPr>
        <w:fldChar w:fldCharType="separate"/>
      </w:r>
      <w:r w:rsidR="009D4492">
        <w:rPr>
          <w:noProof/>
          <w:sz w:val="18"/>
          <w:szCs w:val="18"/>
          <w:lang w:val="en-AU"/>
        </w:rPr>
        <w:t>(Schmidt, 2005)</w:t>
      </w:r>
      <w:r w:rsidR="00C91BF5" w:rsidRPr="00097E35">
        <w:rPr>
          <w:sz w:val="18"/>
          <w:szCs w:val="18"/>
          <w:lang w:val="en-AU"/>
        </w:rPr>
        <w:fldChar w:fldCharType="end"/>
      </w:r>
      <w:r w:rsidRPr="00097E35">
        <w:rPr>
          <w:sz w:val="18"/>
          <w:szCs w:val="18"/>
          <w:lang w:val="en-AU"/>
        </w:rPr>
        <w:t>;</w:t>
      </w:r>
      <w:r w:rsidRPr="00ED6396">
        <w:rPr>
          <w:sz w:val="18"/>
          <w:szCs w:val="18"/>
          <w:lang w:val="en-AU"/>
        </w:rPr>
        <w:t xml:space="preserve"> </w:t>
      </w:r>
      <w:r w:rsidRPr="00ED6396">
        <w:rPr>
          <w:sz w:val="18"/>
          <w:szCs w:val="18"/>
          <w:vertAlign w:val="superscript"/>
          <w:lang w:val="en-AU"/>
        </w:rPr>
        <w:t>e</w:t>
      </w:r>
      <w:r w:rsidRPr="00ED6396">
        <w:rPr>
          <w:sz w:val="18"/>
          <w:szCs w:val="18"/>
          <w:lang w:val="en-AU"/>
        </w:rPr>
        <w:t xml:space="preserve"> Macova et al., unpublished data (Entox</w:t>
      </w:r>
      <w:r w:rsidRPr="00C11BBA">
        <w:rPr>
          <w:sz w:val="20"/>
          <w:szCs w:val="20"/>
          <w:lang w:val="en-AU"/>
        </w:rPr>
        <w:t>)</w:t>
      </w:r>
      <w:r>
        <w:rPr>
          <w:sz w:val="20"/>
          <w:szCs w:val="20"/>
          <w:lang w:val="en-AU"/>
        </w:rPr>
        <w:t xml:space="preserve">; </w:t>
      </w:r>
      <w:r w:rsidRPr="005B38C2">
        <w:rPr>
          <w:sz w:val="18"/>
          <w:szCs w:val="18"/>
          <w:vertAlign w:val="superscript"/>
          <w:lang w:val="en-AU"/>
        </w:rPr>
        <w:t>f</w:t>
      </w:r>
      <w:r w:rsidR="00097E35">
        <w:rPr>
          <w:sz w:val="18"/>
          <w:szCs w:val="18"/>
          <w:vertAlign w:val="superscript"/>
          <w:lang w:val="en-AU"/>
        </w:rPr>
        <w:t xml:space="preserve"> </w:t>
      </w:r>
      <w:r w:rsidRPr="005B38C2">
        <w:rPr>
          <w:sz w:val="18"/>
          <w:szCs w:val="18"/>
          <w:lang w:val="en-AU"/>
        </w:rPr>
        <w:t>Based on a preliminary summary of available data when derived in 2009</w:t>
      </w:r>
      <w:r w:rsidR="0088783F">
        <w:rPr>
          <w:sz w:val="18"/>
          <w:szCs w:val="18"/>
          <w:lang w:val="en-AU"/>
        </w:rPr>
        <w:t>;</w:t>
      </w:r>
      <w:r w:rsidRPr="005B38C2">
        <w:rPr>
          <w:sz w:val="18"/>
          <w:szCs w:val="18"/>
          <w:lang w:val="en-AU"/>
        </w:rPr>
        <w:t xml:space="preserve"> it should be noted that bromacil (routinely analysed for since 2009-2010) and terbutryn (routinely analysed for from the end of 2010-2011) are also PSII herbicides and not currently incorporated into PSII-</w:t>
      </w:r>
      <w:r w:rsidR="009D307F">
        <w:rPr>
          <w:sz w:val="18"/>
          <w:szCs w:val="18"/>
          <w:lang w:val="en-AU"/>
        </w:rPr>
        <w:t>HEq</w:t>
      </w:r>
      <w:r w:rsidRPr="005B38C2">
        <w:rPr>
          <w:sz w:val="18"/>
          <w:szCs w:val="18"/>
          <w:lang w:val="en-AU"/>
        </w:rPr>
        <w:t xml:space="preserve"> estimates</w:t>
      </w:r>
      <w:r>
        <w:rPr>
          <w:sz w:val="18"/>
          <w:szCs w:val="18"/>
          <w:lang w:val="en-AU"/>
        </w:rPr>
        <w:t xml:space="preserve"> (no RPF). </w:t>
      </w:r>
    </w:p>
    <w:p w14:paraId="1572184F" w14:textId="77777777" w:rsidR="0059608E" w:rsidRDefault="0059608E" w:rsidP="00015606">
      <w:pPr>
        <w:spacing w:line="276" w:lineRule="auto"/>
        <w:ind w:firstLine="357"/>
        <w:jc w:val="left"/>
        <w:rPr>
          <w:sz w:val="18"/>
          <w:szCs w:val="18"/>
          <w:lang w:val="en-AU"/>
        </w:rPr>
      </w:pPr>
    </w:p>
    <w:p w14:paraId="15721850" w14:textId="5D01BC5A" w:rsidR="0059608E" w:rsidRDefault="0059608E" w:rsidP="00015606">
      <w:pPr>
        <w:spacing w:line="276" w:lineRule="auto"/>
        <w:rPr>
          <w:lang w:val="en-AU" w:eastAsia="en-AU"/>
        </w:rPr>
      </w:pPr>
      <w:r w:rsidRPr="00C11BBA">
        <w:rPr>
          <w:lang w:val="en-AU" w:eastAsia="en-AU"/>
        </w:rPr>
        <w:t xml:space="preserve">This index uses published scientific evidence with respect to the effects of the reference PSII herbicide diuron </w:t>
      </w:r>
      <w:r>
        <w:rPr>
          <w:lang w:val="en-AU" w:eastAsia="en-AU"/>
        </w:rPr>
        <w:t>(</w:t>
      </w:r>
      <w:r w:rsidRPr="00C11BBA">
        <w:rPr>
          <w:lang w:val="en-AU" w:eastAsia="en-AU"/>
        </w:rPr>
        <w:t xml:space="preserve">summarized for each index category </w:t>
      </w:r>
      <w:r w:rsidR="00C91BF5">
        <w:rPr>
          <w:lang w:val="en-AU" w:eastAsia="en-AU"/>
        </w:rPr>
        <w:fldChar w:fldCharType="begin"/>
      </w:r>
      <w:r w:rsidR="005B06AA">
        <w:rPr>
          <w:lang w:val="en-AU" w:eastAsia="en-AU"/>
        </w:rPr>
        <w:instrText xml:space="preserve"> REF _Ref480881541 \h </w:instrText>
      </w:r>
      <w:r w:rsidR="00C91BF5">
        <w:rPr>
          <w:lang w:val="en-AU" w:eastAsia="en-AU"/>
        </w:rPr>
      </w:r>
      <w:r w:rsidR="00C91BF5">
        <w:rPr>
          <w:lang w:val="en-AU" w:eastAsia="en-AU"/>
        </w:rPr>
        <w:fldChar w:fldCharType="separate"/>
      </w:r>
      <w:r w:rsidR="00D12276">
        <w:t xml:space="preserve">Table </w:t>
      </w:r>
      <w:r w:rsidR="00D12276">
        <w:rPr>
          <w:noProof/>
        </w:rPr>
        <w:t>C</w:t>
      </w:r>
      <w:r w:rsidR="00D12276">
        <w:noBreakHyphen/>
      </w:r>
      <w:r w:rsidR="00D12276">
        <w:rPr>
          <w:noProof/>
        </w:rPr>
        <w:t>1</w:t>
      </w:r>
      <w:r w:rsidR="00C91BF5">
        <w:rPr>
          <w:lang w:val="en-AU" w:eastAsia="en-AU"/>
        </w:rPr>
        <w:fldChar w:fldCharType="end"/>
      </w:r>
      <w:r w:rsidR="005B06AA">
        <w:rPr>
          <w:lang w:val="en-AU" w:eastAsia="en-AU"/>
        </w:rPr>
        <w:t xml:space="preserve"> and </w:t>
      </w:r>
      <w:r w:rsidR="00C91BF5">
        <w:rPr>
          <w:lang w:val="en-AU" w:eastAsia="en-AU"/>
        </w:rPr>
        <w:fldChar w:fldCharType="begin"/>
      </w:r>
      <w:r w:rsidR="005B06AA">
        <w:rPr>
          <w:lang w:val="en-AU" w:eastAsia="en-AU"/>
        </w:rPr>
        <w:instrText xml:space="preserve"> REF _Ref480881543 \h </w:instrText>
      </w:r>
      <w:r w:rsidR="00C91BF5">
        <w:rPr>
          <w:lang w:val="en-AU" w:eastAsia="en-AU"/>
        </w:rPr>
      </w:r>
      <w:r w:rsidR="00C91BF5">
        <w:rPr>
          <w:lang w:val="en-AU" w:eastAsia="en-AU"/>
        </w:rPr>
        <w:fldChar w:fldCharType="separate"/>
      </w:r>
      <w:r w:rsidR="00D12276">
        <w:t xml:space="preserve">Table </w:t>
      </w:r>
      <w:r w:rsidR="00D12276">
        <w:rPr>
          <w:noProof/>
        </w:rPr>
        <w:t>C</w:t>
      </w:r>
      <w:r w:rsidR="00D12276">
        <w:noBreakHyphen/>
      </w:r>
      <w:r w:rsidR="00D12276">
        <w:rPr>
          <w:noProof/>
        </w:rPr>
        <w:t>2</w:t>
      </w:r>
      <w:r w:rsidR="00C91BF5">
        <w:rPr>
          <w:lang w:val="en-AU" w:eastAsia="en-AU"/>
        </w:rPr>
        <w:fldChar w:fldCharType="end"/>
      </w:r>
      <w:r>
        <w:rPr>
          <w:lang w:val="en-AU" w:eastAsia="en-AU"/>
        </w:rPr>
        <w:t>)</w:t>
      </w:r>
      <w:r w:rsidRPr="00C11BBA">
        <w:rPr>
          <w:lang w:val="en-AU" w:eastAsia="en-AU"/>
        </w:rPr>
        <w:t>. These index criteria have been slightly modified from those indicated in the</w:t>
      </w:r>
      <w:r w:rsidR="00070AE2">
        <w:rPr>
          <w:lang w:val="en-AU" w:eastAsia="en-AU"/>
        </w:rPr>
        <w:t xml:space="preserve"> baseline reporting year 2008-</w:t>
      </w:r>
      <w:r w:rsidRPr="00C11BBA">
        <w:rPr>
          <w:lang w:val="en-AU" w:eastAsia="en-AU"/>
        </w:rPr>
        <w:t>09</w:t>
      </w:r>
      <w:r w:rsidR="00070AE2">
        <w:rPr>
          <w:lang w:val="en-AU" w:eastAsia="en-AU"/>
        </w:rPr>
        <w:t xml:space="preserve"> </w:t>
      </w:r>
      <w:r w:rsidR="00C91BF5">
        <w:rPr>
          <w:lang w:val="en-AU" w:eastAsia="en-AU"/>
        </w:rPr>
        <w:fldChar w:fldCharType="begin"/>
      </w:r>
      <w:r w:rsidR="009D4492">
        <w:rPr>
          <w:lang w:val="en-AU" w:eastAsia="en-AU"/>
        </w:rPr>
        <w:instrText xml:space="preserve"> ADDIN EN.CITE &lt;EndNote&gt;&lt;Cite&gt;&lt;Author&gt;Kennedy&lt;/Author&gt;&lt;Year&gt;2010&lt;/Year&gt;&lt;RecNum&gt;88&lt;/RecNum&gt;&lt;DisplayText&gt;(Kennedy et al., 2010b)&lt;/DisplayText&gt;&lt;record&gt;&lt;rec-number&gt;88&lt;/rec-number&gt;&lt;foreign-keys&gt;&lt;key app="EN" db-id="vvtrt2pt4xpx5teta99vvtwg50vzve2aexae" timestamp="1493157436"&gt;88&lt;/key&gt;&lt;/foreign-keys&gt;&lt;ref-type name="Report"&gt;27&lt;/ref-type&gt;&lt;contributors&gt;&lt;authors&gt;&lt;author&gt;Kennedy, K.&lt;/author&gt;&lt;author&gt;C. Paxman&lt;/author&gt;&lt;author&gt;A. Dunn&lt;/author&gt;&lt;author&gt;J. O&amp;apos;Brien&lt;/author&gt;&lt;author&gt;J. F. Mueller &lt;/author&gt;&lt;/authors&gt;&lt;/contributors&gt;&lt;titles&gt;&lt;title&gt;Monitoring of organic chemicals in the Great Barrier Reef Marine Park and selected tributaries using time integrated monitoring tools (2008-2009)&lt;/title&gt;&lt;/titles&gt;&lt;dates&gt;&lt;year&gt;2010&lt;/year&gt;&lt;/dates&gt;&lt;publisher&gt;The National Research Centre for Environmental Toxicology, The University of Queensland&lt;/publisher&gt;&lt;urls&gt;&lt;/urls&gt;&lt;/record&gt;&lt;/Cite&gt;&lt;/EndNote&gt;</w:instrText>
      </w:r>
      <w:r w:rsidR="00C91BF5">
        <w:rPr>
          <w:lang w:val="en-AU" w:eastAsia="en-AU"/>
        </w:rPr>
        <w:fldChar w:fldCharType="separate"/>
      </w:r>
      <w:r w:rsidR="009D4492">
        <w:rPr>
          <w:noProof/>
          <w:lang w:val="en-AU" w:eastAsia="en-AU"/>
        </w:rPr>
        <w:t>(Kennedy et al., 2010b)</w:t>
      </w:r>
      <w:r w:rsidR="00C91BF5">
        <w:rPr>
          <w:lang w:val="en-AU" w:eastAsia="en-AU"/>
        </w:rPr>
        <w:fldChar w:fldCharType="end"/>
      </w:r>
      <w:r w:rsidRPr="00C11BBA">
        <w:rPr>
          <w:lang w:val="en-AU" w:eastAsia="en-AU"/>
        </w:rPr>
        <w:t>.</w:t>
      </w:r>
      <w:r>
        <w:rPr>
          <w:lang w:val="en-AU" w:eastAsia="en-AU"/>
        </w:rPr>
        <w:t xml:space="preserve"> Note that </w:t>
      </w:r>
      <w:r w:rsidR="0088783F">
        <w:rPr>
          <w:lang w:val="en-AU" w:eastAsia="en-AU"/>
        </w:rPr>
        <w:t>the Index Category decreases as the concentrations (and associated PSII-</w:t>
      </w:r>
      <w:r w:rsidR="009D307F">
        <w:rPr>
          <w:lang w:val="en-AU" w:eastAsia="en-AU"/>
        </w:rPr>
        <w:t>HEq</w:t>
      </w:r>
      <w:r w:rsidR="0088783F">
        <w:rPr>
          <w:lang w:val="en-AU" w:eastAsia="en-AU"/>
        </w:rPr>
        <w:t>) of herbicides increases</w:t>
      </w:r>
      <w:r>
        <w:rPr>
          <w:lang w:val="en-AU" w:eastAsia="en-AU"/>
        </w:rPr>
        <w:t xml:space="preserve">. </w:t>
      </w:r>
    </w:p>
    <w:p w14:paraId="15721851" w14:textId="77777777" w:rsidR="0059608E" w:rsidRDefault="0059608E" w:rsidP="00015606">
      <w:pPr>
        <w:spacing w:line="276" w:lineRule="auto"/>
        <w:rPr>
          <w:lang w:val="en-AU" w:eastAsia="en-AU"/>
        </w:rPr>
      </w:pPr>
    </w:p>
    <w:p w14:paraId="15721852" w14:textId="0BA8A329" w:rsidR="001D1EBC" w:rsidRDefault="0059608E" w:rsidP="00015606">
      <w:pPr>
        <w:spacing w:line="276" w:lineRule="auto"/>
      </w:pPr>
      <w:r>
        <w:rPr>
          <w:rFonts w:cs="Arial"/>
          <w:lang w:val="en-AU"/>
        </w:rPr>
        <w:t>The I</w:t>
      </w:r>
      <w:r w:rsidRPr="00C24A02">
        <w:rPr>
          <w:rFonts w:cs="Arial"/>
          <w:lang w:val="en-AU"/>
        </w:rPr>
        <w:t xml:space="preserve">ndex </w:t>
      </w:r>
      <w:r>
        <w:rPr>
          <w:rFonts w:cs="Arial"/>
          <w:lang w:val="en-AU"/>
        </w:rPr>
        <w:t>consists of five</w:t>
      </w:r>
      <w:r w:rsidRPr="00C24A02">
        <w:rPr>
          <w:rFonts w:cs="Arial"/>
          <w:lang w:val="en-AU"/>
        </w:rPr>
        <w:t xml:space="preserve"> </w:t>
      </w:r>
      <w:r w:rsidRPr="00C24A02">
        <w:t xml:space="preserve">Categories which range from </w:t>
      </w:r>
      <w:r>
        <w:t xml:space="preserve">Category </w:t>
      </w:r>
      <w:r w:rsidRPr="00C24A02">
        <w:t xml:space="preserve">1 (&gt; 900 </w:t>
      </w:r>
      <w:r>
        <w:rPr>
          <w:rFonts w:cs="Arial"/>
          <w:lang w:val="en-AU"/>
        </w:rPr>
        <w:t>ng L</w:t>
      </w:r>
      <w:r>
        <w:rPr>
          <w:rFonts w:cs="Arial"/>
          <w:vertAlign w:val="superscript"/>
          <w:lang w:val="en-AU"/>
        </w:rPr>
        <w:t>-1</w:t>
      </w:r>
      <w:r w:rsidRPr="00C24A02">
        <w:t>)</w:t>
      </w:r>
      <w:r>
        <w:t>,</w:t>
      </w:r>
      <w:r w:rsidRPr="00C24A02">
        <w:t xml:space="preserve"> </w:t>
      </w:r>
      <w:r>
        <w:t xml:space="preserve">which represents the highest risk of exposure (above the 99 </w:t>
      </w:r>
      <w:r w:rsidR="0088783F">
        <w:t xml:space="preserve">per cent </w:t>
      </w:r>
      <w:r>
        <w:t xml:space="preserve">species protection trigger value derived for the reference PSII herbicide diuron </w:t>
      </w:r>
      <w:r w:rsidR="00C91BF5">
        <w:fldChar w:fldCharType="begin"/>
      </w:r>
      <w:r w:rsidR="009D4492">
        <w:instrText xml:space="preserve"> ADDIN EN.CITE &lt;EndNote&gt;&lt;Cite&gt;&lt;Author&gt;GBRMPA&lt;/Author&gt;&lt;Year&gt;2010&lt;/Year&gt;&lt;RecNum&gt;29&lt;/RecNum&gt;&lt;DisplayText&gt;(GBRMPA, 2010)&lt;/DisplayText&gt;&lt;record&gt;&lt;rec-number&gt;29&lt;/rec-number&gt;&lt;foreign-keys&gt;&lt;key app="EN" db-id="vvtrt2pt4xpx5teta99vvtwg50vzve2aexae" timestamp="1493157359"&gt;29&lt;/key&gt;&lt;/foreign-keys&gt;&lt;ref-type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2010.&lt;/title&gt;&lt;/titles&gt;&lt;dates&gt;&lt;year&gt;2010&lt;/year&gt;&lt;/dates&gt;&lt;pub-location&gt;Great Barrier Reef Marine Park Authority, Townsville&lt;/pub-location&gt;&lt;urls&gt;&lt;/urls&gt;&lt;/record&gt;&lt;/Cite&gt;&lt;/EndNote&gt;</w:instrText>
      </w:r>
      <w:r w:rsidR="00C91BF5">
        <w:fldChar w:fldCharType="separate"/>
      </w:r>
      <w:r w:rsidR="009D4492">
        <w:rPr>
          <w:noProof/>
        </w:rPr>
        <w:t>(GBRMPA, 2010)</w:t>
      </w:r>
      <w:r w:rsidR="00C91BF5">
        <w:fldChar w:fldCharType="end"/>
      </w:r>
      <w:r>
        <w:t xml:space="preserve">, </w:t>
      </w:r>
      <w:r w:rsidRPr="00C24A02">
        <w:t xml:space="preserve">to </w:t>
      </w:r>
      <w:r>
        <w:t xml:space="preserve">Category </w:t>
      </w:r>
      <w:r w:rsidRPr="00C24A02">
        <w:t xml:space="preserve">5 (≤10 </w:t>
      </w:r>
      <w:r>
        <w:rPr>
          <w:rFonts w:cs="Arial"/>
          <w:lang w:val="en-AU"/>
        </w:rPr>
        <w:t>ng L</w:t>
      </w:r>
      <w:r>
        <w:rPr>
          <w:rFonts w:cs="Arial"/>
          <w:vertAlign w:val="superscript"/>
          <w:lang w:val="en-AU"/>
        </w:rPr>
        <w:t>-1</w:t>
      </w:r>
      <w:r w:rsidRPr="00C24A02">
        <w:t>)</w:t>
      </w:r>
      <w:r>
        <w:t>,</w:t>
      </w:r>
      <w:r w:rsidRPr="00C24A02">
        <w:t xml:space="preserve"> </w:t>
      </w:r>
      <w:r>
        <w:t>which represents concentrations below which no published PSII inhibition effects have been observed.</w:t>
      </w:r>
    </w:p>
    <w:p w14:paraId="15721853" w14:textId="77777777" w:rsidR="001D1EBC" w:rsidRDefault="001D1EBC" w:rsidP="00015606">
      <w:pPr>
        <w:spacing w:line="276" w:lineRule="auto"/>
      </w:pPr>
    </w:p>
    <w:p w14:paraId="15721854" w14:textId="77777777" w:rsidR="001D1EBC" w:rsidRPr="00840E64" w:rsidRDefault="008232E9" w:rsidP="008232E9">
      <w:pPr>
        <w:pStyle w:val="Caption"/>
        <w:rPr>
          <w:b w:val="0"/>
        </w:rPr>
      </w:pPr>
      <w:bookmarkStart w:id="774" w:name="_Ref480726882"/>
      <w:bookmarkStart w:id="775" w:name="_Toc502499814"/>
      <w:r>
        <w:t xml:space="preserve">Table </w:t>
      </w:r>
      <w:r w:rsidR="00C91BF5">
        <w:fldChar w:fldCharType="begin"/>
      </w:r>
      <w:r w:rsidR="008C60F9">
        <w:instrText xml:space="preserve"> STYLEREF 7 \s </w:instrText>
      </w:r>
      <w:r w:rsidR="00C91BF5">
        <w:fldChar w:fldCharType="separate"/>
      </w:r>
      <w:r w:rsidR="00D12276">
        <w:rPr>
          <w:noProof/>
        </w:rPr>
        <w:t>C</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4</w:t>
      </w:r>
      <w:r w:rsidR="00C91BF5">
        <w:fldChar w:fldCharType="end"/>
      </w:r>
      <w:bookmarkEnd w:id="774"/>
      <w:r w:rsidR="00840E64">
        <w:rPr>
          <w:b w:val="0"/>
        </w:rPr>
        <w:t xml:space="preserve">: </w:t>
      </w:r>
      <w:r w:rsidR="001D1EBC" w:rsidRPr="00840E64">
        <w:rPr>
          <w:b w:val="0"/>
        </w:rPr>
        <w:t>PSII-Herbicide Equivalent</w:t>
      </w:r>
      <w:r w:rsidR="001C45D0" w:rsidRPr="00840E64">
        <w:rPr>
          <w:b w:val="0"/>
        </w:rPr>
        <w:t xml:space="preserve"> (PSII-</w:t>
      </w:r>
      <w:r w:rsidR="009D307F">
        <w:rPr>
          <w:b w:val="0"/>
        </w:rPr>
        <w:t>HEq</w:t>
      </w:r>
      <w:r w:rsidR="001C45D0" w:rsidRPr="00840E64">
        <w:rPr>
          <w:b w:val="0"/>
        </w:rPr>
        <w:t>)</w:t>
      </w:r>
      <w:r w:rsidR="001D1EBC" w:rsidRPr="00840E64">
        <w:rPr>
          <w:b w:val="0"/>
        </w:rPr>
        <w:t xml:space="preserve"> Index developed as an indicator for reporting of PSII herbicides across the </w:t>
      </w:r>
      <w:r w:rsidR="0014321B" w:rsidRPr="00840E64">
        <w:rPr>
          <w:b w:val="0"/>
        </w:rPr>
        <w:t>MMP</w:t>
      </w:r>
      <w:bookmarkEnd w:id="775"/>
    </w:p>
    <w:tbl>
      <w:tblPr>
        <w:tblStyle w:val="Anita-ReportConsult"/>
        <w:tblW w:w="0" w:type="auto"/>
        <w:jc w:val="center"/>
        <w:tblBorders>
          <w:left w:val="none" w:sz="0" w:space="0" w:color="auto"/>
          <w:right w:val="none" w:sz="0" w:space="0" w:color="auto"/>
        </w:tblBorders>
        <w:tblLook w:val="04A0" w:firstRow="1" w:lastRow="0" w:firstColumn="1" w:lastColumn="0" w:noHBand="0" w:noVBand="1"/>
        <w:tblCaption w:val="(PSII-HEq) Index developed as an indicator for reporting of PSII herbicides across the MMP"/>
        <w:tblDescription w:val="PSII-Herbicide Equivalent (PSII-HEq) Index developed as an indicator for reporting of PSII herbicides across the MMPPSII-Herbicide Equivalent for categories 1 to 5, defined by concentration, with a descripton of their potential effects"/>
      </w:tblPr>
      <w:tblGrid>
        <w:gridCol w:w="1237"/>
        <w:gridCol w:w="2253"/>
        <w:gridCol w:w="6977"/>
      </w:tblGrid>
      <w:tr w:rsidR="0059608E" w:rsidRPr="00B16DBB" w14:paraId="15721859" w14:textId="77777777" w:rsidTr="003E1F60">
        <w:trPr>
          <w:tblHeader/>
          <w:jc w:val="center"/>
        </w:trPr>
        <w:tc>
          <w:tcPr>
            <w:tcW w:w="1242" w:type="dxa"/>
            <w:tcBorders>
              <w:top w:val="single" w:sz="2" w:space="0" w:color="auto"/>
              <w:bottom w:val="single" w:sz="4" w:space="0" w:color="auto"/>
              <w:right w:val="nil"/>
            </w:tcBorders>
            <w:shd w:val="clear" w:color="auto" w:fill="F2F2F2" w:themeFill="background1" w:themeFillShade="F2"/>
            <w:vAlign w:val="center"/>
          </w:tcPr>
          <w:p w14:paraId="15721855" w14:textId="77777777" w:rsidR="0059608E" w:rsidRPr="00B16DBB" w:rsidRDefault="0059608E" w:rsidP="00015606">
            <w:pPr>
              <w:spacing w:line="276" w:lineRule="auto"/>
              <w:jc w:val="center"/>
              <w:rPr>
                <w:rFonts w:asciiTheme="minorHAnsi" w:hAnsiTheme="minorHAnsi" w:cstheme="minorHAnsi"/>
                <w:b/>
                <w:sz w:val="22"/>
                <w:lang w:val="en-AU" w:eastAsia="en-AU"/>
              </w:rPr>
            </w:pPr>
            <w:r w:rsidRPr="00B16DBB">
              <w:rPr>
                <w:rFonts w:asciiTheme="minorHAnsi" w:hAnsiTheme="minorHAnsi" w:cstheme="minorHAnsi"/>
                <w:b/>
                <w:sz w:val="22"/>
                <w:lang w:val="en-AU" w:eastAsia="en-AU"/>
              </w:rPr>
              <w:t>Category</w:t>
            </w:r>
          </w:p>
        </w:tc>
        <w:tc>
          <w:tcPr>
            <w:tcW w:w="2268" w:type="dxa"/>
            <w:tcBorders>
              <w:top w:val="single" w:sz="2" w:space="0" w:color="auto"/>
              <w:left w:val="nil"/>
              <w:bottom w:val="single" w:sz="4" w:space="0" w:color="auto"/>
              <w:right w:val="nil"/>
            </w:tcBorders>
            <w:shd w:val="clear" w:color="auto" w:fill="F2F2F2" w:themeFill="background1" w:themeFillShade="F2"/>
            <w:vAlign w:val="center"/>
          </w:tcPr>
          <w:p w14:paraId="15721856" w14:textId="77777777" w:rsidR="0059608E" w:rsidRPr="00B16DBB" w:rsidRDefault="0059608E" w:rsidP="00015606">
            <w:pPr>
              <w:spacing w:line="276" w:lineRule="auto"/>
              <w:jc w:val="center"/>
              <w:rPr>
                <w:rFonts w:asciiTheme="minorHAnsi" w:hAnsiTheme="minorHAnsi" w:cstheme="minorHAnsi"/>
                <w:b/>
                <w:sz w:val="22"/>
                <w:lang w:val="en-AU" w:eastAsia="en-AU"/>
              </w:rPr>
            </w:pPr>
            <w:r w:rsidRPr="00B16DBB">
              <w:rPr>
                <w:rFonts w:asciiTheme="minorHAnsi" w:hAnsiTheme="minorHAnsi" w:cstheme="minorHAnsi"/>
                <w:b/>
                <w:sz w:val="22"/>
                <w:lang w:val="en-AU" w:eastAsia="en-AU"/>
              </w:rPr>
              <w:t>Concentration</w:t>
            </w:r>
          </w:p>
          <w:p w14:paraId="15721857" w14:textId="77777777" w:rsidR="0059608E" w:rsidRPr="00B16DBB" w:rsidRDefault="0059608E" w:rsidP="00015606">
            <w:pPr>
              <w:spacing w:line="276" w:lineRule="auto"/>
              <w:jc w:val="center"/>
              <w:rPr>
                <w:rFonts w:asciiTheme="minorHAnsi" w:hAnsiTheme="minorHAnsi" w:cstheme="minorHAnsi"/>
                <w:b/>
                <w:sz w:val="22"/>
                <w:lang w:val="en-AU" w:eastAsia="en-AU"/>
              </w:rPr>
            </w:pPr>
            <w:r w:rsidRPr="00B16DBB">
              <w:rPr>
                <w:rFonts w:asciiTheme="minorHAnsi" w:hAnsiTheme="minorHAnsi" w:cstheme="minorHAnsi"/>
                <w:b/>
                <w:sz w:val="22"/>
                <w:lang w:val="en-AU" w:eastAsia="en-AU"/>
              </w:rPr>
              <w:t>(ng L</w:t>
            </w:r>
            <w:r w:rsidRPr="00B16DBB">
              <w:rPr>
                <w:rFonts w:asciiTheme="minorHAnsi" w:hAnsiTheme="minorHAnsi" w:cstheme="minorHAnsi"/>
                <w:b/>
                <w:sz w:val="22"/>
                <w:vertAlign w:val="superscript"/>
                <w:lang w:val="en-AU" w:eastAsia="en-AU"/>
              </w:rPr>
              <w:t>-1</w:t>
            </w:r>
            <w:r w:rsidRPr="00B16DBB">
              <w:rPr>
                <w:rFonts w:asciiTheme="minorHAnsi" w:hAnsiTheme="minorHAnsi" w:cstheme="minorHAnsi"/>
                <w:b/>
                <w:sz w:val="22"/>
                <w:lang w:val="en-AU" w:eastAsia="en-AU"/>
              </w:rPr>
              <w:t>)</w:t>
            </w:r>
          </w:p>
        </w:tc>
        <w:tc>
          <w:tcPr>
            <w:tcW w:w="7088" w:type="dxa"/>
            <w:tcBorders>
              <w:top w:val="single" w:sz="2" w:space="0" w:color="auto"/>
              <w:left w:val="nil"/>
              <w:bottom w:val="single" w:sz="4" w:space="0" w:color="auto"/>
            </w:tcBorders>
            <w:shd w:val="clear" w:color="auto" w:fill="F2F2F2" w:themeFill="background1" w:themeFillShade="F2"/>
            <w:vAlign w:val="center"/>
          </w:tcPr>
          <w:p w14:paraId="15721858" w14:textId="77777777" w:rsidR="0059608E" w:rsidRPr="00B16DBB" w:rsidRDefault="0059608E" w:rsidP="00015606">
            <w:pPr>
              <w:spacing w:line="276" w:lineRule="auto"/>
              <w:jc w:val="center"/>
              <w:rPr>
                <w:rFonts w:asciiTheme="minorHAnsi" w:hAnsiTheme="minorHAnsi" w:cstheme="minorHAnsi"/>
                <w:b/>
                <w:sz w:val="22"/>
                <w:lang w:val="en-AU" w:eastAsia="en-AU"/>
              </w:rPr>
            </w:pPr>
            <w:r w:rsidRPr="00B16DBB">
              <w:rPr>
                <w:rFonts w:asciiTheme="minorHAnsi" w:hAnsiTheme="minorHAnsi" w:cstheme="minorHAnsi"/>
                <w:b/>
                <w:sz w:val="22"/>
                <w:lang w:val="en-AU" w:eastAsia="en-AU"/>
              </w:rPr>
              <w:t>Description</w:t>
            </w:r>
          </w:p>
        </w:tc>
      </w:tr>
      <w:tr w:rsidR="0059608E" w:rsidRPr="00B16DBB" w14:paraId="1572185D" w14:textId="77777777" w:rsidTr="003E1F60">
        <w:trPr>
          <w:trHeight w:val="920"/>
          <w:jc w:val="center"/>
        </w:trPr>
        <w:tc>
          <w:tcPr>
            <w:tcW w:w="1242" w:type="dxa"/>
            <w:tcBorders>
              <w:top w:val="single" w:sz="4" w:space="0" w:color="auto"/>
              <w:bottom w:val="nil"/>
              <w:right w:val="nil"/>
            </w:tcBorders>
            <w:shd w:val="clear" w:color="auto" w:fill="4F6228" w:themeFill="accent3" w:themeFillShade="80"/>
            <w:vAlign w:val="center"/>
          </w:tcPr>
          <w:p w14:paraId="1572185A" w14:textId="77777777" w:rsidR="0059608E" w:rsidRPr="00B16DBB" w:rsidRDefault="0059608E" w:rsidP="00015606">
            <w:pPr>
              <w:spacing w:line="276" w:lineRule="auto"/>
              <w:jc w:val="center"/>
              <w:rPr>
                <w:rFonts w:asciiTheme="minorHAnsi" w:hAnsiTheme="minorHAnsi" w:cstheme="minorHAnsi"/>
                <w:b/>
                <w:sz w:val="32"/>
                <w:lang w:val="en-AU" w:eastAsia="en-AU"/>
              </w:rPr>
            </w:pPr>
            <w:r w:rsidRPr="00B16DBB">
              <w:rPr>
                <w:rFonts w:asciiTheme="minorHAnsi" w:hAnsiTheme="minorHAnsi" w:cstheme="minorHAnsi"/>
                <w:b/>
                <w:sz w:val="32"/>
                <w:lang w:val="en-AU" w:eastAsia="en-AU"/>
              </w:rPr>
              <w:t>5</w:t>
            </w:r>
          </w:p>
        </w:tc>
        <w:tc>
          <w:tcPr>
            <w:tcW w:w="2268" w:type="dxa"/>
            <w:tcBorders>
              <w:top w:val="single" w:sz="4" w:space="0" w:color="auto"/>
              <w:left w:val="nil"/>
              <w:bottom w:val="nil"/>
              <w:right w:val="nil"/>
            </w:tcBorders>
            <w:shd w:val="clear" w:color="auto" w:fill="auto"/>
            <w:vAlign w:val="center"/>
          </w:tcPr>
          <w:p w14:paraId="1572185B" w14:textId="77777777" w:rsidR="0059608E" w:rsidRPr="00B16DBB" w:rsidRDefault="0059608E" w:rsidP="00015606">
            <w:pPr>
              <w:spacing w:line="276" w:lineRule="auto"/>
              <w:jc w:val="center"/>
              <w:rPr>
                <w:rFonts w:asciiTheme="minorHAnsi" w:hAnsiTheme="minorHAnsi" w:cstheme="minorHAnsi"/>
                <w:b/>
                <w:sz w:val="22"/>
                <w:lang w:val="en-AU" w:eastAsia="en-AU"/>
              </w:rPr>
            </w:pPr>
            <w:r w:rsidRPr="00B16DBB">
              <w:rPr>
                <w:rFonts w:asciiTheme="minorHAnsi" w:hAnsiTheme="minorHAnsi" w:cstheme="minorHAnsi"/>
                <w:b/>
                <w:sz w:val="22"/>
                <w:lang w:val="en-AU" w:eastAsia="en-AU"/>
              </w:rPr>
              <w:t>PSII-</w:t>
            </w:r>
            <w:r w:rsidR="009D307F">
              <w:rPr>
                <w:rFonts w:asciiTheme="minorHAnsi" w:hAnsiTheme="minorHAnsi" w:cstheme="minorHAnsi"/>
                <w:b/>
                <w:sz w:val="22"/>
                <w:lang w:val="en-AU" w:eastAsia="en-AU"/>
              </w:rPr>
              <w:t>HEq</w:t>
            </w:r>
            <w:r w:rsidRPr="00B16DBB">
              <w:rPr>
                <w:rFonts w:asciiTheme="minorHAnsi" w:hAnsiTheme="minorHAnsi" w:cstheme="minorHAnsi"/>
                <w:b/>
                <w:sz w:val="22"/>
                <w:lang w:val="en-AU" w:eastAsia="en-AU"/>
              </w:rPr>
              <w:t xml:space="preserve"> ≤ 10</w:t>
            </w:r>
          </w:p>
        </w:tc>
        <w:tc>
          <w:tcPr>
            <w:tcW w:w="7088" w:type="dxa"/>
            <w:tcBorders>
              <w:top w:val="single" w:sz="4" w:space="0" w:color="auto"/>
              <w:left w:val="nil"/>
              <w:bottom w:val="nil"/>
            </w:tcBorders>
            <w:vAlign w:val="center"/>
          </w:tcPr>
          <w:p w14:paraId="1572185C" w14:textId="77777777" w:rsidR="0059608E" w:rsidRPr="00B16DBB" w:rsidRDefault="0059608E" w:rsidP="00015606">
            <w:pPr>
              <w:spacing w:line="276" w:lineRule="auto"/>
              <w:jc w:val="left"/>
              <w:rPr>
                <w:rFonts w:asciiTheme="minorHAnsi" w:hAnsiTheme="minorHAnsi" w:cstheme="minorHAnsi"/>
                <w:sz w:val="22"/>
                <w:lang w:val="en-AU" w:eastAsia="en-AU"/>
              </w:rPr>
            </w:pPr>
            <w:r w:rsidRPr="00B16DBB">
              <w:rPr>
                <w:rFonts w:asciiTheme="minorHAnsi" w:hAnsiTheme="minorHAnsi" w:cstheme="minorHAnsi"/>
                <w:sz w:val="22"/>
                <w:lang w:val="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r>
      <w:tr w:rsidR="0059608E" w:rsidRPr="00B16DBB" w14:paraId="15721861" w14:textId="77777777" w:rsidTr="003E1F60">
        <w:trPr>
          <w:trHeight w:val="920"/>
          <w:jc w:val="center"/>
        </w:trPr>
        <w:tc>
          <w:tcPr>
            <w:tcW w:w="1242" w:type="dxa"/>
            <w:tcBorders>
              <w:top w:val="nil"/>
              <w:bottom w:val="nil"/>
              <w:right w:val="nil"/>
            </w:tcBorders>
            <w:shd w:val="clear" w:color="auto" w:fill="C2D69B" w:themeFill="accent3" w:themeFillTint="99"/>
            <w:vAlign w:val="center"/>
          </w:tcPr>
          <w:p w14:paraId="1572185E" w14:textId="77777777" w:rsidR="0059608E" w:rsidRPr="00B16DBB" w:rsidRDefault="0059608E" w:rsidP="00015606">
            <w:pPr>
              <w:spacing w:line="276" w:lineRule="auto"/>
              <w:jc w:val="center"/>
              <w:rPr>
                <w:rFonts w:asciiTheme="minorHAnsi" w:hAnsiTheme="minorHAnsi" w:cstheme="minorHAnsi"/>
                <w:b/>
                <w:sz w:val="32"/>
                <w:lang w:val="en-AU" w:eastAsia="en-AU"/>
              </w:rPr>
            </w:pPr>
            <w:r w:rsidRPr="00B16DBB">
              <w:rPr>
                <w:rFonts w:asciiTheme="minorHAnsi" w:hAnsiTheme="minorHAnsi" w:cstheme="minorHAnsi"/>
                <w:b/>
                <w:sz w:val="32"/>
                <w:lang w:val="en-AU" w:eastAsia="en-AU"/>
              </w:rPr>
              <w:t>4</w:t>
            </w:r>
          </w:p>
        </w:tc>
        <w:tc>
          <w:tcPr>
            <w:tcW w:w="2268" w:type="dxa"/>
            <w:tcBorders>
              <w:top w:val="nil"/>
              <w:left w:val="nil"/>
              <w:bottom w:val="nil"/>
              <w:right w:val="nil"/>
            </w:tcBorders>
            <w:shd w:val="clear" w:color="auto" w:fill="auto"/>
            <w:vAlign w:val="center"/>
          </w:tcPr>
          <w:p w14:paraId="1572185F" w14:textId="77777777" w:rsidR="0059608E" w:rsidRPr="00B16DBB" w:rsidRDefault="0059608E" w:rsidP="00015606">
            <w:pPr>
              <w:spacing w:line="276" w:lineRule="auto"/>
              <w:jc w:val="center"/>
              <w:rPr>
                <w:rFonts w:asciiTheme="minorHAnsi" w:hAnsiTheme="minorHAnsi" w:cstheme="minorHAnsi"/>
                <w:b/>
                <w:sz w:val="22"/>
                <w:lang w:val="en-AU" w:eastAsia="en-AU"/>
              </w:rPr>
            </w:pPr>
            <w:r w:rsidRPr="00B16DBB">
              <w:rPr>
                <w:rFonts w:asciiTheme="minorHAnsi" w:hAnsiTheme="minorHAnsi" w:cstheme="minorHAnsi"/>
                <w:b/>
                <w:sz w:val="22"/>
                <w:lang w:val="en-AU" w:eastAsia="en-AU"/>
              </w:rPr>
              <w:t>10 &lt; PSII-</w:t>
            </w:r>
            <w:r w:rsidR="009D307F">
              <w:rPr>
                <w:rFonts w:asciiTheme="minorHAnsi" w:hAnsiTheme="minorHAnsi" w:cstheme="minorHAnsi"/>
                <w:b/>
                <w:sz w:val="22"/>
                <w:lang w:val="en-AU" w:eastAsia="en-AU"/>
              </w:rPr>
              <w:t>HEq</w:t>
            </w:r>
            <w:r w:rsidRPr="00B16DBB">
              <w:rPr>
                <w:rFonts w:asciiTheme="minorHAnsi" w:hAnsiTheme="minorHAnsi" w:cstheme="minorHAnsi"/>
                <w:b/>
                <w:sz w:val="22"/>
                <w:lang w:val="en-AU" w:eastAsia="en-AU"/>
              </w:rPr>
              <w:t xml:space="preserve"> ≤ 50</w:t>
            </w:r>
          </w:p>
        </w:tc>
        <w:tc>
          <w:tcPr>
            <w:tcW w:w="7088" w:type="dxa"/>
            <w:tcBorders>
              <w:top w:val="nil"/>
              <w:left w:val="nil"/>
              <w:bottom w:val="nil"/>
            </w:tcBorders>
            <w:vAlign w:val="center"/>
          </w:tcPr>
          <w:p w14:paraId="15721860" w14:textId="77777777" w:rsidR="0059608E" w:rsidRPr="00B16DBB" w:rsidRDefault="0059608E" w:rsidP="00015606">
            <w:pPr>
              <w:spacing w:line="276" w:lineRule="auto"/>
              <w:jc w:val="left"/>
              <w:rPr>
                <w:rFonts w:asciiTheme="minorHAnsi" w:hAnsiTheme="minorHAnsi" w:cstheme="minorHAnsi"/>
                <w:sz w:val="22"/>
                <w:lang w:val="en-AU" w:eastAsia="en-AU"/>
              </w:rPr>
            </w:pPr>
            <w:r w:rsidRPr="00B16DBB">
              <w:rPr>
                <w:rFonts w:asciiTheme="minorHAnsi" w:hAnsiTheme="minorHAnsi" w:cstheme="minorHAnsi"/>
                <w:sz w:val="22"/>
                <w:lang w:val="en-AU"/>
              </w:rPr>
              <w:t>Published scientific observations of reduced</w:t>
            </w:r>
            <w:r w:rsidR="00B16DBB">
              <w:rPr>
                <w:rFonts w:asciiTheme="minorHAnsi" w:hAnsiTheme="minorHAnsi" w:cstheme="minorHAnsi"/>
                <w:sz w:val="22"/>
                <w:lang w:val="en-AU"/>
              </w:rPr>
              <w:t xml:space="preserve"> photosynthesis for two diatoms</w:t>
            </w:r>
          </w:p>
        </w:tc>
      </w:tr>
      <w:tr w:rsidR="0059608E" w:rsidRPr="00B16DBB" w14:paraId="15721865" w14:textId="77777777" w:rsidTr="003E1F60">
        <w:trPr>
          <w:trHeight w:val="920"/>
          <w:jc w:val="center"/>
        </w:trPr>
        <w:tc>
          <w:tcPr>
            <w:tcW w:w="1242" w:type="dxa"/>
            <w:tcBorders>
              <w:top w:val="nil"/>
              <w:bottom w:val="nil"/>
              <w:right w:val="nil"/>
            </w:tcBorders>
            <w:shd w:val="clear" w:color="auto" w:fill="FFFF00"/>
            <w:vAlign w:val="center"/>
          </w:tcPr>
          <w:p w14:paraId="15721862" w14:textId="77777777" w:rsidR="0059608E" w:rsidRPr="00B16DBB" w:rsidRDefault="0059608E" w:rsidP="00015606">
            <w:pPr>
              <w:spacing w:line="276" w:lineRule="auto"/>
              <w:jc w:val="center"/>
              <w:rPr>
                <w:rFonts w:asciiTheme="minorHAnsi" w:hAnsiTheme="minorHAnsi" w:cstheme="minorHAnsi"/>
                <w:b/>
                <w:sz w:val="32"/>
                <w:lang w:val="en-AU" w:eastAsia="en-AU"/>
              </w:rPr>
            </w:pPr>
            <w:r w:rsidRPr="00B16DBB">
              <w:rPr>
                <w:rFonts w:asciiTheme="minorHAnsi" w:hAnsiTheme="minorHAnsi" w:cstheme="minorHAnsi"/>
                <w:b/>
                <w:sz w:val="32"/>
                <w:lang w:val="en-AU" w:eastAsia="en-AU"/>
              </w:rPr>
              <w:t>3</w:t>
            </w:r>
          </w:p>
        </w:tc>
        <w:tc>
          <w:tcPr>
            <w:tcW w:w="2268" w:type="dxa"/>
            <w:tcBorders>
              <w:top w:val="nil"/>
              <w:left w:val="nil"/>
              <w:bottom w:val="nil"/>
              <w:right w:val="nil"/>
            </w:tcBorders>
            <w:shd w:val="clear" w:color="auto" w:fill="auto"/>
            <w:vAlign w:val="center"/>
          </w:tcPr>
          <w:p w14:paraId="15721863" w14:textId="77777777" w:rsidR="0059608E" w:rsidRPr="00B16DBB" w:rsidRDefault="0059608E" w:rsidP="00015606">
            <w:pPr>
              <w:spacing w:line="276" w:lineRule="auto"/>
              <w:jc w:val="center"/>
              <w:rPr>
                <w:rFonts w:asciiTheme="minorHAnsi" w:hAnsiTheme="minorHAnsi" w:cstheme="minorHAnsi"/>
                <w:b/>
                <w:sz w:val="22"/>
                <w:lang w:val="en-AU" w:eastAsia="en-AU"/>
              </w:rPr>
            </w:pPr>
            <w:r w:rsidRPr="00B16DBB">
              <w:rPr>
                <w:rFonts w:asciiTheme="minorHAnsi" w:hAnsiTheme="minorHAnsi" w:cstheme="minorHAnsi"/>
                <w:b/>
                <w:sz w:val="22"/>
                <w:lang w:val="en-AU" w:eastAsia="en-AU"/>
              </w:rPr>
              <w:t>50 &lt; PSII-</w:t>
            </w:r>
            <w:r w:rsidR="009D307F">
              <w:rPr>
                <w:rFonts w:asciiTheme="minorHAnsi" w:hAnsiTheme="minorHAnsi" w:cstheme="minorHAnsi"/>
                <w:b/>
                <w:sz w:val="22"/>
                <w:lang w:val="en-AU" w:eastAsia="en-AU"/>
              </w:rPr>
              <w:t>HEq</w:t>
            </w:r>
            <w:r w:rsidRPr="00B16DBB">
              <w:rPr>
                <w:rFonts w:asciiTheme="minorHAnsi" w:hAnsiTheme="minorHAnsi" w:cstheme="minorHAnsi"/>
                <w:b/>
                <w:sz w:val="22"/>
                <w:lang w:val="en-AU" w:eastAsia="en-AU"/>
              </w:rPr>
              <w:t xml:space="preserve"> &lt; 250</w:t>
            </w:r>
          </w:p>
        </w:tc>
        <w:tc>
          <w:tcPr>
            <w:tcW w:w="7088" w:type="dxa"/>
            <w:tcBorders>
              <w:top w:val="nil"/>
              <w:left w:val="nil"/>
              <w:bottom w:val="nil"/>
            </w:tcBorders>
            <w:vAlign w:val="center"/>
          </w:tcPr>
          <w:p w14:paraId="15721864" w14:textId="77777777" w:rsidR="0059608E" w:rsidRPr="00B16DBB" w:rsidRDefault="0059608E" w:rsidP="00015606">
            <w:pPr>
              <w:spacing w:line="276" w:lineRule="auto"/>
              <w:jc w:val="left"/>
              <w:rPr>
                <w:rFonts w:asciiTheme="minorHAnsi" w:hAnsiTheme="minorHAnsi" w:cstheme="minorHAnsi"/>
                <w:sz w:val="22"/>
                <w:lang w:val="en-AU" w:eastAsia="en-AU"/>
              </w:rPr>
            </w:pPr>
            <w:r w:rsidRPr="00B16DBB">
              <w:rPr>
                <w:rFonts w:asciiTheme="minorHAnsi" w:hAnsiTheme="minorHAnsi" w:cstheme="minorHAnsi"/>
                <w:sz w:val="22"/>
                <w:lang w:val="en-AU"/>
              </w:rPr>
              <w:t>Published scientific observations of reduced photosynthesis for two sea</w:t>
            </w:r>
            <w:r w:rsidR="00B16DBB">
              <w:rPr>
                <w:rFonts w:asciiTheme="minorHAnsi" w:hAnsiTheme="minorHAnsi" w:cstheme="minorHAnsi"/>
                <w:sz w:val="22"/>
                <w:lang w:val="en-AU"/>
              </w:rPr>
              <w:t>grass species and three diatoms</w:t>
            </w:r>
          </w:p>
        </w:tc>
      </w:tr>
      <w:tr w:rsidR="0059608E" w:rsidRPr="00B16DBB" w14:paraId="15721869" w14:textId="77777777" w:rsidTr="003E1F60">
        <w:trPr>
          <w:trHeight w:val="920"/>
          <w:jc w:val="center"/>
        </w:trPr>
        <w:tc>
          <w:tcPr>
            <w:tcW w:w="1242" w:type="dxa"/>
            <w:tcBorders>
              <w:top w:val="nil"/>
              <w:bottom w:val="nil"/>
              <w:right w:val="nil"/>
            </w:tcBorders>
            <w:shd w:val="clear" w:color="auto" w:fill="E36C0A" w:themeFill="accent6" w:themeFillShade="BF"/>
            <w:vAlign w:val="center"/>
          </w:tcPr>
          <w:p w14:paraId="15721866" w14:textId="77777777" w:rsidR="0059608E" w:rsidRPr="00B16DBB" w:rsidRDefault="0059608E" w:rsidP="00015606">
            <w:pPr>
              <w:spacing w:line="276" w:lineRule="auto"/>
              <w:jc w:val="center"/>
              <w:rPr>
                <w:rFonts w:asciiTheme="minorHAnsi" w:hAnsiTheme="minorHAnsi" w:cstheme="minorHAnsi"/>
                <w:b/>
                <w:sz w:val="32"/>
                <w:lang w:val="en-AU" w:eastAsia="en-AU"/>
              </w:rPr>
            </w:pPr>
            <w:r w:rsidRPr="00B16DBB">
              <w:rPr>
                <w:rFonts w:asciiTheme="minorHAnsi" w:hAnsiTheme="minorHAnsi" w:cstheme="minorHAnsi"/>
                <w:b/>
                <w:sz w:val="32"/>
                <w:lang w:val="en-AU" w:eastAsia="en-AU"/>
              </w:rPr>
              <w:t>2</w:t>
            </w:r>
          </w:p>
        </w:tc>
        <w:tc>
          <w:tcPr>
            <w:tcW w:w="2268" w:type="dxa"/>
            <w:tcBorders>
              <w:top w:val="nil"/>
              <w:left w:val="nil"/>
              <w:bottom w:val="nil"/>
              <w:right w:val="nil"/>
            </w:tcBorders>
            <w:shd w:val="clear" w:color="auto" w:fill="auto"/>
            <w:vAlign w:val="center"/>
          </w:tcPr>
          <w:p w14:paraId="15721867" w14:textId="77777777" w:rsidR="0059608E" w:rsidRPr="00B16DBB" w:rsidRDefault="0059608E" w:rsidP="00015606">
            <w:pPr>
              <w:spacing w:line="276" w:lineRule="auto"/>
              <w:jc w:val="center"/>
              <w:rPr>
                <w:rFonts w:asciiTheme="minorHAnsi" w:hAnsiTheme="minorHAnsi" w:cstheme="minorHAnsi"/>
                <w:b/>
                <w:sz w:val="22"/>
                <w:lang w:val="en-AU" w:eastAsia="en-AU"/>
              </w:rPr>
            </w:pPr>
            <w:r w:rsidRPr="00B16DBB">
              <w:rPr>
                <w:rFonts w:asciiTheme="minorHAnsi" w:hAnsiTheme="minorHAnsi" w:cstheme="minorHAnsi"/>
                <w:b/>
                <w:sz w:val="22"/>
                <w:lang w:val="en-AU" w:eastAsia="en-AU"/>
              </w:rPr>
              <w:t>250 ≤ PSII-</w:t>
            </w:r>
            <w:r w:rsidR="009D307F">
              <w:rPr>
                <w:rFonts w:asciiTheme="minorHAnsi" w:hAnsiTheme="minorHAnsi" w:cstheme="minorHAnsi"/>
                <w:b/>
                <w:sz w:val="22"/>
                <w:lang w:val="en-AU" w:eastAsia="en-AU"/>
              </w:rPr>
              <w:t>HEq</w:t>
            </w:r>
            <w:r w:rsidRPr="00B16DBB">
              <w:rPr>
                <w:rFonts w:asciiTheme="minorHAnsi" w:hAnsiTheme="minorHAnsi" w:cstheme="minorHAnsi"/>
                <w:b/>
                <w:sz w:val="22"/>
                <w:lang w:val="en-AU" w:eastAsia="en-AU"/>
              </w:rPr>
              <w:t xml:space="preserve"> ≤ 900</w:t>
            </w:r>
          </w:p>
        </w:tc>
        <w:tc>
          <w:tcPr>
            <w:tcW w:w="7088" w:type="dxa"/>
            <w:tcBorders>
              <w:top w:val="nil"/>
              <w:left w:val="nil"/>
              <w:bottom w:val="nil"/>
            </w:tcBorders>
            <w:vAlign w:val="center"/>
          </w:tcPr>
          <w:p w14:paraId="15721868" w14:textId="77777777" w:rsidR="0059608E" w:rsidRPr="00B16DBB" w:rsidRDefault="0059608E" w:rsidP="00015606">
            <w:pPr>
              <w:spacing w:line="276" w:lineRule="auto"/>
              <w:jc w:val="left"/>
              <w:rPr>
                <w:rFonts w:asciiTheme="minorHAnsi" w:hAnsiTheme="minorHAnsi" w:cstheme="minorHAnsi"/>
                <w:sz w:val="22"/>
                <w:lang w:val="en-AU" w:eastAsia="en-AU"/>
              </w:rPr>
            </w:pPr>
            <w:r w:rsidRPr="00B16DBB">
              <w:rPr>
                <w:rFonts w:asciiTheme="minorHAnsi" w:hAnsiTheme="minorHAnsi" w:cstheme="minorHAnsi"/>
                <w:sz w:val="22"/>
                <w:lang w:val="en-AU"/>
              </w:rPr>
              <w:t>Published scientific observations of reduced photosy</w:t>
            </w:r>
            <w:r w:rsidR="00B16DBB">
              <w:rPr>
                <w:rFonts w:asciiTheme="minorHAnsi" w:hAnsiTheme="minorHAnsi" w:cstheme="minorHAnsi"/>
                <w:sz w:val="22"/>
                <w:lang w:val="en-AU"/>
              </w:rPr>
              <w:t>nthesis for three coral species</w:t>
            </w:r>
          </w:p>
        </w:tc>
      </w:tr>
      <w:tr w:rsidR="0059608E" w:rsidRPr="00B16DBB" w14:paraId="1572186D" w14:textId="77777777" w:rsidTr="003E1F60">
        <w:trPr>
          <w:trHeight w:val="920"/>
          <w:jc w:val="center"/>
        </w:trPr>
        <w:tc>
          <w:tcPr>
            <w:tcW w:w="1242" w:type="dxa"/>
            <w:tcBorders>
              <w:top w:val="nil"/>
              <w:bottom w:val="single" w:sz="2" w:space="0" w:color="auto"/>
              <w:right w:val="nil"/>
            </w:tcBorders>
            <w:shd w:val="clear" w:color="auto" w:fill="C0504D" w:themeFill="accent2"/>
            <w:vAlign w:val="center"/>
          </w:tcPr>
          <w:p w14:paraId="1572186A" w14:textId="77777777" w:rsidR="0059608E" w:rsidRPr="00B16DBB" w:rsidRDefault="0059608E" w:rsidP="00015606">
            <w:pPr>
              <w:spacing w:line="276" w:lineRule="auto"/>
              <w:jc w:val="center"/>
              <w:rPr>
                <w:rFonts w:asciiTheme="minorHAnsi" w:hAnsiTheme="minorHAnsi" w:cstheme="minorHAnsi"/>
                <w:b/>
                <w:sz w:val="32"/>
                <w:lang w:val="en-AU" w:eastAsia="en-AU"/>
              </w:rPr>
            </w:pPr>
            <w:r w:rsidRPr="00B16DBB">
              <w:rPr>
                <w:rFonts w:asciiTheme="minorHAnsi" w:hAnsiTheme="minorHAnsi" w:cstheme="minorHAnsi"/>
                <w:b/>
                <w:sz w:val="32"/>
                <w:lang w:val="en-AU" w:eastAsia="en-AU"/>
              </w:rPr>
              <w:t>1</w:t>
            </w:r>
          </w:p>
        </w:tc>
        <w:tc>
          <w:tcPr>
            <w:tcW w:w="2268" w:type="dxa"/>
            <w:tcBorders>
              <w:top w:val="nil"/>
              <w:left w:val="nil"/>
              <w:bottom w:val="single" w:sz="2" w:space="0" w:color="auto"/>
              <w:right w:val="nil"/>
            </w:tcBorders>
            <w:shd w:val="clear" w:color="auto" w:fill="auto"/>
            <w:vAlign w:val="center"/>
          </w:tcPr>
          <w:p w14:paraId="1572186B" w14:textId="77777777" w:rsidR="0059608E" w:rsidRPr="00B16DBB" w:rsidRDefault="0059608E" w:rsidP="00015606">
            <w:pPr>
              <w:spacing w:line="276" w:lineRule="auto"/>
              <w:jc w:val="center"/>
              <w:rPr>
                <w:rFonts w:asciiTheme="minorHAnsi" w:hAnsiTheme="minorHAnsi" w:cstheme="minorHAnsi"/>
                <w:b/>
                <w:sz w:val="22"/>
                <w:lang w:val="en-AU" w:eastAsia="en-AU"/>
              </w:rPr>
            </w:pPr>
            <w:r w:rsidRPr="00B16DBB">
              <w:rPr>
                <w:rFonts w:asciiTheme="minorHAnsi" w:hAnsiTheme="minorHAnsi" w:cstheme="minorHAnsi"/>
                <w:b/>
                <w:sz w:val="22"/>
                <w:lang w:val="en-AU" w:eastAsia="en-AU"/>
              </w:rPr>
              <w:t>PSII-</w:t>
            </w:r>
            <w:r w:rsidR="009D307F">
              <w:rPr>
                <w:rFonts w:asciiTheme="minorHAnsi" w:hAnsiTheme="minorHAnsi" w:cstheme="minorHAnsi"/>
                <w:b/>
                <w:sz w:val="22"/>
                <w:lang w:val="en-AU" w:eastAsia="en-AU"/>
              </w:rPr>
              <w:t>HEq</w:t>
            </w:r>
            <w:r w:rsidRPr="00B16DBB">
              <w:rPr>
                <w:rFonts w:asciiTheme="minorHAnsi" w:hAnsiTheme="minorHAnsi" w:cstheme="minorHAnsi"/>
                <w:b/>
                <w:sz w:val="22"/>
                <w:lang w:val="en-AU" w:eastAsia="en-AU"/>
              </w:rPr>
              <w:t xml:space="preserve"> &gt; 900</w:t>
            </w:r>
          </w:p>
        </w:tc>
        <w:tc>
          <w:tcPr>
            <w:tcW w:w="7088" w:type="dxa"/>
            <w:tcBorders>
              <w:top w:val="nil"/>
              <w:left w:val="nil"/>
              <w:bottom w:val="single" w:sz="2" w:space="0" w:color="auto"/>
            </w:tcBorders>
            <w:vAlign w:val="center"/>
          </w:tcPr>
          <w:p w14:paraId="1572186C" w14:textId="77777777" w:rsidR="0059608E" w:rsidRPr="00B16DBB" w:rsidRDefault="0059608E" w:rsidP="00015606">
            <w:pPr>
              <w:spacing w:line="276" w:lineRule="auto"/>
              <w:jc w:val="left"/>
              <w:rPr>
                <w:rFonts w:asciiTheme="minorHAnsi" w:hAnsiTheme="minorHAnsi" w:cstheme="minorHAnsi"/>
                <w:sz w:val="22"/>
                <w:lang w:val="en-AU" w:eastAsia="en-AU"/>
              </w:rPr>
            </w:pPr>
            <w:r w:rsidRPr="00B16DBB">
              <w:rPr>
                <w:rFonts w:asciiTheme="minorHAnsi" w:hAnsiTheme="minorHAnsi" w:cstheme="minorHAnsi"/>
                <w:sz w:val="22"/>
                <w:lang w:val="en-AU"/>
              </w:rPr>
              <w:t>Published scientific papers that demonstrate effects on the growth and death of aquatic plants and an</w:t>
            </w:r>
            <w:r w:rsidR="000F1331">
              <w:rPr>
                <w:rFonts w:asciiTheme="minorHAnsi" w:hAnsiTheme="minorHAnsi" w:cstheme="minorHAnsi"/>
                <w:sz w:val="22"/>
                <w:lang w:val="en-AU"/>
              </w:rPr>
              <w:t>imals exposed to the pesticide</w:t>
            </w:r>
          </w:p>
        </w:tc>
      </w:tr>
    </w:tbl>
    <w:p w14:paraId="1572186E" w14:textId="77777777" w:rsidR="0059608E" w:rsidRPr="00C11BBA" w:rsidRDefault="0059608E" w:rsidP="00015606">
      <w:pPr>
        <w:spacing w:line="276" w:lineRule="auto"/>
        <w:rPr>
          <w:lang w:val="en-AU"/>
        </w:rPr>
      </w:pPr>
    </w:p>
    <w:p w14:paraId="1572186F" w14:textId="77777777" w:rsidR="0059608E" w:rsidRPr="00C11BBA" w:rsidRDefault="0059608E" w:rsidP="00B16DBB">
      <w:pPr>
        <w:spacing w:after="120" w:line="276" w:lineRule="auto"/>
        <w:rPr>
          <w:lang w:val="en-AU"/>
        </w:rPr>
      </w:pPr>
      <w:r w:rsidRPr="00C11BBA">
        <w:rPr>
          <w:lang w:val="en-AU"/>
        </w:rPr>
        <w:t xml:space="preserve">For categories </w:t>
      </w:r>
      <w:r>
        <w:rPr>
          <w:lang w:val="en-AU"/>
        </w:rPr>
        <w:t>2</w:t>
      </w:r>
      <w:r w:rsidRPr="00C11BBA">
        <w:rPr>
          <w:lang w:val="en-AU"/>
        </w:rPr>
        <w:t xml:space="preserve"> – </w:t>
      </w:r>
      <w:r>
        <w:rPr>
          <w:lang w:val="en-AU"/>
        </w:rPr>
        <w:t>4</w:t>
      </w:r>
      <w:r w:rsidRPr="00C11BBA">
        <w:rPr>
          <w:lang w:val="en-AU"/>
        </w:rPr>
        <w:t>:</w:t>
      </w:r>
    </w:p>
    <w:p w14:paraId="15721870" w14:textId="77777777" w:rsidR="0059608E" w:rsidRDefault="0059608E" w:rsidP="00220439">
      <w:pPr>
        <w:pStyle w:val="ListParagraph"/>
        <w:numPr>
          <w:ilvl w:val="0"/>
          <w:numId w:val="3"/>
        </w:numPr>
        <w:spacing w:after="120" w:line="276" w:lineRule="auto"/>
        <w:ind w:left="714" w:hanging="357"/>
        <w:contextualSpacing w:val="0"/>
        <w:rPr>
          <w:lang w:val="en-AU"/>
        </w:rPr>
      </w:pPr>
      <w:r w:rsidRPr="00C11BBA">
        <w:rPr>
          <w:lang w:val="en-AU"/>
        </w:rPr>
        <w:t>The published scientific papers indicate that this reduction in photosynthesis is reversible when the organism is no longer exposed to the pesticide;</w:t>
      </w:r>
    </w:p>
    <w:p w14:paraId="15721871" w14:textId="77777777" w:rsidR="0059608E" w:rsidRDefault="0059608E" w:rsidP="00220439">
      <w:pPr>
        <w:pStyle w:val="ListParagraph"/>
        <w:numPr>
          <w:ilvl w:val="0"/>
          <w:numId w:val="2"/>
        </w:numPr>
        <w:spacing w:after="120" w:line="276" w:lineRule="auto"/>
        <w:ind w:left="714" w:hanging="357"/>
        <w:contextualSpacing w:val="0"/>
        <w:jc w:val="left"/>
        <w:rPr>
          <w:lang w:val="en-AU"/>
        </w:rPr>
      </w:pPr>
      <w:r w:rsidRPr="00C11BBA">
        <w:rPr>
          <w:lang w:val="en-AU"/>
        </w:rPr>
        <w:t>Detecting a pesticide at these concentrations does not necessarily mean that there will be an ecological effect on the plants and animals present;</w:t>
      </w:r>
    </w:p>
    <w:p w14:paraId="15721873" w14:textId="52D29778" w:rsidR="0059608E" w:rsidRPr="005C069F" w:rsidRDefault="0059608E" w:rsidP="005C069F">
      <w:pPr>
        <w:pStyle w:val="ListParagraph"/>
        <w:numPr>
          <w:ilvl w:val="0"/>
          <w:numId w:val="2"/>
        </w:numPr>
        <w:spacing w:after="120" w:line="276" w:lineRule="auto"/>
        <w:ind w:left="714" w:hanging="357"/>
        <w:contextualSpacing w:val="0"/>
        <w:jc w:val="left"/>
        <w:rPr>
          <w:lang w:val="en-AU"/>
        </w:rPr>
      </w:pPr>
      <w:r w:rsidRPr="00C11BBA">
        <w:rPr>
          <w:lang w:val="en-AU"/>
        </w:rPr>
        <w:t>These categories have been included as they indicate an additional level of stress that plants and animals may be exposed to in the Marine Park. In combination with a range of other stressors (e.g. sediment, temperature, salinity, pH, storm damage, and elevated nutrient concentrations) the ability of these plant and animal species to recover from impacts may be reduced.</w:t>
      </w:r>
    </w:p>
    <w:p w14:paraId="15721874" w14:textId="77777777" w:rsidR="0059608E" w:rsidRDefault="0059608E" w:rsidP="00015606">
      <w:pPr>
        <w:pStyle w:val="Caption"/>
        <w:keepNext/>
        <w:spacing w:line="276" w:lineRule="auto"/>
      </w:pPr>
    </w:p>
    <w:p w14:paraId="15721875" w14:textId="77777777" w:rsidR="008A4B4F" w:rsidRDefault="008A4B4F" w:rsidP="008A4B4F">
      <w:pPr>
        <w:pStyle w:val="Heading1"/>
        <w:sectPr w:rsidR="008A4B4F" w:rsidSect="0056354A">
          <w:pgSz w:w="11907" w:h="16839" w:code="9"/>
          <w:pgMar w:top="720" w:right="720" w:bottom="720" w:left="720" w:header="709" w:footer="709" w:gutter="0"/>
          <w:cols w:space="708"/>
          <w:docGrid w:linePitch="360"/>
        </w:sectPr>
      </w:pPr>
      <w:bookmarkStart w:id="776" w:name="_Toc461457793"/>
      <w:bookmarkStart w:id="777" w:name="_Toc461457788"/>
    </w:p>
    <w:p w14:paraId="15721876" w14:textId="242FC26A" w:rsidR="008A4B4F" w:rsidRPr="00F0737C" w:rsidRDefault="00305667" w:rsidP="00305667">
      <w:pPr>
        <w:pStyle w:val="Heading7"/>
      </w:pPr>
      <w:bookmarkStart w:id="778" w:name="_Ref480727255"/>
      <w:bookmarkStart w:id="779" w:name="_Ref480727261"/>
      <w:bookmarkStart w:id="780" w:name="_Toc502500030"/>
      <w:r w:rsidRPr="00305667">
        <w:t>Supplemental information on drivers</w:t>
      </w:r>
      <w:bookmarkEnd w:id="776"/>
      <w:bookmarkEnd w:id="778"/>
      <w:bookmarkEnd w:id="779"/>
      <w:bookmarkEnd w:id="780"/>
    </w:p>
    <w:p w14:paraId="15721877" w14:textId="77777777" w:rsidR="008A4B4F" w:rsidRDefault="008A4B4F" w:rsidP="008A4B4F">
      <w:pPr>
        <w:keepNext/>
        <w:spacing w:line="276" w:lineRule="auto"/>
        <w:jc w:val="center"/>
      </w:pPr>
      <w:r>
        <w:rPr>
          <w:noProof/>
          <w:sz w:val="18"/>
          <w:lang w:val="en-AU" w:eastAsia="en-AU" w:bidi="ar-SA"/>
        </w:rPr>
        <w:drawing>
          <wp:inline distT="0" distB="0" distL="0" distR="0" wp14:anchorId="15721A86" wp14:editId="6B10D536">
            <wp:extent cx="6331213" cy="8567531"/>
            <wp:effectExtent l="0" t="0" r="0" b="5080"/>
            <wp:docPr id="149" name="Picture 149" descr="Figure D 1: Land Use map of the Reef catchment (200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345623" cy="8587030"/>
                    </a:xfrm>
                    <a:prstGeom prst="rect">
                      <a:avLst/>
                    </a:prstGeom>
                    <a:noFill/>
                  </pic:spPr>
                </pic:pic>
              </a:graphicData>
            </a:graphic>
          </wp:inline>
        </w:drawing>
      </w:r>
    </w:p>
    <w:p w14:paraId="15721878" w14:textId="77777777" w:rsidR="008A4B4F" w:rsidRPr="00836530" w:rsidRDefault="002A20D5" w:rsidP="002A20D5">
      <w:pPr>
        <w:pStyle w:val="Caption"/>
        <w:jc w:val="center"/>
        <w:rPr>
          <w:b w:val="0"/>
        </w:rPr>
      </w:pPr>
      <w:bookmarkStart w:id="781" w:name="_Ref480727274"/>
      <w:bookmarkStart w:id="782" w:name="_Toc502499830"/>
      <w:r>
        <w:t xml:space="preserve">Figure </w:t>
      </w:r>
      <w:r w:rsidR="00C91BF5">
        <w:fldChar w:fldCharType="begin"/>
      </w:r>
      <w:r w:rsidR="008C60F9">
        <w:instrText xml:space="preserve"> STYLEREF 7 \s </w:instrText>
      </w:r>
      <w:r w:rsidR="00C91BF5">
        <w:fldChar w:fldCharType="separate"/>
      </w:r>
      <w:r w:rsidR="00D12276">
        <w:rPr>
          <w:noProof/>
        </w:rPr>
        <w:t>D</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1</w:t>
      </w:r>
      <w:r w:rsidR="00C91BF5">
        <w:fldChar w:fldCharType="end"/>
      </w:r>
      <w:bookmarkEnd w:id="781"/>
      <w:r w:rsidR="008A4B4F">
        <w:rPr>
          <w:b w:val="0"/>
        </w:rPr>
        <w:t>:</w:t>
      </w:r>
      <w:r w:rsidR="008A4B4F" w:rsidRPr="00836530">
        <w:rPr>
          <w:b w:val="0"/>
        </w:rPr>
        <w:t xml:space="preserve"> Land Use map of the Reef catchment (2009).</w:t>
      </w:r>
      <w:bookmarkEnd w:id="782"/>
    </w:p>
    <w:p w14:paraId="15721879" w14:textId="77777777" w:rsidR="008A4B4F" w:rsidRDefault="008A4B4F" w:rsidP="00015606">
      <w:pPr>
        <w:pStyle w:val="Heading1"/>
        <w:sectPr w:rsidR="008A4B4F" w:rsidSect="00515CEF">
          <w:pgSz w:w="11906" w:h="16838" w:code="9"/>
          <w:pgMar w:top="720" w:right="720" w:bottom="720" w:left="720" w:header="709" w:footer="709" w:gutter="0"/>
          <w:cols w:space="708"/>
          <w:docGrid w:linePitch="360"/>
        </w:sectPr>
      </w:pPr>
    </w:p>
    <w:p w14:paraId="1572187A" w14:textId="77777777" w:rsidR="0059608E" w:rsidRPr="00B81693" w:rsidRDefault="00097E35" w:rsidP="00C60B74">
      <w:pPr>
        <w:pStyle w:val="Heading7"/>
        <w:spacing w:after="240"/>
        <w:ind w:left="425" w:hanging="425"/>
      </w:pPr>
      <w:bookmarkStart w:id="783" w:name="_Ref480727144"/>
      <w:bookmarkStart w:id="784" w:name="_Ref480727236"/>
      <w:bookmarkStart w:id="785" w:name="_Ref480727353"/>
      <w:bookmarkStart w:id="786" w:name="_Ref480727368"/>
      <w:bookmarkStart w:id="787" w:name="_Ref480727672"/>
      <w:bookmarkStart w:id="788" w:name="_Ref480739067"/>
      <w:bookmarkStart w:id="789" w:name="_Ref480911002"/>
      <w:bookmarkStart w:id="790" w:name="_Toc502500031"/>
      <w:bookmarkEnd w:id="777"/>
      <w:r>
        <w:t>Supplemental</w:t>
      </w:r>
      <w:r w:rsidRPr="00097E35">
        <w:t xml:space="preserve"> information on pressures</w:t>
      </w:r>
      <w:bookmarkEnd w:id="783"/>
      <w:bookmarkEnd w:id="784"/>
      <w:bookmarkEnd w:id="785"/>
      <w:bookmarkEnd w:id="786"/>
      <w:bookmarkEnd w:id="787"/>
      <w:bookmarkEnd w:id="788"/>
      <w:bookmarkEnd w:id="789"/>
      <w:bookmarkEnd w:id="790"/>
    </w:p>
    <w:p w14:paraId="333931BE" w14:textId="77777777" w:rsidR="00CE1BA0" w:rsidRPr="00CE1BA0" w:rsidRDefault="00CE1BA0" w:rsidP="00CE1BA0">
      <w:pPr>
        <w:rPr>
          <w:sz w:val="16"/>
          <w:szCs w:val="16"/>
        </w:rPr>
      </w:pPr>
      <w:bookmarkStart w:id="791" w:name="_Ref480727661"/>
      <w:bookmarkStart w:id="792" w:name="_Toc502499815"/>
    </w:p>
    <w:p w14:paraId="1572187B" w14:textId="2D3CA715" w:rsidR="0014321B" w:rsidRDefault="002A20D5" w:rsidP="002A20D5">
      <w:pPr>
        <w:pStyle w:val="Caption"/>
        <w:rPr>
          <w:b w:val="0"/>
        </w:rPr>
      </w:pPr>
      <w:r>
        <w:t xml:space="preserve">Table </w:t>
      </w:r>
      <w:r w:rsidR="00C91BF5">
        <w:fldChar w:fldCharType="begin"/>
      </w:r>
      <w:r w:rsidR="008C60F9">
        <w:instrText xml:space="preserve"> STYLEREF 7 \s </w:instrText>
      </w:r>
      <w:r w:rsidR="00C91BF5">
        <w:fldChar w:fldCharType="separate"/>
      </w:r>
      <w:r w:rsidR="00D12276">
        <w:rPr>
          <w:noProof/>
        </w:rPr>
        <w:t>E</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1</w:t>
      </w:r>
      <w:r w:rsidR="00C91BF5">
        <w:fldChar w:fldCharType="end"/>
      </w:r>
      <w:bookmarkEnd w:id="791"/>
      <w:r>
        <w:t xml:space="preserve">: </w:t>
      </w:r>
      <w:r w:rsidR="00B578F3">
        <w:rPr>
          <w:b w:val="0"/>
        </w:rPr>
        <w:t>Wet season discharge (ML</w:t>
      </w:r>
      <w:r w:rsidR="00B578F3" w:rsidRPr="00B578F3">
        <w:rPr>
          <w:b w:val="0"/>
        </w:rPr>
        <w:t xml:space="preserve">) of the main </w:t>
      </w:r>
      <w:r w:rsidR="00C2486C">
        <w:rPr>
          <w:b w:val="0"/>
        </w:rPr>
        <w:t>Reef</w:t>
      </w:r>
      <w:r w:rsidR="00B578F3" w:rsidRPr="00B578F3">
        <w:rPr>
          <w:b w:val="0"/>
        </w:rPr>
        <w:t xml:space="preserve"> rivers (c.a., November 2015 to April 2016, inclusive), compared </w:t>
      </w:r>
      <w:r w:rsidR="00FB747B">
        <w:rPr>
          <w:b w:val="0"/>
        </w:rPr>
        <w:t>to</w:t>
      </w:r>
      <w:r w:rsidR="00B578F3" w:rsidRPr="00B578F3">
        <w:rPr>
          <w:b w:val="0"/>
        </w:rPr>
        <w:t xml:space="preserve"> the previous </w:t>
      </w:r>
      <w:r w:rsidR="00C2486C">
        <w:rPr>
          <w:b w:val="0"/>
        </w:rPr>
        <w:t>five</w:t>
      </w:r>
      <w:r w:rsidR="00B578F3" w:rsidRPr="00B578F3">
        <w:rPr>
          <w:b w:val="0"/>
        </w:rPr>
        <w:t xml:space="preserve"> wet seasons and long-term (LT) median discharge (</w:t>
      </w:r>
      <w:r w:rsidR="00C2486C">
        <w:rPr>
          <w:b w:val="0"/>
        </w:rPr>
        <w:t>1986-2016</w:t>
      </w:r>
      <w:r w:rsidR="00B578F3" w:rsidRPr="00B578F3">
        <w:rPr>
          <w:b w:val="0"/>
        </w:rPr>
        <w:t>). Colours indicate levels above the long-term median: yellow for 1.5 to 2 times; orange for 2 to 3 times, and red for greater than 3 times. Data source: DNRM</w:t>
      </w:r>
      <w:r w:rsidR="00B578F3">
        <w:rPr>
          <w:b w:val="0"/>
        </w:rPr>
        <w:t xml:space="preserve">, table derived from </w:t>
      </w:r>
      <w:r w:rsidR="00C91BF5">
        <w:rPr>
          <w:b w:val="0"/>
        </w:rPr>
        <w:fldChar w:fldCharType="begin"/>
      </w:r>
      <w:r w:rsidR="00216883">
        <w:rPr>
          <w:b w:val="0"/>
        </w:rPr>
        <w:instrText xml:space="preserve"> ADDIN EN.CITE &lt;EndNote&gt;&lt;Cite AuthorYear="1"&gt;&lt;Author&gt;Waterhouse&lt;/Author&gt;&lt;Year&gt;2017&lt;/Year&gt;&lt;RecNum&gt;39&lt;/RecNum&gt;&lt;DisplayText&gt;Waterhouse et al. (2017b)&lt;/DisplayText&gt;&lt;record&gt;&lt;rec-number&gt;39&lt;/rec-number&gt;&lt;foreign-keys&gt;&lt;key app="EN" db-id="vvtrt2pt4xpx5teta99vvtwg50vzve2aexae" timestamp="1493157370"&gt;39&lt;/key&gt;&lt;/foreign-keys&gt;&lt;ref-type name="Statute"&gt;31&lt;/ref-type&gt;&lt;contributors&gt;&lt;authors&gt;&lt;author&gt;Waterhouse, J.&lt;/author&gt;&lt;author&gt;Lønborg, C&lt;/author&gt;&lt;author&gt;Logan, M&lt;/author&gt;&lt;author&gt;Petus, C&lt;/author&gt;&lt;author&gt;Tracey, &lt;/author&gt;&lt;author&gt; Lewis, S&lt;/author&gt;&lt;author&gt;Tonin, H&lt;/author&gt;&lt;author&gt;Skuza, M&lt;/author&gt;&lt;author&gt;da Silva, E&lt;/author&gt;&lt;author&gt;Carreira, C&lt;/author&gt;&lt;author&gt;Costello, P&lt;/author&gt;&lt;author&gt;Davidson, J&lt;/author&gt;&lt;author&gt;Gunn, K&lt;/author&gt;&lt;author&gt;Wright, M&lt;/author&gt;&lt;author&gt;Zagorskis, I&lt;/author&gt;&lt;author&gt;Brinkman, R&lt;/author&gt;&lt;author&gt;Schaffelke, B&lt;/author&gt;&lt;/authors&gt;&lt;/contributors&gt;&lt;titles&gt;&lt;title&gt;Marine Monitoring Program: Annual Report for inshore water quality monitoring 2015-2016. Report for the Great Barrier Reef Marine Park Authority, Townsville, 227pp&lt;/title&gt;&lt;/titles&gt;&lt;dates&gt;&lt;year&gt;2017&lt;/year&gt;&lt;/dates&gt;&lt;urls&gt;&lt;/urls&gt;&lt;/record&gt;&lt;/Cite&gt;&lt;/EndNote&gt;</w:instrText>
      </w:r>
      <w:r w:rsidR="00C91BF5">
        <w:rPr>
          <w:b w:val="0"/>
        </w:rPr>
        <w:fldChar w:fldCharType="separate"/>
      </w:r>
      <w:r w:rsidR="00216883">
        <w:rPr>
          <w:b w:val="0"/>
          <w:noProof/>
        </w:rPr>
        <w:t>Waterhouse et al. (2017b)</w:t>
      </w:r>
      <w:r w:rsidR="00C91BF5">
        <w:rPr>
          <w:b w:val="0"/>
        </w:rPr>
        <w:fldChar w:fldCharType="end"/>
      </w:r>
      <w:r w:rsidR="00B578F3" w:rsidRPr="00B578F3">
        <w:rPr>
          <w:b w:val="0"/>
        </w:rPr>
        <w:t xml:space="preserve"> (– = data not available).</w:t>
      </w:r>
      <w:bookmarkEnd w:id="792"/>
    </w:p>
    <w:p w14:paraId="1572187C" w14:textId="77777777" w:rsidR="00B578F3" w:rsidRPr="00B578F3" w:rsidRDefault="00B578F3" w:rsidP="00B578F3"/>
    <w:tbl>
      <w:tblPr>
        <w:tblW w:w="10326" w:type="dxa"/>
        <w:tblInd w:w="108" w:type="dxa"/>
        <w:tblLayout w:type="fixed"/>
        <w:tblLook w:val="04A0" w:firstRow="1" w:lastRow="0" w:firstColumn="1" w:lastColumn="0" w:noHBand="0" w:noVBand="1"/>
      </w:tblPr>
      <w:tblGrid>
        <w:gridCol w:w="1877"/>
        <w:gridCol w:w="1191"/>
        <w:gridCol w:w="1219"/>
        <w:gridCol w:w="1275"/>
        <w:gridCol w:w="1191"/>
        <w:gridCol w:w="1191"/>
        <w:gridCol w:w="1191"/>
        <w:gridCol w:w="1191"/>
      </w:tblGrid>
      <w:tr w:rsidR="00F86509" w:rsidRPr="00341B1D" w14:paraId="15721885" w14:textId="77777777" w:rsidTr="00A3394C">
        <w:trPr>
          <w:trHeight w:val="241"/>
        </w:trPr>
        <w:tc>
          <w:tcPr>
            <w:tcW w:w="1877" w:type="dxa"/>
            <w:tcBorders>
              <w:top w:val="single" w:sz="4" w:space="0" w:color="auto"/>
              <w:left w:val="nil"/>
              <w:bottom w:val="double" w:sz="6" w:space="0" w:color="auto"/>
              <w:right w:val="nil"/>
            </w:tcBorders>
            <w:shd w:val="clear" w:color="auto" w:fill="auto"/>
            <w:noWrap/>
            <w:vAlign w:val="center"/>
            <w:hideMark/>
          </w:tcPr>
          <w:p w14:paraId="1572187D" w14:textId="77777777" w:rsidR="00F86509" w:rsidRPr="00341B1D" w:rsidRDefault="00F86509" w:rsidP="00B578F3">
            <w:pPr>
              <w:jc w:val="left"/>
              <w:rPr>
                <w:rFonts w:asciiTheme="minorHAnsi" w:hAnsiTheme="minorHAnsi" w:cstheme="minorHAnsi"/>
                <w:b/>
                <w:bCs/>
                <w:lang w:val="en-AU" w:eastAsia="en-AU"/>
              </w:rPr>
            </w:pPr>
            <w:r w:rsidRPr="00341B1D">
              <w:rPr>
                <w:rFonts w:asciiTheme="minorHAnsi" w:hAnsiTheme="minorHAnsi" w:cstheme="minorHAnsi"/>
                <w:b/>
                <w:bCs/>
                <w:lang w:val="en-AU" w:eastAsia="en-AU"/>
              </w:rPr>
              <w:t>Basin</w:t>
            </w:r>
          </w:p>
        </w:tc>
        <w:tc>
          <w:tcPr>
            <w:tcW w:w="1191" w:type="dxa"/>
            <w:tcBorders>
              <w:top w:val="single" w:sz="4" w:space="0" w:color="auto"/>
              <w:left w:val="nil"/>
              <w:bottom w:val="double" w:sz="6" w:space="0" w:color="auto"/>
              <w:right w:val="nil"/>
            </w:tcBorders>
            <w:shd w:val="clear" w:color="auto" w:fill="auto"/>
            <w:noWrap/>
            <w:vAlign w:val="center"/>
            <w:hideMark/>
          </w:tcPr>
          <w:p w14:paraId="6A60DF22" w14:textId="4C784F9C" w:rsidR="00A3394C" w:rsidRDefault="00F86509" w:rsidP="00B578F3">
            <w:pPr>
              <w:jc w:val="center"/>
              <w:rPr>
                <w:rFonts w:asciiTheme="minorHAnsi" w:hAnsiTheme="minorHAnsi" w:cstheme="minorHAnsi"/>
                <w:b/>
                <w:bCs/>
                <w:lang w:val="en-AU" w:eastAsia="en-AU"/>
              </w:rPr>
            </w:pPr>
            <w:r w:rsidRPr="00341B1D">
              <w:rPr>
                <w:rFonts w:asciiTheme="minorHAnsi" w:hAnsiTheme="minorHAnsi" w:cstheme="minorHAnsi"/>
                <w:b/>
                <w:bCs/>
                <w:lang w:val="en-AU" w:eastAsia="en-AU"/>
              </w:rPr>
              <w:t>LT</w:t>
            </w:r>
          </w:p>
          <w:p w14:paraId="1572187E" w14:textId="3A445440" w:rsidR="00F86509" w:rsidRPr="00341B1D" w:rsidRDefault="00F86509" w:rsidP="00B578F3">
            <w:pPr>
              <w:jc w:val="center"/>
              <w:rPr>
                <w:rFonts w:asciiTheme="minorHAnsi" w:hAnsiTheme="minorHAnsi" w:cstheme="minorHAnsi"/>
                <w:b/>
                <w:bCs/>
                <w:lang w:val="en-AU" w:eastAsia="en-AU"/>
              </w:rPr>
            </w:pPr>
            <w:r w:rsidRPr="00341B1D">
              <w:rPr>
                <w:rFonts w:asciiTheme="minorHAnsi" w:hAnsiTheme="minorHAnsi" w:cstheme="minorHAnsi"/>
                <w:b/>
                <w:bCs/>
                <w:lang w:val="en-AU" w:eastAsia="en-AU"/>
              </w:rPr>
              <w:t>median</w:t>
            </w:r>
          </w:p>
        </w:tc>
        <w:tc>
          <w:tcPr>
            <w:tcW w:w="1219" w:type="dxa"/>
            <w:tcBorders>
              <w:top w:val="single" w:sz="4" w:space="0" w:color="auto"/>
              <w:left w:val="nil"/>
              <w:bottom w:val="double" w:sz="6" w:space="0" w:color="auto"/>
              <w:right w:val="nil"/>
            </w:tcBorders>
            <w:shd w:val="clear" w:color="auto" w:fill="auto"/>
            <w:noWrap/>
            <w:vAlign w:val="center"/>
            <w:hideMark/>
          </w:tcPr>
          <w:p w14:paraId="1572187F" w14:textId="77777777" w:rsidR="00F86509" w:rsidRPr="00341B1D" w:rsidRDefault="00F86509" w:rsidP="00B578F3">
            <w:pPr>
              <w:jc w:val="center"/>
              <w:rPr>
                <w:rFonts w:asciiTheme="minorHAnsi" w:hAnsiTheme="minorHAnsi" w:cstheme="minorHAnsi"/>
                <w:b/>
                <w:bCs/>
                <w:lang w:val="en-AU" w:eastAsia="en-AU"/>
              </w:rPr>
            </w:pPr>
            <w:r w:rsidRPr="00341B1D">
              <w:rPr>
                <w:rFonts w:asciiTheme="minorHAnsi" w:hAnsiTheme="minorHAnsi" w:cstheme="minorHAnsi"/>
                <w:b/>
                <w:bCs/>
                <w:lang w:val="en-AU" w:eastAsia="en-AU"/>
              </w:rPr>
              <w:t>2010 - 2011</w:t>
            </w:r>
          </w:p>
        </w:tc>
        <w:tc>
          <w:tcPr>
            <w:tcW w:w="1275" w:type="dxa"/>
            <w:tcBorders>
              <w:top w:val="single" w:sz="4" w:space="0" w:color="auto"/>
              <w:left w:val="nil"/>
              <w:bottom w:val="double" w:sz="6" w:space="0" w:color="auto"/>
              <w:right w:val="nil"/>
            </w:tcBorders>
            <w:shd w:val="clear" w:color="auto" w:fill="auto"/>
            <w:noWrap/>
            <w:vAlign w:val="center"/>
            <w:hideMark/>
          </w:tcPr>
          <w:p w14:paraId="3E579421" w14:textId="26F0A9DD" w:rsidR="00A3394C" w:rsidRDefault="00F86509" w:rsidP="00B578F3">
            <w:pPr>
              <w:jc w:val="center"/>
              <w:rPr>
                <w:rFonts w:asciiTheme="minorHAnsi" w:hAnsiTheme="minorHAnsi" w:cstheme="minorHAnsi"/>
                <w:b/>
                <w:bCs/>
                <w:lang w:val="en-AU" w:eastAsia="en-AU"/>
              </w:rPr>
            </w:pPr>
            <w:r w:rsidRPr="00341B1D">
              <w:rPr>
                <w:rFonts w:asciiTheme="minorHAnsi" w:hAnsiTheme="minorHAnsi" w:cstheme="minorHAnsi"/>
                <w:b/>
                <w:bCs/>
                <w:lang w:val="en-AU" w:eastAsia="en-AU"/>
              </w:rPr>
              <w:t xml:space="preserve">2011 </w:t>
            </w:r>
            <w:r w:rsidR="00A3394C">
              <w:rPr>
                <w:rFonts w:asciiTheme="minorHAnsi" w:hAnsiTheme="minorHAnsi" w:cstheme="minorHAnsi"/>
                <w:b/>
                <w:bCs/>
                <w:lang w:val="en-AU" w:eastAsia="en-AU"/>
              </w:rPr>
              <w:t>–</w:t>
            </w:r>
            <w:r w:rsidRPr="00341B1D">
              <w:rPr>
                <w:rFonts w:asciiTheme="minorHAnsi" w:hAnsiTheme="minorHAnsi" w:cstheme="minorHAnsi"/>
                <w:b/>
                <w:bCs/>
                <w:lang w:val="en-AU" w:eastAsia="en-AU"/>
              </w:rPr>
              <w:t xml:space="preserve"> </w:t>
            </w:r>
          </w:p>
          <w:p w14:paraId="15721880" w14:textId="1330486F" w:rsidR="00F86509" w:rsidRPr="00341B1D" w:rsidRDefault="00F86509" w:rsidP="00B578F3">
            <w:pPr>
              <w:jc w:val="center"/>
              <w:rPr>
                <w:rFonts w:asciiTheme="minorHAnsi" w:hAnsiTheme="minorHAnsi" w:cstheme="minorHAnsi"/>
                <w:b/>
                <w:bCs/>
                <w:lang w:val="en-AU" w:eastAsia="en-AU"/>
              </w:rPr>
            </w:pPr>
            <w:r w:rsidRPr="00341B1D">
              <w:rPr>
                <w:rFonts w:asciiTheme="minorHAnsi" w:hAnsiTheme="minorHAnsi" w:cstheme="minorHAnsi"/>
                <w:b/>
                <w:bCs/>
                <w:lang w:val="en-AU" w:eastAsia="en-AU"/>
              </w:rPr>
              <w:t>2012</w:t>
            </w:r>
          </w:p>
        </w:tc>
        <w:tc>
          <w:tcPr>
            <w:tcW w:w="1191" w:type="dxa"/>
            <w:tcBorders>
              <w:top w:val="single" w:sz="4" w:space="0" w:color="auto"/>
              <w:left w:val="nil"/>
              <w:bottom w:val="double" w:sz="6" w:space="0" w:color="auto"/>
              <w:right w:val="nil"/>
            </w:tcBorders>
            <w:shd w:val="clear" w:color="auto" w:fill="auto"/>
            <w:noWrap/>
            <w:vAlign w:val="center"/>
            <w:hideMark/>
          </w:tcPr>
          <w:p w14:paraId="15721881" w14:textId="77777777" w:rsidR="00F86509" w:rsidRPr="00341B1D" w:rsidRDefault="00F86509" w:rsidP="00B578F3">
            <w:pPr>
              <w:jc w:val="center"/>
              <w:rPr>
                <w:rFonts w:asciiTheme="minorHAnsi" w:hAnsiTheme="minorHAnsi" w:cstheme="minorHAnsi"/>
                <w:b/>
                <w:bCs/>
                <w:lang w:val="en-AU" w:eastAsia="en-AU"/>
              </w:rPr>
            </w:pPr>
            <w:r w:rsidRPr="00341B1D">
              <w:rPr>
                <w:rFonts w:asciiTheme="minorHAnsi" w:hAnsiTheme="minorHAnsi" w:cstheme="minorHAnsi"/>
                <w:b/>
                <w:bCs/>
                <w:lang w:val="en-AU" w:eastAsia="en-AU"/>
              </w:rPr>
              <w:t>2012 - 2013</w:t>
            </w:r>
          </w:p>
        </w:tc>
        <w:tc>
          <w:tcPr>
            <w:tcW w:w="1191" w:type="dxa"/>
            <w:tcBorders>
              <w:top w:val="single" w:sz="4" w:space="0" w:color="auto"/>
              <w:left w:val="nil"/>
              <w:bottom w:val="double" w:sz="6" w:space="0" w:color="auto"/>
              <w:right w:val="nil"/>
            </w:tcBorders>
            <w:shd w:val="clear" w:color="auto" w:fill="auto"/>
            <w:noWrap/>
            <w:vAlign w:val="center"/>
            <w:hideMark/>
          </w:tcPr>
          <w:p w14:paraId="15721882" w14:textId="77777777" w:rsidR="00F86509" w:rsidRPr="00341B1D" w:rsidRDefault="00F86509" w:rsidP="00B578F3">
            <w:pPr>
              <w:jc w:val="center"/>
              <w:rPr>
                <w:rFonts w:asciiTheme="minorHAnsi" w:hAnsiTheme="minorHAnsi" w:cstheme="minorHAnsi"/>
                <w:b/>
                <w:bCs/>
                <w:lang w:val="en-AU" w:eastAsia="en-AU"/>
              </w:rPr>
            </w:pPr>
            <w:r w:rsidRPr="00341B1D">
              <w:rPr>
                <w:rFonts w:asciiTheme="minorHAnsi" w:hAnsiTheme="minorHAnsi" w:cstheme="minorHAnsi"/>
                <w:b/>
                <w:bCs/>
                <w:lang w:val="en-AU" w:eastAsia="en-AU"/>
              </w:rPr>
              <w:t>2013 - 2014</w:t>
            </w:r>
          </w:p>
        </w:tc>
        <w:tc>
          <w:tcPr>
            <w:tcW w:w="1191" w:type="dxa"/>
            <w:tcBorders>
              <w:top w:val="single" w:sz="4" w:space="0" w:color="auto"/>
              <w:left w:val="nil"/>
              <w:bottom w:val="double" w:sz="6" w:space="0" w:color="auto"/>
              <w:right w:val="nil"/>
            </w:tcBorders>
            <w:shd w:val="clear" w:color="auto" w:fill="auto"/>
            <w:noWrap/>
            <w:vAlign w:val="center"/>
            <w:hideMark/>
          </w:tcPr>
          <w:p w14:paraId="15721883" w14:textId="77777777" w:rsidR="00F86509" w:rsidRPr="00341B1D" w:rsidRDefault="00F86509" w:rsidP="00B578F3">
            <w:pPr>
              <w:jc w:val="center"/>
              <w:rPr>
                <w:rFonts w:asciiTheme="minorHAnsi" w:hAnsiTheme="minorHAnsi" w:cstheme="minorHAnsi"/>
                <w:b/>
                <w:bCs/>
                <w:lang w:val="en-AU" w:eastAsia="en-AU"/>
              </w:rPr>
            </w:pPr>
            <w:r w:rsidRPr="00341B1D">
              <w:rPr>
                <w:rFonts w:asciiTheme="minorHAnsi" w:hAnsiTheme="minorHAnsi" w:cstheme="minorHAnsi"/>
                <w:b/>
                <w:bCs/>
                <w:lang w:val="en-AU" w:eastAsia="en-AU"/>
              </w:rPr>
              <w:t>2014 - 2015</w:t>
            </w:r>
          </w:p>
        </w:tc>
        <w:tc>
          <w:tcPr>
            <w:tcW w:w="1191" w:type="dxa"/>
            <w:tcBorders>
              <w:top w:val="single" w:sz="4" w:space="0" w:color="auto"/>
              <w:left w:val="nil"/>
              <w:bottom w:val="double" w:sz="6" w:space="0" w:color="auto"/>
              <w:right w:val="nil"/>
            </w:tcBorders>
            <w:shd w:val="clear" w:color="auto" w:fill="auto"/>
            <w:noWrap/>
            <w:vAlign w:val="center"/>
            <w:hideMark/>
          </w:tcPr>
          <w:p w14:paraId="15721884" w14:textId="77777777" w:rsidR="00F86509" w:rsidRPr="00341B1D" w:rsidRDefault="00F86509" w:rsidP="00B578F3">
            <w:pPr>
              <w:jc w:val="center"/>
              <w:rPr>
                <w:rFonts w:asciiTheme="minorHAnsi" w:hAnsiTheme="minorHAnsi" w:cstheme="minorHAnsi"/>
                <w:b/>
                <w:bCs/>
                <w:lang w:val="en-AU" w:eastAsia="en-AU"/>
              </w:rPr>
            </w:pPr>
            <w:r w:rsidRPr="00341B1D">
              <w:rPr>
                <w:rFonts w:asciiTheme="minorHAnsi" w:hAnsiTheme="minorHAnsi" w:cstheme="minorHAnsi"/>
                <w:b/>
                <w:bCs/>
                <w:lang w:val="en-AU" w:eastAsia="en-AU"/>
              </w:rPr>
              <w:t>2015 - 2016</w:t>
            </w:r>
          </w:p>
        </w:tc>
      </w:tr>
      <w:tr w:rsidR="00F86509" w:rsidRPr="00341B1D" w14:paraId="1572188E" w14:textId="77777777" w:rsidTr="00A3394C">
        <w:trPr>
          <w:trHeight w:val="270"/>
        </w:trPr>
        <w:tc>
          <w:tcPr>
            <w:tcW w:w="1877" w:type="dxa"/>
            <w:tcBorders>
              <w:top w:val="nil"/>
              <w:left w:val="nil"/>
              <w:bottom w:val="nil"/>
              <w:right w:val="nil"/>
            </w:tcBorders>
            <w:shd w:val="clear" w:color="auto" w:fill="auto"/>
            <w:noWrap/>
            <w:vAlign w:val="center"/>
            <w:hideMark/>
          </w:tcPr>
          <w:p w14:paraId="15721886"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Jacky Jacky Creek</w:t>
            </w:r>
          </w:p>
        </w:tc>
        <w:tc>
          <w:tcPr>
            <w:tcW w:w="1191" w:type="dxa"/>
            <w:tcBorders>
              <w:top w:val="nil"/>
              <w:left w:val="nil"/>
              <w:bottom w:val="nil"/>
              <w:right w:val="nil"/>
            </w:tcBorders>
            <w:shd w:val="clear" w:color="auto" w:fill="auto"/>
            <w:noWrap/>
            <w:vAlign w:val="center"/>
            <w:hideMark/>
          </w:tcPr>
          <w:p w14:paraId="1572188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2,021,488</w:t>
            </w:r>
          </w:p>
        </w:tc>
        <w:tc>
          <w:tcPr>
            <w:tcW w:w="1219" w:type="dxa"/>
            <w:tcBorders>
              <w:top w:val="nil"/>
              <w:left w:val="nil"/>
              <w:bottom w:val="nil"/>
              <w:right w:val="nil"/>
            </w:tcBorders>
            <w:shd w:val="clear" w:color="auto" w:fill="FF9900"/>
            <w:noWrap/>
            <w:vAlign w:val="center"/>
            <w:hideMark/>
          </w:tcPr>
          <w:p w14:paraId="1572188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4,735,197</w:t>
            </w:r>
          </w:p>
        </w:tc>
        <w:tc>
          <w:tcPr>
            <w:tcW w:w="1275" w:type="dxa"/>
            <w:tcBorders>
              <w:top w:val="nil"/>
              <w:left w:val="nil"/>
              <w:bottom w:val="nil"/>
              <w:right w:val="nil"/>
            </w:tcBorders>
            <w:shd w:val="clear" w:color="auto" w:fill="auto"/>
            <w:noWrap/>
            <w:vAlign w:val="center"/>
            <w:hideMark/>
          </w:tcPr>
          <w:p w14:paraId="1572188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1,820,422</w:t>
            </w:r>
          </w:p>
        </w:tc>
        <w:tc>
          <w:tcPr>
            <w:tcW w:w="1191" w:type="dxa"/>
            <w:tcBorders>
              <w:top w:val="nil"/>
              <w:left w:val="nil"/>
              <w:bottom w:val="nil"/>
              <w:right w:val="nil"/>
            </w:tcBorders>
            <w:shd w:val="clear" w:color="auto" w:fill="auto"/>
            <w:noWrap/>
            <w:vAlign w:val="center"/>
            <w:hideMark/>
          </w:tcPr>
          <w:p w14:paraId="1572188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1,986,825</w:t>
            </w:r>
          </w:p>
        </w:tc>
        <w:tc>
          <w:tcPr>
            <w:tcW w:w="1191" w:type="dxa"/>
            <w:tcBorders>
              <w:top w:val="nil"/>
              <w:left w:val="nil"/>
              <w:bottom w:val="nil"/>
              <w:right w:val="nil"/>
            </w:tcBorders>
            <w:shd w:val="clear" w:color="auto" w:fill="FFFF00"/>
            <w:noWrap/>
            <w:vAlign w:val="center"/>
            <w:hideMark/>
          </w:tcPr>
          <w:p w14:paraId="1572188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3,790,832</w:t>
            </w:r>
          </w:p>
        </w:tc>
        <w:tc>
          <w:tcPr>
            <w:tcW w:w="1191" w:type="dxa"/>
            <w:tcBorders>
              <w:top w:val="nil"/>
              <w:left w:val="nil"/>
              <w:bottom w:val="nil"/>
              <w:right w:val="nil"/>
            </w:tcBorders>
            <w:shd w:val="clear" w:color="auto" w:fill="auto"/>
            <w:noWrap/>
            <w:vAlign w:val="center"/>
            <w:hideMark/>
          </w:tcPr>
          <w:p w14:paraId="1572188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1,498,138</w:t>
            </w:r>
          </w:p>
        </w:tc>
        <w:tc>
          <w:tcPr>
            <w:tcW w:w="1191" w:type="dxa"/>
            <w:tcBorders>
              <w:top w:val="nil"/>
              <w:left w:val="nil"/>
              <w:bottom w:val="nil"/>
              <w:right w:val="nil"/>
            </w:tcBorders>
            <w:shd w:val="clear" w:color="auto" w:fill="auto"/>
            <w:noWrap/>
            <w:vAlign w:val="center"/>
            <w:hideMark/>
          </w:tcPr>
          <w:p w14:paraId="1572188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630,787</w:t>
            </w:r>
          </w:p>
        </w:tc>
      </w:tr>
      <w:tr w:rsidR="00F86509" w:rsidRPr="00341B1D" w14:paraId="15721897" w14:textId="77777777" w:rsidTr="00A3394C">
        <w:trPr>
          <w:trHeight w:val="255"/>
        </w:trPr>
        <w:tc>
          <w:tcPr>
            <w:tcW w:w="1877" w:type="dxa"/>
            <w:tcBorders>
              <w:top w:val="nil"/>
              <w:left w:val="nil"/>
              <w:bottom w:val="nil"/>
              <w:right w:val="nil"/>
            </w:tcBorders>
            <w:shd w:val="clear" w:color="auto" w:fill="auto"/>
            <w:noWrap/>
            <w:vAlign w:val="center"/>
            <w:hideMark/>
          </w:tcPr>
          <w:p w14:paraId="1572188F"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Olive Pascoe River</w:t>
            </w:r>
          </w:p>
        </w:tc>
        <w:tc>
          <w:tcPr>
            <w:tcW w:w="1191" w:type="dxa"/>
            <w:tcBorders>
              <w:top w:val="nil"/>
              <w:left w:val="nil"/>
              <w:bottom w:val="nil"/>
              <w:right w:val="nil"/>
            </w:tcBorders>
            <w:shd w:val="clear" w:color="auto" w:fill="auto"/>
            <w:noWrap/>
            <w:vAlign w:val="center"/>
            <w:hideMark/>
          </w:tcPr>
          <w:p w14:paraId="1572189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2,526,860</w:t>
            </w:r>
          </w:p>
        </w:tc>
        <w:tc>
          <w:tcPr>
            <w:tcW w:w="1219" w:type="dxa"/>
            <w:tcBorders>
              <w:top w:val="nil"/>
              <w:left w:val="nil"/>
              <w:bottom w:val="nil"/>
              <w:right w:val="nil"/>
            </w:tcBorders>
            <w:shd w:val="clear" w:color="auto" w:fill="FF9900"/>
            <w:noWrap/>
            <w:vAlign w:val="center"/>
            <w:hideMark/>
          </w:tcPr>
          <w:p w14:paraId="1572189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5,918,996</w:t>
            </w:r>
          </w:p>
        </w:tc>
        <w:tc>
          <w:tcPr>
            <w:tcW w:w="1275" w:type="dxa"/>
            <w:tcBorders>
              <w:top w:val="nil"/>
              <w:left w:val="nil"/>
              <w:bottom w:val="nil"/>
              <w:right w:val="nil"/>
            </w:tcBorders>
            <w:shd w:val="clear" w:color="auto" w:fill="auto"/>
            <w:noWrap/>
            <w:vAlign w:val="center"/>
            <w:hideMark/>
          </w:tcPr>
          <w:p w14:paraId="1572189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2,275,527</w:t>
            </w:r>
          </w:p>
        </w:tc>
        <w:tc>
          <w:tcPr>
            <w:tcW w:w="1191" w:type="dxa"/>
            <w:tcBorders>
              <w:top w:val="nil"/>
              <w:left w:val="nil"/>
              <w:bottom w:val="nil"/>
              <w:right w:val="nil"/>
            </w:tcBorders>
            <w:shd w:val="clear" w:color="auto" w:fill="auto"/>
            <w:noWrap/>
            <w:vAlign w:val="center"/>
            <w:hideMark/>
          </w:tcPr>
          <w:p w14:paraId="1572189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2,483,531</w:t>
            </w:r>
          </w:p>
        </w:tc>
        <w:tc>
          <w:tcPr>
            <w:tcW w:w="1191" w:type="dxa"/>
            <w:tcBorders>
              <w:top w:val="nil"/>
              <w:left w:val="nil"/>
              <w:bottom w:val="nil"/>
              <w:right w:val="nil"/>
            </w:tcBorders>
            <w:shd w:val="clear" w:color="auto" w:fill="FFFF00"/>
            <w:noWrap/>
            <w:vAlign w:val="center"/>
            <w:hideMark/>
          </w:tcPr>
          <w:p w14:paraId="1572189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4,738,541</w:t>
            </w:r>
          </w:p>
        </w:tc>
        <w:tc>
          <w:tcPr>
            <w:tcW w:w="1191" w:type="dxa"/>
            <w:tcBorders>
              <w:top w:val="nil"/>
              <w:left w:val="nil"/>
              <w:bottom w:val="nil"/>
              <w:right w:val="nil"/>
            </w:tcBorders>
            <w:shd w:val="clear" w:color="auto" w:fill="auto"/>
            <w:noWrap/>
            <w:vAlign w:val="center"/>
            <w:hideMark/>
          </w:tcPr>
          <w:p w14:paraId="1572189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1,872,672</w:t>
            </w:r>
          </w:p>
        </w:tc>
        <w:tc>
          <w:tcPr>
            <w:tcW w:w="1191" w:type="dxa"/>
            <w:tcBorders>
              <w:top w:val="nil"/>
              <w:left w:val="nil"/>
              <w:bottom w:val="nil"/>
              <w:right w:val="nil"/>
            </w:tcBorders>
            <w:shd w:val="clear" w:color="auto" w:fill="auto"/>
            <w:noWrap/>
            <w:vAlign w:val="center"/>
            <w:hideMark/>
          </w:tcPr>
          <w:p w14:paraId="1572189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788,484</w:t>
            </w:r>
          </w:p>
        </w:tc>
      </w:tr>
      <w:tr w:rsidR="00F86509" w:rsidRPr="00341B1D" w14:paraId="157218A0" w14:textId="77777777" w:rsidTr="00A3394C">
        <w:trPr>
          <w:trHeight w:val="255"/>
        </w:trPr>
        <w:tc>
          <w:tcPr>
            <w:tcW w:w="1877" w:type="dxa"/>
            <w:tcBorders>
              <w:top w:val="nil"/>
              <w:left w:val="nil"/>
              <w:bottom w:val="nil"/>
              <w:right w:val="nil"/>
            </w:tcBorders>
            <w:shd w:val="clear" w:color="auto" w:fill="auto"/>
            <w:noWrap/>
            <w:vAlign w:val="center"/>
            <w:hideMark/>
          </w:tcPr>
          <w:p w14:paraId="15721898"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Lockhart River</w:t>
            </w:r>
          </w:p>
        </w:tc>
        <w:tc>
          <w:tcPr>
            <w:tcW w:w="1191" w:type="dxa"/>
            <w:tcBorders>
              <w:top w:val="nil"/>
              <w:left w:val="nil"/>
              <w:bottom w:val="nil"/>
              <w:right w:val="nil"/>
            </w:tcBorders>
            <w:shd w:val="clear" w:color="auto" w:fill="auto"/>
            <w:noWrap/>
            <w:vAlign w:val="center"/>
            <w:hideMark/>
          </w:tcPr>
          <w:p w14:paraId="1572189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1,600,345</w:t>
            </w:r>
          </w:p>
        </w:tc>
        <w:tc>
          <w:tcPr>
            <w:tcW w:w="1219" w:type="dxa"/>
            <w:tcBorders>
              <w:top w:val="nil"/>
              <w:left w:val="nil"/>
              <w:bottom w:val="nil"/>
              <w:right w:val="nil"/>
            </w:tcBorders>
            <w:shd w:val="clear" w:color="auto" w:fill="FF9900"/>
            <w:noWrap/>
            <w:vAlign w:val="center"/>
            <w:hideMark/>
          </w:tcPr>
          <w:p w14:paraId="1572189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3,748,697</w:t>
            </w:r>
          </w:p>
        </w:tc>
        <w:tc>
          <w:tcPr>
            <w:tcW w:w="1275" w:type="dxa"/>
            <w:tcBorders>
              <w:top w:val="nil"/>
              <w:left w:val="nil"/>
              <w:bottom w:val="nil"/>
              <w:right w:val="nil"/>
            </w:tcBorders>
            <w:shd w:val="clear" w:color="auto" w:fill="auto"/>
            <w:noWrap/>
            <w:vAlign w:val="center"/>
            <w:hideMark/>
          </w:tcPr>
          <w:p w14:paraId="1572189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1,441,167</w:t>
            </w:r>
          </w:p>
        </w:tc>
        <w:tc>
          <w:tcPr>
            <w:tcW w:w="1191" w:type="dxa"/>
            <w:tcBorders>
              <w:top w:val="nil"/>
              <w:left w:val="nil"/>
              <w:bottom w:val="nil"/>
              <w:right w:val="nil"/>
            </w:tcBorders>
            <w:shd w:val="clear" w:color="auto" w:fill="auto"/>
            <w:noWrap/>
            <w:vAlign w:val="center"/>
            <w:hideMark/>
          </w:tcPr>
          <w:p w14:paraId="1572189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1,572,903</w:t>
            </w:r>
          </w:p>
        </w:tc>
        <w:tc>
          <w:tcPr>
            <w:tcW w:w="1191" w:type="dxa"/>
            <w:tcBorders>
              <w:top w:val="nil"/>
              <w:left w:val="nil"/>
              <w:bottom w:val="nil"/>
              <w:right w:val="nil"/>
            </w:tcBorders>
            <w:shd w:val="clear" w:color="auto" w:fill="FFFF00"/>
            <w:noWrap/>
            <w:vAlign w:val="center"/>
            <w:hideMark/>
          </w:tcPr>
          <w:p w14:paraId="1572189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3,001,076</w:t>
            </w:r>
          </w:p>
        </w:tc>
        <w:tc>
          <w:tcPr>
            <w:tcW w:w="1191" w:type="dxa"/>
            <w:tcBorders>
              <w:top w:val="nil"/>
              <w:left w:val="nil"/>
              <w:bottom w:val="nil"/>
              <w:right w:val="nil"/>
            </w:tcBorders>
            <w:shd w:val="clear" w:color="auto" w:fill="auto"/>
            <w:noWrap/>
            <w:vAlign w:val="center"/>
            <w:hideMark/>
          </w:tcPr>
          <w:p w14:paraId="1572189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1,186,026</w:t>
            </w:r>
          </w:p>
        </w:tc>
        <w:tc>
          <w:tcPr>
            <w:tcW w:w="1191" w:type="dxa"/>
            <w:tcBorders>
              <w:top w:val="nil"/>
              <w:left w:val="nil"/>
              <w:bottom w:val="nil"/>
              <w:right w:val="nil"/>
            </w:tcBorders>
            <w:shd w:val="clear" w:color="auto" w:fill="auto"/>
            <w:noWrap/>
            <w:vAlign w:val="center"/>
            <w:hideMark/>
          </w:tcPr>
          <w:p w14:paraId="1572189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499,373</w:t>
            </w:r>
          </w:p>
        </w:tc>
      </w:tr>
      <w:tr w:rsidR="00F86509" w:rsidRPr="00341B1D" w14:paraId="157218A9" w14:textId="77777777" w:rsidTr="00A3394C">
        <w:trPr>
          <w:trHeight w:val="255"/>
        </w:trPr>
        <w:tc>
          <w:tcPr>
            <w:tcW w:w="1877" w:type="dxa"/>
            <w:tcBorders>
              <w:top w:val="nil"/>
              <w:left w:val="nil"/>
              <w:bottom w:val="nil"/>
              <w:right w:val="nil"/>
            </w:tcBorders>
            <w:shd w:val="clear" w:color="auto" w:fill="auto"/>
            <w:noWrap/>
            <w:vAlign w:val="center"/>
            <w:hideMark/>
          </w:tcPr>
          <w:p w14:paraId="157218A1"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Stewart River</w:t>
            </w:r>
          </w:p>
        </w:tc>
        <w:tc>
          <w:tcPr>
            <w:tcW w:w="1191" w:type="dxa"/>
            <w:tcBorders>
              <w:top w:val="nil"/>
              <w:left w:val="nil"/>
              <w:bottom w:val="nil"/>
              <w:right w:val="nil"/>
            </w:tcBorders>
            <w:shd w:val="clear" w:color="auto" w:fill="auto"/>
            <w:noWrap/>
            <w:vAlign w:val="center"/>
            <w:hideMark/>
          </w:tcPr>
          <w:p w14:paraId="157218A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674,618</w:t>
            </w:r>
          </w:p>
        </w:tc>
        <w:tc>
          <w:tcPr>
            <w:tcW w:w="1219" w:type="dxa"/>
            <w:tcBorders>
              <w:top w:val="nil"/>
              <w:left w:val="nil"/>
              <w:bottom w:val="nil"/>
              <w:right w:val="nil"/>
            </w:tcBorders>
            <w:shd w:val="clear" w:color="auto" w:fill="FF0000"/>
            <w:noWrap/>
            <w:vAlign w:val="center"/>
            <w:hideMark/>
          </w:tcPr>
          <w:p w14:paraId="157218A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2,180,850</w:t>
            </w:r>
          </w:p>
        </w:tc>
        <w:tc>
          <w:tcPr>
            <w:tcW w:w="1275" w:type="dxa"/>
            <w:tcBorders>
              <w:top w:val="nil"/>
              <w:left w:val="nil"/>
              <w:bottom w:val="nil"/>
              <w:right w:val="nil"/>
            </w:tcBorders>
            <w:shd w:val="clear" w:color="auto" w:fill="auto"/>
            <w:noWrap/>
            <w:vAlign w:val="center"/>
            <w:hideMark/>
          </w:tcPr>
          <w:p w14:paraId="157218A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616,070</w:t>
            </w:r>
          </w:p>
        </w:tc>
        <w:tc>
          <w:tcPr>
            <w:tcW w:w="1191" w:type="dxa"/>
            <w:tcBorders>
              <w:top w:val="nil"/>
              <w:left w:val="nil"/>
              <w:bottom w:val="nil"/>
              <w:right w:val="nil"/>
            </w:tcBorders>
            <w:shd w:val="clear" w:color="auto" w:fill="auto"/>
            <w:noWrap/>
            <w:vAlign w:val="center"/>
            <w:hideMark/>
          </w:tcPr>
          <w:p w14:paraId="157218A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523,353</w:t>
            </w:r>
          </w:p>
        </w:tc>
        <w:tc>
          <w:tcPr>
            <w:tcW w:w="1191" w:type="dxa"/>
            <w:tcBorders>
              <w:top w:val="nil"/>
              <w:left w:val="nil"/>
              <w:bottom w:val="nil"/>
              <w:right w:val="nil"/>
            </w:tcBorders>
            <w:shd w:val="clear" w:color="auto" w:fill="FFFF00"/>
            <w:noWrap/>
            <w:vAlign w:val="center"/>
            <w:hideMark/>
          </w:tcPr>
          <w:p w14:paraId="157218A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1,311,775</w:t>
            </w:r>
          </w:p>
        </w:tc>
        <w:tc>
          <w:tcPr>
            <w:tcW w:w="1191" w:type="dxa"/>
            <w:tcBorders>
              <w:top w:val="nil"/>
              <w:left w:val="nil"/>
              <w:bottom w:val="nil"/>
              <w:right w:val="nil"/>
            </w:tcBorders>
            <w:shd w:val="clear" w:color="auto" w:fill="auto"/>
            <w:noWrap/>
            <w:vAlign w:val="center"/>
            <w:hideMark/>
          </w:tcPr>
          <w:p w14:paraId="157218A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298,816</w:t>
            </w:r>
          </w:p>
        </w:tc>
        <w:tc>
          <w:tcPr>
            <w:tcW w:w="1191" w:type="dxa"/>
            <w:tcBorders>
              <w:top w:val="nil"/>
              <w:left w:val="nil"/>
              <w:bottom w:val="nil"/>
              <w:right w:val="nil"/>
            </w:tcBorders>
            <w:shd w:val="clear" w:color="auto" w:fill="auto"/>
            <w:noWrap/>
            <w:vAlign w:val="center"/>
            <w:hideMark/>
          </w:tcPr>
          <w:p w14:paraId="157218A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311,901</w:t>
            </w:r>
          </w:p>
        </w:tc>
      </w:tr>
      <w:tr w:rsidR="00F86509" w:rsidRPr="00341B1D" w14:paraId="157218B2" w14:textId="77777777" w:rsidTr="00A3394C">
        <w:trPr>
          <w:trHeight w:val="255"/>
        </w:trPr>
        <w:tc>
          <w:tcPr>
            <w:tcW w:w="1877" w:type="dxa"/>
            <w:tcBorders>
              <w:top w:val="nil"/>
              <w:left w:val="nil"/>
              <w:bottom w:val="nil"/>
              <w:right w:val="nil"/>
            </w:tcBorders>
            <w:shd w:val="clear" w:color="auto" w:fill="auto"/>
            <w:noWrap/>
            <w:vAlign w:val="center"/>
            <w:hideMark/>
          </w:tcPr>
          <w:p w14:paraId="157218AA"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Normanby River</w:t>
            </w:r>
          </w:p>
        </w:tc>
        <w:tc>
          <w:tcPr>
            <w:tcW w:w="1191" w:type="dxa"/>
            <w:tcBorders>
              <w:top w:val="nil"/>
              <w:left w:val="nil"/>
              <w:bottom w:val="nil"/>
              <w:right w:val="nil"/>
            </w:tcBorders>
            <w:shd w:val="clear" w:color="auto" w:fill="auto"/>
            <w:noWrap/>
            <w:vAlign w:val="center"/>
            <w:hideMark/>
          </w:tcPr>
          <w:p w14:paraId="157218A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4,159,062</w:t>
            </w:r>
          </w:p>
        </w:tc>
        <w:tc>
          <w:tcPr>
            <w:tcW w:w="1219" w:type="dxa"/>
            <w:tcBorders>
              <w:top w:val="nil"/>
              <w:left w:val="nil"/>
              <w:bottom w:val="nil"/>
              <w:right w:val="nil"/>
            </w:tcBorders>
            <w:shd w:val="clear" w:color="auto" w:fill="FF9900"/>
            <w:noWrap/>
            <w:vAlign w:val="center"/>
            <w:hideMark/>
          </w:tcPr>
          <w:p w14:paraId="157218A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11,333,284</w:t>
            </w:r>
          </w:p>
        </w:tc>
        <w:tc>
          <w:tcPr>
            <w:tcW w:w="1275" w:type="dxa"/>
            <w:tcBorders>
              <w:top w:val="nil"/>
              <w:left w:val="nil"/>
              <w:bottom w:val="nil"/>
              <w:right w:val="nil"/>
            </w:tcBorders>
            <w:shd w:val="clear" w:color="auto" w:fill="auto"/>
            <w:noWrap/>
            <w:vAlign w:val="center"/>
            <w:hideMark/>
          </w:tcPr>
          <w:p w14:paraId="157218A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2,181,990</w:t>
            </w:r>
          </w:p>
        </w:tc>
        <w:tc>
          <w:tcPr>
            <w:tcW w:w="1191" w:type="dxa"/>
            <w:tcBorders>
              <w:top w:val="nil"/>
              <w:left w:val="nil"/>
              <w:bottom w:val="nil"/>
              <w:right w:val="nil"/>
            </w:tcBorders>
            <w:shd w:val="clear" w:color="auto" w:fill="auto"/>
            <w:noWrap/>
            <w:vAlign w:val="center"/>
            <w:hideMark/>
          </w:tcPr>
          <w:p w14:paraId="157218A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3,462,238</w:t>
            </w:r>
          </w:p>
        </w:tc>
        <w:tc>
          <w:tcPr>
            <w:tcW w:w="1191" w:type="dxa"/>
            <w:tcBorders>
              <w:top w:val="nil"/>
              <w:left w:val="nil"/>
              <w:bottom w:val="nil"/>
              <w:right w:val="nil"/>
            </w:tcBorders>
            <w:shd w:val="clear" w:color="auto" w:fill="auto"/>
            <w:noWrap/>
            <w:vAlign w:val="center"/>
            <w:hideMark/>
          </w:tcPr>
          <w:p w14:paraId="157218A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5,059,657</w:t>
            </w:r>
          </w:p>
        </w:tc>
        <w:tc>
          <w:tcPr>
            <w:tcW w:w="1191" w:type="dxa"/>
            <w:tcBorders>
              <w:top w:val="nil"/>
              <w:left w:val="nil"/>
              <w:bottom w:val="nil"/>
              <w:right w:val="nil"/>
            </w:tcBorders>
            <w:shd w:val="clear" w:color="auto" w:fill="auto"/>
            <w:noWrap/>
            <w:vAlign w:val="center"/>
            <w:hideMark/>
          </w:tcPr>
          <w:p w14:paraId="157218B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2,914,859</w:t>
            </w:r>
          </w:p>
        </w:tc>
        <w:tc>
          <w:tcPr>
            <w:tcW w:w="1191" w:type="dxa"/>
            <w:tcBorders>
              <w:top w:val="nil"/>
              <w:left w:val="nil"/>
              <w:bottom w:val="nil"/>
              <w:right w:val="nil"/>
            </w:tcBorders>
            <w:shd w:val="clear" w:color="auto" w:fill="auto"/>
            <w:noWrap/>
            <w:vAlign w:val="center"/>
            <w:hideMark/>
          </w:tcPr>
          <w:p w14:paraId="157218B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3,407,359</w:t>
            </w:r>
          </w:p>
        </w:tc>
      </w:tr>
      <w:tr w:rsidR="00F86509" w:rsidRPr="00341B1D" w14:paraId="157218BB" w14:textId="77777777" w:rsidTr="00A3394C">
        <w:trPr>
          <w:trHeight w:val="255"/>
        </w:trPr>
        <w:tc>
          <w:tcPr>
            <w:tcW w:w="1877" w:type="dxa"/>
            <w:tcBorders>
              <w:top w:val="nil"/>
              <w:left w:val="nil"/>
              <w:bottom w:val="nil"/>
              <w:right w:val="nil"/>
            </w:tcBorders>
            <w:shd w:val="clear" w:color="auto" w:fill="auto"/>
            <w:noWrap/>
            <w:vAlign w:val="center"/>
            <w:hideMark/>
          </w:tcPr>
          <w:p w14:paraId="157218B3"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Jeannie River</w:t>
            </w:r>
          </w:p>
        </w:tc>
        <w:tc>
          <w:tcPr>
            <w:tcW w:w="1191" w:type="dxa"/>
            <w:tcBorders>
              <w:top w:val="nil"/>
              <w:left w:val="nil"/>
              <w:bottom w:val="nil"/>
              <w:right w:val="nil"/>
            </w:tcBorders>
            <w:shd w:val="clear" w:color="auto" w:fill="auto"/>
            <w:noWrap/>
            <w:vAlign w:val="center"/>
            <w:hideMark/>
          </w:tcPr>
          <w:p w14:paraId="157218B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1,263,328</w:t>
            </w:r>
          </w:p>
        </w:tc>
        <w:tc>
          <w:tcPr>
            <w:tcW w:w="1219" w:type="dxa"/>
            <w:tcBorders>
              <w:top w:val="nil"/>
              <w:left w:val="nil"/>
              <w:bottom w:val="nil"/>
              <w:right w:val="nil"/>
            </w:tcBorders>
            <w:shd w:val="clear" w:color="auto" w:fill="FF9900"/>
            <w:noWrap/>
            <w:vAlign w:val="center"/>
            <w:hideMark/>
          </w:tcPr>
          <w:p w14:paraId="157218B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2,824,817</w:t>
            </w:r>
          </w:p>
        </w:tc>
        <w:tc>
          <w:tcPr>
            <w:tcW w:w="1275" w:type="dxa"/>
            <w:tcBorders>
              <w:top w:val="nil"/>
              <w:left w:val="nil"/>
              <w:bottom w:val="nil"/>
              <w:right w:val="nil"/>
            </w:tcBorders>
            <w:shd w:val="clear" w:color="auto" w:fill="auto"/>
            <w:noWrap/>
            <w:vAlign w:val="center"/>
            <w:hideMark/>
          </w:tcPr>
          <w:p w14:paraId="157218B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1,048,269</w:t>
            </w:r>
          </w:p>
        </w:tc>
        <w:tc>
          <w:tcPr>
            <w:tcW w:w="1191" w:type="dxa"/>
            <w:tcBorders>
              <w:top w:val="nil"/>
              <w:left w:val="nil"/>
              <w:bottom w:val="nil"/>
              <w:right w:val="nil"/>
            </w:tcBorders>
            <w:shd w:val="clear" w:color="auto" w:fill="auto"/>
            <w:noWrap/>
            <w:vAlign w:val="center"/>
            <w:hideMark/>
          </w:tcPr>
          <w:p w14:paraId="157218B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695,195</w:t>
            </w:r>
          </w:p>
        </w:tc>
        <w:tc>
          <w:tcPr>
            <w:tcW w:w="1191" w:type="dxa"/>
            <w:tcBorders>
              <w:top w:val="nil"/>
              <w:left w:val="nil"/>
              <w:bottom w:val="nil"/>
              <w:right w:val="nil"/>
            </w:tcBorders>
            <w:shd w:val="clear" w:color="auto" w:fill="FFFF00"/>
            <w:noWrap/>
            <w:vAlign w:val="center"/>
            <w:hideMark/>
          </w:tcPr>
          <w:p w14:paraId="157218B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1,869,982</w:t>
            </w:r>
          </w:p>
        </w:tc>
        <w:tc>
          <w:tcPr>
            <w:tcW w:w="1191" w:type="dxa"/>
            <w:tcBorders>
              <w:top w:val="nil"/>
              <w:left w:val="nil"/>
              <w:bottom w:val="nil"/>
              <w:right w:val="nil"/>
            </w:tcBorders>
            <w:shd w:val="clear" w:color="auto" w:fill="auto"/>
            <w:noWrap/>
            <w:vAlign w:val="center"/>
            <w:hideMark/>
          </w:tcPr>
          <w:p w14:paraId="157218B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1,434,447</w:t>
            </w:r>
          </w:p>
        </w:tc>
        <w:tc>
          <w:tcPr>
            <w:tcW w:w="1191" w:type="dxa"/>
            <w:tcBorders>
              <w:top w:val="nil"/>
              <w:left w:val="nil"/>
              <w:bottom w:val="nil"/>
              <w:right w:val="nil"/>
            </w:tcBorders>
            <w:shd w:val="clear" w:color="auto" w:fill="auto"/>
            <w:noWrap/>
            <w:vAlign w:val="center"/>
            <w:hideMark/>
          </w:tcPr>
          <w:p w14:paraId="157218B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1,581,015</w:t>
            </w:r>
          </w:p>
        </w:tc>
      </w:tr>
      <w:tr w:rsidR="00F86509" w:rsidRPr="00341B1D" w14:paraId="157218C4" w14:textId="77777777" w:rsidTr="00A3394C">
        <w:trPr>
          <w:trHeight w:val="255"/>
        </w:trPr>
        <w:tc>
          <w:tcPr>
            <w:tcW w:w="1877" w:type="dxa"/>
            <w:tcBorders>
              <w:top w:val="nil"/>
              <w:left w:val="nil"/>
              <w:bottom w:val="nil"/>
              <w:right w:val="nil"/>
            </w:tcBorders>
            <w:shd w:val="clear" w:color="auto" w:fill="auto"/>
            <w:noWrap/>
            <w:vAlign w:val="center"/>
            <w:hideMark/>
          </w:tcPr>
          <w:p w14:paraId="157218BC"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Endeavour River</w:t>
            </w:r>
          </w:p>
        </w:tc>
        <w:tc>
          <w:tcPr>
            <w:tcW w:w="1191" w:type="dxa"/>
            <w:tcBorders>
              <w:top w:val="nil"/>
              <w:left w:val="nil"/>
              <w:bottom w:val="nil"/>
              <w:right w:val="nil"/>
            </w:tcBorders>
            <w:shd w:val="clear" w:color="auto" w:fill="auto"/>
            <w:noWrap/>
            <w:vAlign w:val="center"/>
            <w:hideMark/>
          </w:tcPr>
          <w:p w14:paraId="157218B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821,163</w:t>
            </w:r>
          </w:p>
        </w:tc>
        <w:tc>
          <w:tcPr>
            <w:tcW w:w="1219" w:type="dxa"/>
            <w:tcBorders>
              <w:top w:val="nil"/>
              <w:left w:val="nil"/>
              <w:bottom w:val="nil"/>
              <w:right w:val="nil"/>
            </w:tcBorders>
            <w:shd w:val="clear" w:color="auto" w:fill="FF9900"/>
            <w:noWrap/>
            <w:vAlign w:val="center"/>
            <w:hideMark/>
          </w:tcPr>
          <w:p w14:paraId="157218B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1,836,131</w:t>
            </w:r>
          </w:p>
        </w:tc>
        <w:tc>
          <w:tcPr>
            <w:tcW w:w="1275" w:type="dxa"/>
            <w:tcBorders>
              <w:top w:val="nil"/>
              <w:left w:val="nil"/>
              <w:bottom w:val="nil"/>
              <w:right w:val="nil"/>
            </w:tcBorders>
            <w:shd w:val="clear" w:color="auto" w:fill="auto"/>
            <w:noWrap/>
            <w:vAlign w:val="center"/>
            <w:hideMark/>
          </w:tcPr>
          <w:p w14:paraId="157218B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681,375</w:t>
            </w:r>
          </w:p>
        </w:tc>
        <w:tc>
          <w:tcPr>
            <w:tcW w:w="1191" w:type="dxa"/>
            <w:tcBorders>
              <w:top w:val="nil"/>
              <w:left w:val="nil"/>
              <w:bottom w:val="nil"/>
              <w:right w:val="nil"/>
            </w:tcBorders>
            <w:shd w:val="clear" w:color="auto" w:fill="auto"/>
            <w:noWrap/>
            <w:vAlign w:val="center"/>
            <w:hideMark/>
          </w:tcPr>
          <w:p w14:paraId="157218C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451,877</w:t>
            </w:r>
          </w:p>
        </w:tc>
        <w:tc>
          <w:tcPr>
            <w:tcW w:w="1191" w:type="dxa"/>
            <w:tcBorders>
              <w:top w:val="nil"/>
              <w:left w:val="nil"/>
              <w:bottom w:val="nil"/>
              <w:right w:val="nil"/>
            </w:tcBorders>
            <w:shd w:val="clear" w:color="auto" w:fill="FFFF00"/>
            <w:noWrap/>
            <w:vAlign w:val="center"/>
            <w:hideMark/>
          </w:tcPr>
          <w:p w14:paraId="157218C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1,215,488</w:t>
            </w:r>
          </w:p>
        </w:tc>
        <w:tc>
          <w:tcPr>
            <w:tcW w:w="1191" w:type="dxa"/>
            <w:tcBorders>
              <w:top w:val="nil"/>
              <w:left w:val="nil"/>
              <w:bottom w:val="nil"/>
              <w:right w:val="nil"/>
            </w:tcBorders>
            <w:shd w:val="clear" w:color="auto" w:fill="auto"/>
            <w:noWrap/>
            <w:vAlign w:val="center"/>
            <w:hideMark/>
          </w:tcPr>
          <w:p w14:paraId="157218C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932,391</w:t>
            </w:r>
          </w:p>
        </w:tc>
        <w:tc>
          <w:tcPr>
            <w:tcW w:w="1191" w:type="dxa"/>
            <w:tcBorders>
              <w:top w:val="nil"/>
              <w:left w:val="nil"/>
              <w:bottom w:val="nil"/>
              <w:right w:val="nil"/>
            </w:tcBorders>
            <w:shd w:val="clear" w:color="auto" w:fill="auto"/>
            <w:noWrap/>
            <w:vAlign w:val="center"/>
            <w:hideMark/>
          </w:tcPr>
          <w:p w14:paraId="157218C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1,027,660</w:t>
            </w:r>
          </w:p>
        </w:tc>
      </w:tr>
      <w:tr w:rsidR="00F86509" w:rsidRPr="00341B1D" w14:paraId="157218CD" w14:textId="77777777" w:rsidTr="00A3394C">
        <w:trPr>
          <w:trHeight w:val="255"/>
        </w:trPr>
        <w:tc>
          <w:tcPr>
            <w:tcW w:w="1877" w:type="dxa"/>
            <w:tcBorders>
              <w:top w:val="nil"/>
              <w:left w:val="nil"/>
              <w:bottom w:val="nil"/>
              <w:right w:val="nil"/>
            </w:tcBorders>
            <w:shd w:val="clear" w:color="auto" w:fill="auto"/>
            <w:noWrap/>
            <w:vAlign w:val="center"/>
            <w:hideMark/>
          </w:tcPr>
          <w:p w14:paraId="157218C5"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Daintree River</w:t>
            </w:r>
          </w:p>
        </w:tc>
        <w:tc>
          <w:tcPr>
            <w:tcW w:w="1191" w:type="dxa"/>
            <w:tcBorders>
              <w:top w:val="nil"/>
              <w:left w:val="nil"/>
              <w:bottom w:val="nil"/>
              <w:right w:val="nil"/>
            </w:tcBorders>
            <w:shd w:val="clear" w:color="auto" w:fill="auto"/>
            <w:noWrap/>
            <w:vAlign w:val="center"/>
            <w:hideMark/>
          </w:tcPr>
          <w:p w14:paraId="157218C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1,722,934</w:t>
            </w:r>
          </w:p>
        </w:tc>
        <w:tc>
          <w:tcPr>
            <w:tcW w:w="1219" w:type="dxa"/>
            <w:tcBorders>
              <w:top w:val="nil"/>
              <w:left w:val="nil"/>
              <w:bottom w:val="nil"/>
              <w:right w:val="nil"/>
            </w:tcBorders>
            <w:shd w:val="clear" w:color="auto" w:fill="FF9900"/>
            <w:noWrap/>
            <w:vAlign w:val="center"/>
            <w:hideMark/>
          </w:tcPr>
          <w:p w14:paraId="157218C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3,936,470</w:t>
            </w:r>
          </w:p>
        </w:tc>
        <w:tc>
          <w:tcPr>
            <w:tcW w:w="1275" w:type="dxa"/>
            <w:tcBorders>
              <w:top w:val="nil"/>
              <w:left w:val="nil"/>
              <w:bottom w:val="nil"/>
              <w:right w:val="nil"/>
            </w:tcBorders>
            <w:shd w:val="clear" w:color="auto" w:fill="auto"/>
            <w:noWrap/>
            <w:vAlign w:val="center"/>
            <w:hideMark/>
          </w:tcPr>
          <w:p w14:paraId="157218C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2,396,905</w:t>
            </w:r>
          </w:p>
        </w:tc>
        <w:tc>
          <w:tcPr>
            <w:tcW w:w="1191" w:type="dxa"/>
            <w:tcBorders>
              <w:top w:val="nil"/>
              <w:left w:val="nil"/>
              <w:bottom w:val="nil"/>
              <w:right w:val="nil"/>
            </w:tcBorders>
            <w:shd w:val="clear" w:color="auto" w:fill="auto"/>
            <w:noWrap/>
            <w:vAlign w:val="center"/>
            <w:hideMark/>
          </w:tcPr>
          <w:p w14:paraId="157218C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1,668,302</w:t>
            </w:r>
          </w:p>
        </w:tc>
        <w:tc>
          <w:tcPr>
            <w:tcW w:w="1191" w:type="dxa"/>
            <w:tcBorders>
              <w:top w:val="nil"/>
              <w:left w:val="nil"/>
              <w:bottom w:val="nil"/>
              <w:right w:val="nil"/>
            </w:tcBorders>
            <w:shd w:val="clear" w:color="auto" w:fill="FF0000"/>
            <w:noWrap/>
            <w:vAlign w:val="center"/>
            <w:hideMark/>
          </w:tcPr>
          <w:p w14:paraId="157218C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5,137,023</w:t>
            </w:r>
          </w:p>
        </w:tc>
        <w:tc>
          <w:tcPr>
            <w:tcW w:w="1191" w:type="dxa"/>
            <w:tcBorders>
              <w:top w:val="nil"/>
              <w:left w:val="nil"/>
              <w:bottom w:val="nil"/>
              <w:right w:val="nil"/>
            </w:tcBorders>
            <w:shd w:val="clear" w:color="auto" w:fill="auto"/>
            <w:noWrap/>
            <w:vAlign w:val="center"/>
            <w:hideMark/>
          </w:tcPr>
          <w:p w14:paraId="157218C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1,905,224</w:t>
            </w:r>
          </w:p>
        </w:tc>
        <w:tc>
          <w:tcPr>
            <w:tcW w:w="1191" w:type="dxa"/>
            <w:tcBorders>
              <w:top w:val="nil"/>
              <w:left w:val="nil"/>
              <w:bottom w:val="nil"/>
              <w:right w:val="nil"/>
            </w:tcBorders>
            <w:shd w:val="clear" w:color="auto" w:fill="auto"/>
            <w:noWrap/>
            <w:vAlign w:val="center"/>
            <w:hideMark/>
          </w:tcPr>
          <w:p w14:paraId="157218C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1,623,478</w:t>
            </w:r>
          </w:p>
        </w:tc>
      </w:tr>
      <w:tr w:rsidR="00F86509" w:rsidRPr="00341B1D" w14:paraId="157218D6" w14:textId="77777777" w:rsidTr="00A3394C">
        <w:trPr>
          <w:trHeight w:val="255"/>
        </w:trPr>
        <w:tc>
          <w:tcPr>
            <w:tcW w:w="1877" w:type="dxa"/>
            <w:tcBorders>
              <w:top w:val="nil"/>
              <w:left w:val="nil"/>
              <w:bottom w:val="nil"/>
              <w:right w:val="nil"/>
            </w:tcBorders>
            <w:shd w:val="clear" w:color="auto" w:fill="auto"/>
            <w:noWrap/>
            <w:vAlign w:val="center"/>
            <w:hideMark/>
          </w:tcPr>
          <w:p w14:paraId="157218CE"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Mossman River</w:t>
            </w:r>
          </w:p>
        </w:tc>
        <w:tc>
          <w:tcPr>
            <w:tcW w:w="1191" w:type="dxa"/>
            <w:tcBorders>
              <w:top w:val="nil"/>
              <w:left w:val="nil"/>
              <w:bottom w:val="nil"/>
              <w:right w:val="nil"/>
            </w:tcBorders>
            <w:shd w:val="clear" w:color="auto" w:fill="auto"/>
            <w:noWrap/>
            <w:vAlign w:val="center"/>
            <w:hideMark/>
          </w:tcPr>
          <w:p w14:paraId="157218C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1,207,012</w:t>
            </w:r>
          </w:p>
        </w:tc>
        <w:tc>
          <w:tcPr>
            <w:tcW w:w="1219" w:type="dxa"/>
            <w:tcBorders>
              <w:top w:val="nil"/>
              <w:left w:val="nil"/>
              <w:bottom w:val="nil"/>
              <w:right w:val="nil"/>
            </w:tcBorders>
            <w:shd w:val="clear" w:color="auto" w:fill="FFFF00"/>
            <w:noWrap/>
            <w:vAlign w:val="center"/>
            <w:hideMark/>
          </w:tcPr>
          <w:p w14:paraId="157218D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2,014,902</w:t>
            </w:r>
          </w:p>
        </w:tc>
        <w:tc>
          <w:tcPr>
            <w:tcW w:w="1275" w:type="dxa"/>
            <w:tcBorders>
              <w:top w:val="nil"/>
              <w:left w:val="nil"/>
              <w:bottom w:val="nil"/>
              <w:right w:val="nil"/>
            </w:tcBorders>
            <w:shd w:val="clear" w:color="auto" w:fill="auto"/>
            <w:noWrap/>
            <w:vAlign w:val="center"/>
            <w:hideMark/>
          </w:tcPr>
          <w:p w14:paraId="157218D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1,526,184</w:t>
            </w:r>
          </w:p>
        </w:tc>
        <w:tc>
          <w:tcPr>
            <w:tcW w:w="1191" w:type="dxa"/>
            <w:tcBorders>
              <w:top w:val="nil"/>
              <w:left w:val="nil"/>
              <w:bottom w:val="nil"/>
              <w:right w:val="nil"/>
            </w:tcBorders>
            <w:shd w:val="clear" w:color="auto" w:fill="auto"/>
            <w:noWrap/>
            <w:vAlign w:val="center"/>
            <w:hideMark/>
          </w:tcPr>
          <w:p w14:paraId="157218D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1,147,367</w:t>
            </w:r>
          </w:p>
        </w:tc>
        <w:tc>
          <w:tcPr>
            <w:tcW w:w="1191" w:type="dxa"/>
            <w:tcBorders>
              <w:top w:val="nil"/>
              <w:left w:val="nil"/>
              <w:bottom w:val="nil"/>
              <w:right w:val="nil"/>
            </w:tcBorders>
            <w:shd w:val="clear" w:color="auto" w:fill="FFFF00"/>
            <w:noWrap/>
            <w:vAlign w:val="center"/>
            <w:hideMark/>
          </w:tcPr>
          <w:p w14:paraId="157218D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1,918,522</w:t>
            </w:r>
          </w:p>
        </w:tc>
        <w:tc>
          <w:tcPr>
            <w:tcW w:w="1191" w:type="dxa"/>
            <w:tcBorders>
              <w:top w:val="nil"/>
              <w:left w:val="nil"/>
              <w:bottom w:val="nil"/>
              <w:right w:val="nil"/>
            </w:tcBorders>
            <w:shd w:val="clear" w:color="auto" w:fill="auto"/>
            <w:noWrap/>
            <w:vAlign w:val="center"/>
            <w:hideMark/>
          </w:tcPr>
          <w:p w14:paraId="157218D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874,068</w:t>
            </w:r>
          </w:p>
        </w:tc>
        <w:tc>
          <w:tcPr>
            <w:tcW w:w="1191" w:type="dxa"/>
            <w:tcBorders>
              <w:top w:val="nil"/>
              <w:left w:val="nil"/>
              <w:bottom w:val="nil"/>
              <w:right w:val="nil"/>
            </w:tcBorders>
            <w:shd w:val="clear" w:color="auto" w:fill="auto"/>
            <w:noWrap/>
            <w:vAlign w:val="center"/>
            <w:hideMark/>
          </w:tcPr>
          <w:p w14:paraId="157218D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1,245,275</w:t>
            </w:r>
          </w:p>
        </w:tc>
      </w:tr>
      <w:tr w:rsidR="00F86509" w:rsidRPr="00341B1D" w14:paraId="157218DF" w14:textId="77777777" w:rsidTr="00A3394C">
        <w:trPr>
          <w:trHeight w:val="255"/>
        </w:trPr>
        <w:tc>
          <w:tcPr>
            <w:tcW w:w="1877" w:type="dxa"/>
            <w:tcBorders>
              <w:top w:val="nil"/>
              <w:left w:val="nil"/>
              <w:bottom w:val="nil"/>
              <w:right w:val="nil"/>
            </w:tcBorders>
            <w:shd w:val="clear" w:color="auto" w:fill="auto"/>
            <w:noWrap/>
            <w:vAlign w:val="center"/>
            <w:hideMark/>
          </w:tcPr>
          <w:p w14:paraId="157218D7"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Barron River</w:t>
            </w:r>
          </w:p>
        </w:tc>
        <w:tc>
          <w:tcPr>
            <w:tcW w:w="1191" w:type="dxa"/>
            <w:tcBorders>
              <w:top w:val="nil"/>
              <w:left w:val="nil"/>
              <w:bottom w:val="nil"/>
              <w:right w:val="nil"/>
            </w:tcBorders>
            <w:shd w:val="clear" w:color="auto" w:fill="auto"/>
            <w:noWrap/>
            <w:vAlign w:val="center"/>
            <w:hideMark/>
          </w:tcPr>
          <w:p w14:paraId="157218D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526,686</w:t>
            </w:r>
          </w:p>
        </w:tc>
        <w:tc>
          <w:tcPr>
            <w:tcW w:w="1219" w:type="dxa"/>
            <w:tcBorders>
              <w:top w:val="nil"/>
              <w:left w:val="nil"/>
              <w:bottom w:val="nil"/>
              <w:right w:val="nil"/>
            </w:tcBorders>
            <w:shd w:val="clear" w:color="auto" w:fill="FF0000"/>
            <w:noWrap/>
            <w:vAlign w:val="center"/>
            <w:hideMark/>
          </w:tcPr>
          <w:p w14:paraId="157218D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2,119,801</w:t>
            </w:r>
          </w:p>
        </w:tc>
        <w:tc>
          <w:tcPr>
            <w:tcW w:w="1275" w:type="dxa"/>
            <w:tcBorders>
              <w:top w:val="nil"/>
              <w:left w:val="nil"/>
              <w:bottom w:val="nil"/>
              <w:right w:val="nil"/>
            </w:tcBorders>
            <w:shd w:val="clear" w:color="auto" w:fill="FFFF00"/>
            <w:noWrap/>
            <w:vAlign w:val="center"/>
            <w:hideMark/>
          </w:tcPr>
          <w:p w14:paraId="157218D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852,055</w:t>
            </w:r>
          </w:p>
        </w:tc>
        <w:tc>
          <w:tcPr>
            <w:tcW w:w="1191" w:type="dxa"/>
            <w:tcBorders>
              <w:top w:val="nil"/>
              <w:left w:val="nil"/>
              <w:bottom w:val="nil"/>
              <w:right w:val="nil"/>
            </w:tcBorders>
            <w:shd w:val="clear" w:color="auto" w:fill="auto"/>
            <w:noWrap/>
            <w:vAlign w:val="center"/>
            <w:hideMark/>
          </w:tcPr>
          <w:p w14:paraId="157218D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328,260</w:t>
            </w:r>
          </w:p>
        </w:tc>
        <w:tc>
          <w:tcPr>
            <w:tcW w:w="1191" w:type="dxa"/>
            <w:tcBorders>
              <w:top w:val="nil"/>
              <w:left w:val="nil"/>
              <w:bottom w:val="nil"/>
              <w:right w:val="nil"/>
            </w:tcBorders>
            <w:shd w:val="clear" w:color="auto" w:fill="auto"/>
            <w:noWrap/>
            <w:vAlign w:val="center"/>
            <w:hideMark/>
          </w:tcPr>
          <w:p w14:paraId="157218D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663,966</w:t>
            </w:r>
          </w:p>
        </w:tc>
        <w:tc>
          <w:tcPr>
            <w:tcW w:w="1191" w:type="dxa"/>
            <w:tcBorders>
              <w:top w:val="nil"/>
              <w:left w:val="nil"/>
              <w:bottom w:val="nil"/>
              <w:right w:val="nil"/>
            </w:tcBorders>
            <w:shd w:val="clear" w:color="auto" w:fill="auto"/>
            <w:noWrap/>
            <w:vAlign w:val="center"/>
            <w:hideMark/>
          </w:tcPr>
          <w:p w14:paraId="157218D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380,395</w:t>
            </w:r>
          </w:p>
        </w:tc>
        <w:tc>
          <w:tcPr>
            <w:tcW w:w="1191" w:type="dxa"/>
            <w:tcBorders>
              <w:top w:val="nil"/>
              <w:left w:val="nil"/>
              <w:bottom w:val="nil"/>
              <w:right w:val="nil"/>
            </w:tcBorders>
            <w:shd w:val="clear" w:color="auto" w:fill="auto"/>
            <w:noWrap/>
            <w:vAlign w:val="center"/>
            <w:hideMark/>
          </w:tcPr>
          <w:p w14:paraId="157218D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182,999</w:t>
            </w:r>
          </w:p>
        </w:tc>
      </w:tr>
      <w:tr w:rsidR="00F86509" w:rsidRPr="00341B1D" w14:paraId="157218E8" w14:textId="77777777" w:rsidTr="00A3394C">
        <w:trPr>
          <w:trHeight w:val="255"/>
        </w:trPr>
        <w:tc>
          <w:tcPr>
            <w:tcW w:w="1877" w:type="dxa"/>
            <w:tcBorders>
              <w:top w:val="nil"/>
              <w:left w:val="nil"/>
              <w:bottom w:val="nil"/>
              <w:right w:val="nil"/>
            </w:tcBorders>
            <w:shd w:val="clear" w:color="auto" w:fill="auto"/>
            <w:noWrap/>
            <w:vAlign w:val="center"/>
            <w:hideMark/>
          </w:tcPr>
          <w:p w14:paraId="157218E0"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Mulgrave-Russell River</w:t>
            </w:r>
          </w:p>
        </w:tc>
        <w:tc>
          <w:tcPr>
            <w:tcW w:w="1191" w:type="dxa"/>
            <w:tcBorders>
              <w:top w:val="nil"/>
              <w:left w:val="nil"/>
              <w:bottom w:val="nil"/>
              <w:right w:val="nil"/>
            </w:tcBorders>
            <w:shd w:val="clear" w:color="auto" w:fill="auto"/>
            <w:noWrap/>
            <w:vAlign w:val="center"/>
            <w:hideMark/>
          </w:tcPr>
          <w:p w14:paraId="157218E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4,457,940</w:t>
            </w:r>
          </w:p>
        </w:tc>
        <w:tc>
          <w:tcPr>
            <w:tcW w:w="1219" w:type="dxa"/>
            <w:tcBorders>
              <w:top w:val="nil"/>
              <w:left w:val="nil"/>
              <w:bottom w:val="nil"/>
              <w:right w:val="nil"/>
            </w:tcBorders>
            <w:shd w:val="clear" w:color="auto" w:fill="FFFF00"/>
            <w:noWrap/>
            <w:vAlign w:val="center"/>
            <w:hideMark/>
          </w:tcPr>
          <w:p w14:paraId="157218E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7,892,713</w:t>
            </w:r>
          </w:p>
        </w:tc>
        <w:tc>
          <w:tcPr>
            <w:tcW w:w="1275" w:type="dxa"/>
            <w:tcBorders>
              <w:top w:val="nil"/>
              <w:left w:val="nil"/>
              <w:bottom w:val="nil"/>
              <w:right w:val="nil"/>
            </w:tcBorders>
            <w:shd w:val="clear" w:color="auto" w:fill="auto"/>
            <w:noWrap/>
            <w:vAlign w:val="center"/>
            <w:hideMark/>
          </w:tcPr>
          <w:p w14:paraId="157218E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5,696,594</w:t>
            </w:r>
          </w:p>
        </w:tc>
        <w:tc>
          <w:tcPr>
            <w:tcW w:w="1191" w:type="dxa"/>
            <w:tcBorders>
              <w:top w:val="nil"/>
              <w:left w:val="nil"/>
              <w:bottom w:val="nil"/>
              <w:right w:val="nil"/>
            </w:tcBorders>
            <w:shd w:val="clear" w:color="auto" w:fill="auto"/>
            <w:noWrap/>
            <w:vAlign w:val="center"/>
            <w:hideMark/>
          </w:tcPr>
          <w:p w14:paraId="157218E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3,529,862</w:t>
            </w:r>
          </w:p>
        </w:tc>
        <w:tc>
          <w:tcPr>
            <w:tcW w:w="1191" w:type="dxa"/>
            <w:tcBorders>
              <w:top w:val="nil"/>
              <w:left w:val="nil"/>
              <w:bottom w:val="nil"/>
              <w:right w:val="nil"/>
            </w:tcBorders>
            <w:shd w:val="clear" w:color="auto" w:fill="auto"/>
            <w:noWrap/>
            <w:vAlign w:val="center"/>
            <w:hideMark/>
          </w:tcPr>
          <w:p w14:paraId="157218E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5,420,678</w:t>
            </w:r>
          </w:p>
        </w:tc>
        <w:tc>
          <w:tcPr>
            <w:tcW w:w="1191" w:type="dxa"/>
            <w:tcBorders>
              <w:top w:val="nil"/>
              <w:left w:val="nil"/>
              <w:bottom w:val="nil"/>
              <w:right w:val="nil"/>
            </w:tcBorders>
            <w:shd w:val="clear" w:color="auto" w:fill="auto"/>
            <w:noWrap/>
            <w:vAlign w:val="center"/>
            <w:hideMark/>
          </w:tcPr>
          <w:p w14:paraId="157218E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3,145,787</w:t>
            </w:r>
          </w:p>
        </w:tc>
        <w:tc>
          <w:tcPr>
            <w:tcW w:w="1191" w:type="dxa"/>
            <w:tcBorders>
              <w:top w:val="nil"/>
              <w:left w:val="nil"/>
              <w:bottom w:val="nil"/>
              <w:right w:val="nil"/>
            </w:tcBorders>
            <w:shd w:val="clear" w:color="auto" w:fill="auto"/>
            <w:noWrap/>
            <w:vAlign w:val="center"/>
            <w:hideMark/>
          </w:tcPr>
          <w:p w14:paraId="157218E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3,253,825</w:t>
            </w:r>
          </w:p>
        </w:tc>
      </w:tr>
      <w:tr w:rsidR="00F86509" w:rsidRPr="00341B1D" w14:paraId="157218F1" w14:textId="77777777" w:rsidTr="00A3394C">
        <w:trPr>
          <w:trHeight w:val="255"/>
        </w:trPr>
        <w:tc>
          <w:tcPr>
            <w:tcW w:w="1877" w:type="dxa"/>
            <w:tcBorders>
              <w:top w:val="nil"/>
              <w:left w:val="nil"/>
              <w:bottom w:val="nil"/>
              <w:right w:val="nil"/>
            </w:tcBorders>
            <w:shd w:val="clear" w:color="auto" w:fill="auto"/>
            <w:noWrap/>
            <w:vAlign w:val="center"/>
            <w:hideMark/>
          </w:tcPr>
          <w:p w14:paraId="157218E9"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Johnstone River</w:t>
            </w:r>
          </w:p>
        </w:tc>
        <w:tc>
          <w:tcPr>
            <w:tcW w:w="1191" w:type="dxa"/>
            <w:tcBorders>
              <w:top w:val="nil"/>
              <w:left w:val="nil"/>
              <w:bottom w:val="nil"/>
              <w:right w:val="nil"/>
            </w:tcBorders>
            <w:shd w:val="clear" w:color="auto" w:fill="auto"/>
            <w:noWrap/>
            <w:vAlign w:val="center"/>
            <w:hideMark/>
          </w:tcPr>
          <w:p w14:paraId="157218E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4,743,915</w:t>
            </w:r>
          </w:p>
        </w:tc>
        <w:tc>
          <w:tcPr>
            <w:tcW w:w="1219" w:type="dxa"/>
            <w:tcBorders>
              <w:top w:val="nil"/>
              <w:left w:val="nil"/>
              <w:bottom w:val="nil"/>
              <w:right w:val="nil"/>
            </w:tcBorders>
            <w:shd w:val="clear" w:color="auto" w:fill="FF9900"/>
            <w:noWrap/>
            <w:vAlign w:val="center"/>
            <w:hideMark/>
          </w:tcPr>
          <w:p w14:paraId="157218E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9,276,874</w:t>
            </w:r>
          </w:p>
        </w:tc>
        <w:tc>
          <w:tcPr>
            <w:tcW w:w="1275" w:type="dxa"/>
            <w:tcBorders>
              <w:top w:val="nil"/>
              <w:left w:val="nil"/>
              <w:bottom w:val="nil"/>
              <w:right w:val="nil"/>
            </w:tcBorders>
            <w:shd w:val="clear" w:color="auto" w:fill="auto"/>
            <w:noWrap/>
            <w:vAlign w:val="center"/>
            <w:hideMark/>
          </w:tcPr>
          <w:p w14:paraId="157218E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5,338,591</w:t>
            </w:r>
          </w:p>
        </w:tc>
        <w:tc>
          <w:tcPr>
            <w:tcW w:w="1191" w:type="dxa"/>
            <w:tcBorders>
              <w:top w:val="nil"/>
              <w:left w:val="nil"/>
              <w:bottom w:val="nil"/>
              <w:right w:val="nil"/>
            </w:tcBorders>
            <w:shd w:val="clear" w:color="auto" w:fill="auto"/>
            <w:noWrap/>
            <w:vAlign w:val="center"/>
            <w:hideMark/>
          </w:tcPr>
          <w:p w14:paraId="157218E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3,720,020</w:t>
            </w:r>
          </w:p>
        </w:tc>
        <w:tc>
          <w:tcPr>
            <w:tcW w:w="1191" w:type="dxa"/>
            <w:tcBorders>
              <w:top w:val="nil"/>
              <w:left w:val="nil"/>
              <w:bottom w:val="nil"/>
              <w:right w:val="nil"/>
            </w:tcBorders>
            <w:shd w:val="clear" w:color="auto" w:fill="auto"/>
            <w:noWrap/>
            <w:vAlign w:val="center"/>
            <w:hideMark/>
          </w:tcPr>
          <w:p w14:paraId="157218E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5,403,534</w:t>
            </w:r>
          </w:p>
        </w:tc>
        <w:tc>
          <w:tcPr>
            <w:tcW w:w="1191" w:type="dxa"/>
            <w:tcBorders>
              <w:top w:val="nil"/>
              <w:left w:val="nil"/>
              <w:bottom w:val="nil"/>
              <w:right w:val="nil"/>
            </w:tcBorders>
            <w:shd w:val="clear" w:color="auto" w:fill="auto"/>
            <w:noWrap/>
            <w:vAlign w:val="center"/>
            <w:hideMark/>
          </w:tcPr>
          <w:p w14:paraId="157218E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3,044,680</w:t>
            </w:r>
          </w:p>
        </w:tc>
        <w:tc>
          <w:tcPr>
            <w:tcW w:w="1191" w:type="dxa"/>
            <w:tcBorders>
              <w:top w:val="nil"/>
              <w:left w:val="nil"/>
              <w:bottom w:val="nil"/>
              <w:right w:val="nil"/>
            </w:tcBorders>
            <w:shd w:val="clear" w:color="auto" w:fill="auto"/>
            <w:noWrap/>
            <w:vAlign w:val="center"/>
            <w:hideMark/>
          </w:tcPr>
          <w:p w14:paraId="157218F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3,416,331</w:t>
            </w:r>
          </w:p>
        </w:tc>
      </w:tr>
      <w:tr w:rsidR="00F86509" w:rsidRPr="00341B1D" w14:paraId="157218FA" w14:textId="77777777" w:rsidTr="00A3394C">
        <w:trPr>
          <w:trHeight w:val="255"/>
        </w:trPr>
        <w:tc>
          <w:tcPr>
            <w:tcW w:w="1877" w:type="dxa"/>
            <w:tcBorders>
              <w:top w:val="nil"/>
              <w:left w:val="nil"/>
              <w:bottom w:val="nil"/>
              <w:right w:val="nil"/>
            </w:tcBorders>
            <w:shd w:val="clear" w:color="auto" w:fill="auto"/>
            <w:noWrap/>
            <w:vAlign w:val="center"/>
            <w:hideMark/>
          </w:tcPr>
          <w:p w14:paraId="157218F2"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Tully River</w:t>
            </w:r>
          </w:p>
        </w:tc>
        <w:tc>
          <w:tcPr>
            <w:tcW w:w="1191" w:type="dxa"/>
            <w:tcBorders>
              <w:top w:val="nil"/>
              <w:left w:val="nil"/>
              <w:bottom w:val="nil"/>
              <w:right w:val="nil"/>
            </w:tcBorders>
            <w:shd w:val="clear" w:color="auto" w:fill="auto"/>
            <w:noWrap/>
            <w:vAlign w:val="center"/>
            <w:hideMark/>
          </w:tcPr>
          <w:p w14:paraId="157218F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3,536,054</w:t>
            </w:r>
          </w:p>
        </w:tc>
        <w:tc>
          <w:tcPr>
            <w:tcW w:w="1219" w:type="dxa"/>
            <w:tcBorders>
              <w:top w:val="nil"/>
              <w:left w:val="nil"/>
              <w:bottom w:val="nil"/>
              <w:right w:val="nil"/>
            </w:tcBorders>
            <w:shd w:val="clear" w:color="auto" w:fill="FF9900"/>
            <w:noWrap/>
            <w:vAlign w:val="center"/>
            <w:hideMark/>
          </w:tcPr>
          <w:p w14:paraId="157218F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7,442,768</w:t>
            </w:r>
          </w:p>
        </w:tc>
        <w:tc>
          <w:tcPr>
            <w:tcW w:w="1275" w:type="dxa"/>
            <w:tcBorders>
              <w:top w:val="nil"/>
              <w:left w:val="nil"/>
              <w:bottom w:val="nil"/>
              <w:right w:val="nil"/>
            </w:tcBorders>
            <w:shd w:val="clear" w:color="auto" w:fill="auto"/>
            <w:noWrap/>
            <w:vAlign w:val="center"/>
            <w:hideMark/>
          </w:tcPr>
          <w:p w14:paraId="157218F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3,425,096</w:t>
            </w:r>
          </w:p>
        </w:tc>
        <w:tc>
          <w:tcPr>
            <w:tcW w:w="1191" w:type="dxa"/>
            <w:tcBorders>
              <w:top w:val="nil"/>
              <w:left w:val="nil"/>
              <w:bottom w:val="nil"/>
              <w:right w:val="nil"/>
            </w:tcBorders>
            <w:shd w:val="clear" w:color="auto" w:fill="auto"/>
            <w:noWrap/>
            <w:vAlign w:val="center"/>
            <w:hideMark/>
          </w:tcPr>
          <w:p w14:paraId="157218F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3,341,887</w:t>
            </w:r>
          </w:p>
        </w:tc>
        <w:tc>
          <w:tcPr>
            <w:tcW w:w="1191" w:type="dxa"/>
            <w:tcBorders>
              <w:top w:val="nil"/>
              <w:left w:val="nil"/>
              <w:bottom w:val="nil"/>
              <w:right w:val="nil"/>
            </w:tcBorders>
            <w:shd w:val="clear" w:color="auto" w:fill="auto"/>
            <w:noWrap/>
            <w:vAlign w:val="center"/>
            <w:hideMark/>
          </w:tcPr>
          <w:p w14:paraId="157218F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4,322,496</w:t>
            </w:r>
          </w:p>
        </w:tc>
        <w:tc>
          <w:tcPr>
            <w:tcW w:w="1191" w:type="dxa"/>
            <w:tcBorders>
              <w:top w:val="nil"/>
              <w:left w:val="nil"/>
              <w:bottom w:val="nil"/>
              <w:right w:val="nil"/>
            </w:tcBorders>
            <w:shd w:val="clear" w:color="auto" w:fill="auto"/>
            <w:noWrap/>
            <w:vAlign w:val="center"/>
            <w:hideMark/>
          </w:tcPr>
          <w:p w14:paraId="157218F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2,659,775</w:t>
            </w:r>
          </w:p>
        </w:tc>
        <w:tc>
          <w:tcPr>
            <w:tcW w:w="1191" w:type="dxa"/>
            <w:tcBorders>
              <w:top w:val="nil"/>
              <w:left w:val="nil"/>
              <w:bottom w:val="nil"/>
              <w:right w:val="nil"/>
            </w:tcBorders>
            <w:shd w:val="clear" w:color="auto" w:fill="auto"/>
            <w:noWrap/>
            <w:vAlign w:val="center"/>
            <w:hideMark/>
          </w:tcPr>
          <w:p w14:paraId="157218F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2,942,770</w:t>
            </w:r>
          </w:p>
        </w:tc>
      </w:tr>
      <w:tr w:rsidR="00F86509" w:rsidRPr="00341B1D" w14:paraId="15721903" w14:textId="77777777" w:rsidTr="00A3394C">
        <w:trPr>
          <w:trHeight w:val="255"/>
        </w:trPr>
        <w:tc>
          <w:tcPr>
            <w:tcW w:w="1877" w:type="dxa"/>
            <w:tcBorders>
              <w:top w:val="nil"/>
              <w:left w:val="nil"/>
              <w:bottom w:val="nil"/>
              <w:right w:val="nil"/>
            </w:tcBorders>
            <w:shd w:val="clear" w:color="auto" w:fill="auto"/>
            <w:noWrap/>
            <w:vAlign w:val="center"/>
            <w:hideMark/>
          </w:tcPr>
          <w:p w14:paraId="157218FB"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Murray River</w:t>
            </w:r>
          </w:p>
        </w:tc>
        <w:tc>
          <w:tcPr>
            <w:tcW w:w="1191" w:type="dxa"/>
            <w:tcBorders>
              <w:top w:val="nil"/>
              <w:left w:val="nil"/>
              <w:bottom w:val="nil"/>
              <w:right w:val="nil"/>
            </w:tcBorders>
            <w:shd w:val="clear" w:color="auto" w:fill="auto"/>
            <w:noWrap/>
            <w:vAlign w:val="center"/>
            <w:hideMark/>
          </w:tcPr>
          <w:p w14:paraId="157218F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1,227,888</w:t>
            </w:r>
          </w:p>
        </w:tc>
        <w:tc>
          <w:tcPr>
            <w:tcW w:w="1219" w:type="dxa"/>
            <w:tcBorders>
              <w:top w:val="nil"/>
              <w:left w:val="nil"/>
              <w:bottom w:val="nil"/>
              <w:right w:val="nil"/>
            </w:tcBorders>
            <w:shd w:val="clear" w:color="auto" w:fill="FF0000"/>
            <w:noWrap/>
            <w:vAlign w:val="center"/>
            <w:hideMark/>
          </w:tcPr>
          <w:p w14:paraId="157218F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4,267,125</w:t>
            </w:r>
          </w:p>
        </w:tc>
        <w:tc>
          <w:tcPr>
            <w:tcW w:w="1275" w:type="dxa"/>
            <w:tcBorders>
              <w:top w:val="nil"/>
              <w:left w:val="nil"/>
              <w:bottom w:val="nil"/>
              <w:right w:val="nil"/>
            </w:tcBorders>
            <w:shd w:val="clear" w:color="auto" w:fill="FFFF00"/>
            <w:noWrap/>
            <w:vAlign w:val="center"/>
            <w:hideMark/>
          </w:tcPr>
          <w:p w14:paraId="157218F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2,062,103</w:t>
            </w:r>
          </w:p>
        </w:tc>
        <w:tc>
          <w:tcPr>
            <w:tcW w:w="1191" w:type="dxa"/>
            <w:tcBorders>
              <w:top w:val="nil"/>
              <w:left w:val="nil"/>
              <w:bottom w:val="nil"/>
              <w:right w:val="nil"/>
            </w:tcBorders>
            <w:shd w:val="clear" w:color="auto" w:fill="auto"/>
            <w:noWrap/>
            <w:vAlign w:val="center"/>
            <w:hideMark/>
          </w:tcPr>
          <w:p w14:paraId="157218F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1,006,286</w:t>
            </w:r>
          </w:p>
        </w:tc>
        <w:tc>
          <w:tcPr>
            <w:tcW w:w="1191" w:type="dxa"/>
            <w:tcBorders>
              <w:top w:val="nil"/>
              <w:left w:val="nil"/>
              <w:bottom w:val="nil"/>
              <w:right w:val="nil"/>
            </w:tcBorders>
            <w:shd w:val="clear" w:color="auto" w:fill="auto"/>
            <w:noWrap/>
            <w:vAlign w:val="center"/>
            <w:hideMark/>
          </w:tcPr>
          <w:p w14:paraId="1572190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1,531,172</w:t>
            </w:r>
          </w:p>
        </w:tc>
        <w:tc>
          <w:tcPr>
            <w:tcW w:w="1191" w:type="dxa"/>
            <w:tcBorders>
              <w:top w:val="nil"/>
              <w:left w:val="nil"/>
              <w:bottom w:val="nil"/>
              <w:right w:val="nil"/>
            </w:tcBorders>
            <w:shd w:val="clear" w:color="auto" w:fill="auto"/>
            <w:noWrap/>
            <w:vAlign w:val="center"/>
            <w:hideMark/>
          </w:tcPr>
          <w:p w14:paraId="1572190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366,212</w:t>
            </w:r>
          </w:p>
        </w:tc>
        <w:tc>
          <w:tcPr>
            <w:tcW w:w="1191" w:type="dxa"/>
            <w:tcBorders>
              <w:top w:val="nil"/>
              <w:left w:val="nil"/>
              <w:bottom w:val="nil"/>
              <w:right w:val="nil"/>
            </w:tcBorders>
            <w:shd w:val="clear" w:color="auto" w:fill="auto"/>
            <w:noWrap/>
            <w:vAlign w:val="center"/>
            <w:hideMark/>
          </w:tcPr>
          <w:p w14:paraId="1572190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974,244</w:t>
            </w:r>
          </w:p>
        </w:tc>
      </w:tr>
      <w:tr w:rsidR="00F86509" w:rsidRPr="00341B1D" w14:paraId="1572190C" w14:textId="77777777" w:rsidTr="00A3394C">
        <w:trPr>
          <w:trHeight w:val="255"/>
        </w:trPr>
        <w:tc>
          <w:tcPr>
            <w:tcW w:w="1877" w:type="dxa"/>
            <w:tcBorders>
              <w:top w:val="nil"/>
              <w:left w:val="nil"/>
              <w:bottom w:val="nil"/>
              <w:right w:val="nil"/>
            </w:tcBorders>
            <w:shd w:val="clear" w:color="auto" w:fill="auto"/>
            <w:noWrap/>
            <w:vAlign w:val="center"/>
            <w:hideMark/>
          </w:tcPr>
          <w:p w14:paraId="15721904"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Herbert River</w:t>
            </w:r>
          </w:p>
        </w:tc>
        <w:tc>
          <w:tcPr>
            <w:tcW w:w="1191" w:type="dxa"/>
            <w:tcBorders>
              <w:top w:val="nil"/>
              <w:left w:val="nil"/>
              <w:bottom w:val="nil"/>
              <w:right w:val="nil"/>
            </w:tcBorders>
            <w:shd w:val="clear" w:color="auto" w:fill="auto"/>
            <w:noWrap/>
            <w:vAlign w:val="center"/>
            <w:hideMark/>
          </w:tcPr>
          <w:p w14:paraId="1572190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3,556,376</w:t>
            </w:r>
          </w:p>
        </w:tc>
        <w:tc>
          <w:tcPr>
            <w:tcW w:w="1219" w:type="dxa"/>
            <w:tcBorders>
              <w:top w:val="nil"/>
              <w:left w:val="nil"/>
              <w:bottom w:val="nil"/>
              <w:right w:val="nil"/>
            </w:tcBorders>
            <w:shd w:val="clear" w:color="auto" w:fill="FF0000"/>
            <w:noWrap/>
            <w:vAlign w:val="center"/>
            <w:hideMark/>
          </w:tcPr>
          <w:p w14:paraId="1572190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12,593,674</w:t>
            </w:r>
          </w:p>
        </w:tc>
        <w:tc>
          <w:tcPr>
            <w:tcW w:w="1275" w:type="dxa"/>
            <w:tcBorders>
              <w:top w:val="nil"/>
              <w:left w:val="nil"/>
              <w:bottom w:val="nil"/>
              <w:right w:val="nil"/>
            </w:tcBorders>
            <w:shd w:val="clear" w:color="auto" w:fill="auto"/>
            <w:noWrap/>
            <w:vAlign w:val="center"/>
            <w:hideMark/>
          </w:tcPr>
          <w:p w14:paraId="1572190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4,545,193</w:t>
            </w:r>
          </w:p>
        </w:tc>
        <w:tc>
          <w:tcPr>
            <w:tcW w:w="1191" w:type="dxa"/>
            <w:tcBorders>
              <w:top w:val="nil"/>
              <w:left w:val="nil"/>
              <w:bottom w:val="nil"/>
              <w:right w:val="nil"/>
            </w:tcBorders>
            <w:shd w:val="clear" w:color="auto" w:fill="auto"/>
            <w:noWrap/>
            <w:vAlign w:val="center"/>
            <w:hideMark/>
          </w:tcPr>
          <w:p w14:paraId="1572190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3,189,804</w:t>
            </w:r>
          </w:p>
        </w:tc>
        <w:tc>
          <w:tcPr>
            <w:tcW w:w="1191" w:type="dxa"/>
            <w:tcBorders>
              <w:top w:val="nil"/>
              <w:left w:val="nil"/>
              <w:bottom w:val="nil"/>
              <w:right w:val="nil"/>
            </w:tcBorders>
            <w:shd w:val="clear" w:color="auto" w:fill="auto"/>
            <w:noWrap/>
            <w:vAlign w:val="center"/>
            <w:hideMark/>
          </w:tcPr>
          <w:p w14:paraId="1572190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4,281,607</w:t>
            </w:r>
          </w:p>
        </w:tc>
        <w:tc>
          <w:tcPr>
            <w:tcW w:w="1191" w:type="dxa"/>
            <w:tcBorders>
              <w:top w:val="nil"/>
              <w:left w:val="nil"/>
              <w:bottom w:val="nil"/>
              <w:right w:val="nil"/>
            </w:tcBorders>
            <w:shd w:val="clear" w:color="auto" w:fill="auto"/>
            <w:noWrap/>
            <w:vAlign w:val="center"/>
            <w:hideMark/>
          </w:tcPr>
          <w:p w14:paraId="1572190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1,095,372</w:t>
            </w:r>
          </w:p>
        </w:tc>
        <w:tc>
          <w:tcPr>
            <w:tcW w:w="1191" w:type="dxa"/>
            <w:tcBorders>
              <w:top w:val="nil"/>
              <w:left w:val="nil"/>
              <w:bottom w:val="nil"/>
              <w:right w:val="nil"/>
            </w:tcBorders>
            <w:shd w:val="clear" w:color="auto" w:fill="auto"/>
            <w:noWrap/>
            <w:vAlign w:val="center"/>
            <w:hideMark/>
          </w:tcPr>
          <w:p w14:paraId="1572190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1,895,526</w:t>
            </w:r>
          </w:p>
        </w:tc>
      </w:tr>
      <w:tr w:rsidR="00F86509" w:rsidRPr="00341B1D" w14:paraId="15721915" w14:textId="77777777" w:rsidTr="00A3394C">
        <w:trPr>
          <w:trHeight w:val="255"/>
        </w:trPr>
        <w:tc>
          <w:tcPr>
            <w:tcW w:w="1877" w:type="dxa"/>
            <w:tcBorders>
              <w:top w:val="nil"/>
              <w:left w:val="nil"/>
              <w:bottom w:val="nil"/>
              <w:right w:val="nil"/>
            </w:tcBorders>
            <w:shd w:val="clear" w:color="auto" w:fill="auto"/>
            <w:noWrap/>
            <w:vAlign w:val="center"/>
            <w:hideMark/>
          </w:tcPr>
          <w:p w14:paraId="1572190D"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Black River</w:t>
            </w:r>
          </w:p>
        </w:tc>
        <w:tc>
          <w:tcPr>
            <w:tcW w:w="1191" w:type="dxa"/>
            <w:tcBorders>
              <w:top w:val="nil"/>
              <w:left w:val="nil"/>
              <w:bottom w:val="nil"/>
              <w:right w:val="nil"/>
            </w:tcBorders>
            <w:shd w:val="clear" w:color="auto" w:fill="auto"/>
            <w:noWrap/>
            <w:vAlign w:val="center"/>
            <w:hideMark/>
          </w:tcPr>
          <w:p w14:paraId="1572190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228,629</w:t>
            </w:r>
          </w:p>
        </w:tc>
        <w:tc>
          <w:tcPr>
            <w:tcW w:w="1219" w:type="dxa"/>
            <w:tcBorders>
              <w:top w:val="nil"/>
              <w:left w:val="nil"/>
              <w:bottom w:val="nil"/>
              <w:right w:val="nil"/>
            </w:tcBorders>
            <w:shd w:val="clear" w:color="auto" w:fill="FF0000"/>
            <w:noWrap/>
            <w:vAlign w:val="center"/>
            <w:hideMark/>
          </w:tcPr>
          <w:p w14:paraId="1572190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1,424,283</w:t>
            </w:r>
          </w:p>
        </w:tc>
        <w:tc>
          <w:tcPr>
            <w:tcW w:w="1275" w:type="dxa"/>
            <w:tcBorders>
              <w:top w:val="nil"/>
              <w:left w:val="nil"/>
              <w:bottom w:val="nil"/>
              <w:right w:val="nil"/>
            </w:tcBorders>
            <w:shd w:val="clear" w:color="auto" w:fill="FF0000"/>
            <w:noWrap/>
            <w:vAlign w:val="center"/>
            <w:hideMark/>
          </w:tcPr>
          <w:p w14:paraId="1572191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747,328</w:t>
            </w:r>
          </w:p>
        </w:tc>
        <w:tc>
          <w:tcPr>
            <w:tcW w:w="1191" w:type="dxa"/>
            <w:tcBorders>
              <w:top w:val="nil"/>
              <w:left w:val="nil"/>
              <w:bottom w:val="nil"/>
              <w:right w:val="nil"/>
            </w:tcBorders>
            <w:shd w:val="clear" w:color="auto" w:fill="auto"/>
            <w:noWrap/>
            <w:vAlign w:val="center"/>
            <w:hideMark/>
          </w:tcPr>
          <w:p w14:paraId="1572191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188,468</w:t>
            </w:r>
          </w:p>
        </w:tc>
        <w:tc>
          <w:tcPr>
            <w:tcW w:w="1191" w:type="dxa"/>
            <w:tcBorders>
              <w:top w:val="nil"/>
              <w:left w:val="nil"/>
              <w:bottom w:val="nil"/>
              <w:right w:val="nil"/>
            </w:tcBorders>
            <w:shd w:val="clear" w:color="auto" w:fill="FFFF00"/>
            <w:noWrap/>
            <w:vAlign w:val="center"/>
            <w:hideMark/>
          </w:tcPr>
          <w:p w14:paraId="1572191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419,290</w:t>
            </w:r>
          </w:p>
        </w:tc>
        <w:tc>
          <w:tcPr>
            <w:tcW w:w="1191" w:type="dxa"/>
            <w:tcBorders>
              <w:top w:val="nil"/>
              <w:left w:val="nil"/>
              <w:bottom w:val="nil"/>
              <w:right w:val="nil"/>
            </w:tcBorders>
            <w:shd w:val="clear" w:color="auto" w:fill="auto"/>
            <w:noWrap/>
            <w:vAlign w:val="center"/>
            <w:hideMark/>
          </w:tcPr>
          <w:p w14:paraId="1572191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17,654</w:t>
            </w:r>
          </w:p>
        </w:tc>
        <w:tc>
          <w:tcPr>
            <w:tcW w:w="1191" w:type="dxa"/>
            <w:tcBorders>
              <w:top w:val="nil"/>
              <w:left w:val="nil"/>
              <w:bottom w:val="nil"/>
              <w:right w:val="nil"/>
            </w:tcBorders>
            <w:shd w:val="clear" w:color="auto" w:fill="auto"/>
            <w:noWrap/>
            <w:vAlign w:val="center"/>
            <w:hideMark/>
          </w:tcPr>
          <w:p w14:paraId="1572191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129,783</w:t>
            </w:r>
          </w:p>
        </w:tc>
      </w:tr>
      <w:tr w:rsidR="00F86509" w:rsidRPr="00341B1D" w14:paraId="1572191E" w14:textId="77777777" w:rsidTr="00A3394C">
        <w:trPr>
          <w:trHeight w:val="255"/>
        </w:trPr>
        <w:tc>
          <w:tcPr>
            <w:tcW w:w="1877" w:type="dxa"/>
            <w:tcBorders>
              <w:top w:val="nil"/>
              <w:left w:val="nil"/>
              <w:bottom w:val="nil"/>
              <w:right w:val="nil"/>
            </w:tcBorders>
            <w:shd w:val="clear" w:color="auto" w:fill="auto"/>
            <w:noWrap/>
            <w:vAlign w:val="center"/>
            <w:hideMark/>
          </w:tcPr>
          <w:p w14:paraId="15721916"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Ross River</w:t>
            </w:r>
          </w:p>
        </w:tc>
        <w:tc>
          <w:tcPr>
            <w:tcW w:w="1191" w:type="dxa"/>
            <w:tcBorders>
              <w:top w:val="nil"/>
              <w:left w:val="nil"/>
              <w:bottom w:val="nil"/>
              <w:right w:val="nil"/>
            </w:tcBorders>
            <w:shd w:val="clear" w:color="auto" w:fill="auto"/>
            <w:noWrap/>
            <w:vAlign w:val="center"/>
            <w:hideMark/>
          </w:tcPr>
          <w:p w14:paraId="1572191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445,106</w:t>
            </w:r>
          </w:p>
        </w:tc>
        <w:tc>
          <w:tcPr>
            <w:tcW w:w="1219" w:type="dxa"/>
            <w:tcBorders>
              <w:top w:val="nil"/>
              <w:left w:val="nil"/>
              <w:bottom w:val="nil"/>
              <w:right w:val="nil"/>
            </w:tcBorders>
            <w:shd w:val="clear" w:color="auto" w:fill="FF0000"/>
            <w:noWrap/>
            <w:vAlign w:val="center"/>
            <w:hideMark/>
          </w:tcPr>
          <w:p w14:paraId="1572191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2,092,684</w:t>
            </w:r>
          </w:p>
        </w:tc>
        <w:tc>
          <w:tcPr>
            <w:tcW w:w="1275" w:type="dxa"/>
            <w:tcBorders>
              <w:top w:val="nil"/>
              <w:left w:val="nil"/>
              <w:bottom w:val="nil"/>
              <w:right w:val="nil"/>
            </w:tcBorders>
            <w:shd w:val="clear" w:color="auto" w:fill="FF0000"/>
            <w:noWrap/>
            <w:vAlign w:val="center"/>
            <w:hideMark/>
          </w:tcPr>
          <w:p w14:paraId="1572191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1,324,707</w:t>
            </w:r>
          </w:p>
        </w:tc>
        <w:tc>
          <w:tcPr>
            <w:tcW w:w="1191" w:type="dxa"/>
            <w:tcBorders>
              <w:top w:val="nil"/>
              <w:left w:val="nil"/>
              <w:bottom w:val="nil"/>
              <w:right w:val="nil"/>
            </w:tcBorders>
            <w:shd w:val="clear" w:color="auto" w:fill="auto"/>
            <w:noWrap/>
            <w:vAlign w:val="center"/>
            <w:hideMark/>
          </w:tcPr>
          <w:p w14:paraId="1572191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276,584</w:t>
            </w:r>
          </w:p>
        </w:tc>
        <w:tc>
          <w:tcPr>
            <w:tcW w:w="1191" w:type="dxa"/>
            <w:tcBorders>
              <w:top w:val="nil"/>
              <w:left w:val="nil"/>
              <w:bottom w:val="nil"/>
              <w:right w:val="nil"/>
            </w:tcBorders>
            <w:shd w:val="clear" w:color="auto" w:fill="FF9900"/>
            <w:noWrap/>
            <w:vAlign w:val="center"/>
            <w:hideMark/>
          </w:tcPr>
          <w:p w14:paraId="1572191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1,177,255</w:t>
            </w:r>
          </w:p>
        </w:tc>
        <w:tc>
          <w:tcPr>
            <w:tcW w:w="1191" w:type="dxa"/>
            <w:tcBorders>
              <w:top w:val="nil"/>
              <w:left w:val="nil"/>
              <w:bottom w:val="nil"/>
              <w:right w:val="nil"/>
            </w:tcBorders>
            <w:shd w:val="clear" w:color="auto" w:fill="auto"/>
            <w:noWrap/>
            <w:vAlign w:val="center"/>
            <w:hideMark/>
          </w:tcPr>
          <w:p w14:paraId="1572191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w:t>
            </w:r>
          </w:p>
        </w:tc>
        <w:tc>
          <w:tcPr>
            <w:tcW w:w="1191" w:type="dxa"/>
            <w:tcBorders>
              <w:top w:val="nil"/>
              <w:left w:val="nil"/>
              <w:bottom w:val="nil"/>
              <w:right w:val="nil"/>
            </w:tcBorders>
            <w:shd w:val="clear" w:color="auto" w:fill="auto"/>
            <w:noWrap/>
            <w:vAlign w:val="center"/>
            <w:hideMark/>
          </w:tcPr>
          <w:p w14:paraId="1572191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w:t>
            </w:r>
          </w:p>
        </w:tc>
      </w:tr>
      <w:tr w:rsidR="00F86509" w:rsidRPr="00341B1D" w14:paraId="15721927" w14:textId="77777777" w:rsidTr="00A3394C">
        <w:trPr>
          <w:trHeight w:val="255"/>
        </w:trPr>
        <w:tc>
          <w:tcPr>
            <w:tcW w:w="1877" w:type="dxa"/>
            <w:tcBorders>
              <w:top w:val="nil"/>
              <w:left w:val="nil"/>
              <w:bottom w:val="nil"/>
              <w:right w:val="nil"/>
            </w:tcBorders>
            <w:shd w:val="clear" w:color="auto" w:fill="auto"/>
            <w:noWrap/>
            <w:vAlign w:val="center"/>
            <w:hideMark/>
          </w:tcPr>
          <w:p w14:paraId="1572191F"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Haughton River</w:t>
            </w:r>
          </w:p>
        </w:tc>
        <w:tc>
          <w:tcPr>
            <w:tcW w:w="1191" w:type="dxa"/>
            <w:tcBorders>
              <w:top w:val="nil"/>
              <w:left w:val="nil"/>
              <w:bottom w:val="nil"/>
              <w:right w:val="nil"/>
            </w:tcBorders>
            <w:shd w:val="clear" w:color="auto" w:fill="auto"/>
            <w:noWrap/>
            <w:vAlign w:val="center"/>
            <w:hideMark/>
          </w:tcPr>
          <w:p w14:paraId="1572192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553,292</w:t>
            </w:r>
          </w:p>
        </w:tc>
        <w:tc>
          <w:tcPr>
            <w:tcW w:w="1219" w:type="dxa"/>
            <w:tcBorders>
              <w:top w:val="nil"/>
              <w:left w:val="nil"/>
              <w:bottom w:val="nil"/>
              <w:right w:val="nil"/>
            </w:tcBorders>
            <w:shd w:val="clear" w:color="auto" w:fill="FF0000"/>
            <w:noWrap/>
            <w:vAlign w:val="center"/>
            <w:hideMark/>
          </w:tcPr>
          <w:p w14:paraId="1572192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2,415,758</w:t>
            </w:r>
          </w:p>
        </w:tc>
        <w:tc>
          <w:tcPr>
            <w:tcW w:w="1275" w:type="dxa"/>
            <w:tcBorders>
              <w:top w:val="nil"/>
              <w:left w:val="nil"/>
              <w:bottom w:val="nil"/>
              <w:right w:val="nil"/>
            </w:tcBorders>
            <w:shd w:val="clear" w:color="auto" w:fill="FF0000"/>
            <w:noWrap/>
            <w:vAlign w:val="center"/>
            <w:hideMark/>
          </w:tcPr>
          <w:p w14:paraId="1572192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1,755,712</w:t>
            </w:r>
          </w:p>
        </w:tc>
        <w:tc>
          <w:tcPr>
            <w:tcW w:w="1191" w:type="dxa"/>
            <w:tcBorders>
              <w:top w:val="nil"/>
              <w:left w:val="nil"/>
              <w:bottom w:val="nil"/>
              <w:right w:val="nil"/>
            </w:tcBorders>
            <w:shd w:val="clear" w:color="auto" w:fill="auto"/>
            <w:noWrap/>
            <w:vAlign w:val="center"/>
            <w:hideMark/>
          </w:tcPr>
          <w:p w14:paraId="1572192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517,069</w:t>
            </w:r>
          </w:p>
        </w:tc>
        <w:tc>
          <w:tcPr>
            <w:tcW w:w="1191" w:type="dxa"/>
            <w:tcBorders>
              <w:top w:val="nil"/>
              <w:left w:val="nil"/>
              <w:bottom w:val="nil"/>
              <w:right w:val="nil"/>
            </w:tcBorders>
            <w:shd w:val="clear" w:color="auto" w:fill="auto"/>
            <w:noWrap/>
            <w:vAlign w:val="center"/>
            <w:hideMark/>
          </w:tcPr>
          <w:p w14:paraId="1572192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573,976</w:t>
            </w:r>
          </w:p>
        </w:tc>
        <w:tc>
          <w:tcPr>
            <w:tcW w:w="1191" w:type="dxa"/>
            <w:tcBorders>
              <w:top w:val="nil"/>
              <w:left w:val="nil"/>
              <w:bottom w:val="nil"/>
              <w:right w:val="nil"/>
            </w:tcBorders>
            <w:shd w:val="clear" w:color="auto" w:fill="auto"/>
            <w:noWrap/>
            <w:vAlign w:val="center"/>
            <w:hideMark/>
          </w:tcPr>
          <w:p w14:paraId="1572192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120,674</w:t>
            </w:r>
          </w:p>
        </w:tc>
        <w:tc>
          <w:tcPr>
            <w:tcW w:w="1191" w:type="dxa"/>
            <w:tcBorders>
              <w:top w:val="nil"/>
              <w:left w:val="nil"/>
              <w:bottom w:val="nil"/>
              <w:right w:val="nil"/>
            </w:tcBorders>
            <w:shd w:val="clear" w:color="auto" w:fill="auto"/>
            <w:noWrap/>
            <w:vAlign w:val="center"/>
            <w:hideMark/>
          </w:tcPr>
          <w:p w14:paraId="1572192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267,986</w:t>
            </w:r>
          </w:p>
        </w:tc>
      </w:tr>
      <w:tr w:rsidR="00F86509" w:rsidRPr="00341B1D" w14:paraId="15721930" w14:textId="77777777" w:rsidTr="00A3394C">
        <w:trPr>
          <w:trHeight w:val="255"/>
        </w:trPr>
        <w:tc>
          <w:tcPr>
            <w:tcW w:w="1877" w:type="dxa"/>
            <w:tcBorders>
              <w:top w:val="nil"/>
              <w:left w:val="nil"/>
              <w:bottom w:val="nil"/>
              <w:right w:val="nil"/>
            </w:tcBorders>
            <w:shd w:val="clear" w:color="auto" w:fill="auto"/>
            <w:noWrap/>
            <w:vAlign w:val="center"/>
            <w:hideMark/>
          </w:tcPr>
          <w:p w14:paraId="15721928"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Burdekin River</w:t>
            </w:r>
          </w:p>
        </w:tc>
        <w:tc>
          <w:tcPr>
            <w:tcW w:w="1191" w:type="dxa"/>
            <w:tcBorders>
              <w:top w:val="nil"/>
              <w:left w:val="nil"/>
              <w:bottom w:val="nil"/>
              <w:right w:val="nil"/>
            </w:tcBorders>
            <w:shd w:val="clear" w:color="auto" w:fill="auto"/>
            <w:noWrap/>
            <w:vAlign w:val="center"/>
            <w:hideMark/>
          </w:tcPr>
          <w:p w14:paraId="1572192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4,406,780</w:t>
            </w:r>
          </w:p>
        </w:tc>
        <w:tc>
          <w:tcPr>
            <w:tcW w:w="1219" w:type="dxa"/>
            <w:tcBorders>
              <w:top w:val="nil"/>
              <w:left w:val="nil"/>
              <w:bottom w:val="nil"/>
              <w:right w:val="nil"/>
            </w:tcBorders>
            <w:shd w:val="clear" w:color="auto" w:fill="FF0000"/>
            <w:noWrap/>
            <w:vAlign w:val="center"/>
            <w:hideMark/>
          </w:tcPr>
          <w:p w14:paraId="1572192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34,834,316</w:t>
            </w:r>
          </w:p>
        </w:tc>
        <w:tc>
          <w:tcPr>
            <w:tcW w:w="1275" w:type="dxa"/>
            <w:tcBorders>
              <w:top w:val="nil"/>
              <w:left w:val="nil"/>
              <w:bottom w:val="nil"/>
              <w:right w:val="nil"/>
            </w:tcBorders>
            <w:shd w:val="clear" w:color="auto" w:fill="FF0000"/>
            <w:noWrap/>
            <w:vAlign w:val="center"/>
            <w:hideMark/>
          </w:tcPr>
          <w:p w14:paraId="1572192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15,568,159</w:t>
            </w:r>
          </w:p>
        </w:tc>
        <w:tc>
          <w:tcPr>
            <w:tcW w:w="1191" w:type="dxa"/>
            <w:tcBorders>
              <w:top w:val="nil"/>
              <w:left w:val="nil"/>
              <w:bottom w:val="nil"/>
              <w:right w:val="nil"/>
            </w:tcBorders>
            <w:shd w:val="clear" w:color="auto" w:fill="auto"/>
            <w:noWrap/>
            <w:vAlign w:val="center"/>
            <w:hideMark/>
          </w:tcPr>
          <w:p w14:paraId="1572192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3,424,572</w:t>
            </w:r>
          </w:p>
        </w:tc>
        <w:tc>
          <w:tcPr>
            <w:tcW w:w="1191" w:type="dxa"/>
            <w:tcBorders>
              <w:top w:val="nil"/>
              <w:left w:val="nil"/>
              <w:bottom w:val="nil"/>
              <w:right w:val="nil"/>
            </w:tcBorders>
            <w:shd w:val="clear" w:color="auto" w:fill="auto"/>
            <w:noWrap/>
            <w:vAlign w:val="center"/>
            <w:hideMark/>
          </w:tcPr>
          <w:p w14:paraId="1572192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1,458,772</w:t>
            </w:r>
          </w:p>
        </w:tc>
        <w:tc>
          <w:tcPr>
            <w:tcW w:w="1191" w:type="dxa"/>
            <w:tcBorders>
              <w:top w:val="nil"/>
              <w:left w:val="nil"/>
              <w:bottom w:val="nil"/>
              <w:right w:val="nil"/>
            </w:tcBorders>
            <w:shd w:val="clear" w:color="auto" w:fill="auto"/>
            <w:noWrap/>
            <w:vAlign w:val="center"/>
            <w:hideMark/>
          </w:tcPr>
          <w:p w14:paraId="1572192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880,951</w:t>
            </w:r>
          </w:p>
        </w:tc>
        <w:tc>
          <w:tcPr>
            <w:tcW w:w="1191" w:type="dxa"/>
            <w:tcBorders>
              <w:top w:val="nil"/>
              <w:left w:val="nil"/>
              <w:bottom w:val="nil"/>
              <w:right w:val="nil"/>
            </w:tcBorders>
            <w:shd w:val="clear" w:color="auto" w:fill="auto"/>
            <w:noWrap/>
            <w:vAlign w:val="center"/>
            <w:hideMark/>
          </w:tcPr>
          <w:p w14:paraId="1572192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1,807,104</w:t>
            </w:r>
          </w:p>
        </w:tc>
      </w:tr>
      <w:tr w:rsidR="00F86509" w:rsidRPr="00341B1D" w14:paraId="15721939" w14:textId="77777777" w:rsidTr="00A3394C">
        <w:trPr>
          <w:trHeight w:val="255"/>
        </w:trPr>
        <w:tc>
          <w:tcPr>
            <w:tcW w:w="1877" w:type="dxa"/>
            <w:tcBorders>
              <w:top w:val="nil"/>
              <w:left w:val="nil"/>
              <w:bottom w:val="nil"/>
              <w:right w:val="nil"/>
            </w:tcBorders>
            <w:shd w:val="clear" w:color="auto" w:fill="auto"/>
            <w:noWrap/>
            <w:vAlign w:val="center"/>
            <w:hideMark/>
          </w:tcPr>
          <w:p w14:paraId="15721931"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Don River</w:t>
            </w:r>
          </w:p>
        </w:tc>
        <w:tc>
          <w:tcPr>
            <w:tcW w:w="1191" w:type="dxa"/>
            <w:tcBorders>
              <w:top w:val="nil"/>
              <w:left w:val="nil"/>
              <w:bottom w:val="nil"/>
              <w:right w:val="nil"/>
            </w:tcBorders>
            <w:shd w:val="clear" w:color="auto" w:fill="auto"/>
            <w:noWrap/>
            <w:vAlign w:val="center"/>
            <w:hideMark/>
          </w:tcPr>
          <w:p w14:paraId="1572193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342,257</w:t>
            </w:r>
          </w:p>
        </w:tc>
        <w:tc>
          <w:tcPr>
            <w:tcW w:w="1219" w:type="dxa"/>
            <w:tcBorders>
              <w:top w:val="nil"/>
              <w:left w:val="nil"/>
              <w:bottom w:val="nil"/>
              <w:right w:val="nil"/>
            </w:tcBorders>
            <w:shd w:val="clear" w:color="auto" w:fill="FF0000"/>
            <w:noWrap/>
            <w:vAlign w:val="center"/>
            <w:hideMark/>
          </w:tcPr>
          <w:p w14:paraId="1572193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3,136,184</w:t>
            </w:r>
          </w:p>
        </w:tc>
        <w:tc>
          <w:tcPr>
            <w:tcW w:w="1275" w:type="dxa"/>
            <w:tcBorders>
              <w:top w:val="nil"/>
              <w:left w:val="nil"/>
              <w:bottom w:val="nil"/>
              <w:right w:val="nil"/>
            </w:tcBorders>
            <w:shd w:val="clear" w:color="auto" w:fill="FF9900"/>
            <w:noWrap/>
            <w:vAlign w:val="center"/>
            <w:hideMark/>
          </w:tcPr>
          <w:p w14:paraId="1572193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802,738</w:t>
            </w:r>
          </w:p>
        </w:tc>
        <w:tc>
          <w:tcPr>
            <w:tcW w:w="1191" w:type="dxa"/>
            <w:tcBorders>
              <w:top w:val="nil"/>
              <w:left w:val="nil"/>
              <w:bottom w:val="nil"/>
              <w:right w:val="nil"/>
            </w:tcBorders>
            <w:shd w:val="clear" w:color="auto" w:fill="FFFF00"/>
            <w:noWrap/>
            <w:vAlign w:val="center"/>
            <w:hideMark/>
          </w:tcPr>
          <w:p w14:paraId="1572193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578,391</w:t>
            </w:r>
          </w:p>
        </w:tc>
        <w:tc>
          <w:tcPr>
            <w:tcW w:w="1191" w:type="dxa"/>
            <w:tcBorders>
              <w:top w:val="nil"/>
              <w:left w:val="nil"/>
              <w:bottom w:val="nil"/>
              <w:right w:val="nil"/>
            </w:tcBorders>
            <w:shd w:val="clear" w:color="auto" w:fill="auto"/>
            <w:noWrap/>
            <w:vAlign w:val="center"/>
            <w:hideMark/>
          </w:tcPr>
          <w:p w14:paraId="1572193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324,120</w:t>
            </w:r>
          </w:p>
        </w:tc>
        <w:tc>
          <w:tcPr>
            <w:tcW w:w="1191" w:type="dxa"/>
            <w:tcBorders>
              <w:top w:val="nil"/>
              <w:left w:val="nil"/>
              <w:bottom w:val="nil"/>
              <w:right w:val="nil"/>
            </w:tcBorders>
            <w:shd w:val="clear" w:color="auto" w:fill="auto"/>
            <w:noWrap/>
            <w:vAlign w:val="center"/>
            <w:hideMark/>
          </w:tcPr>
          <w:p w14:paraId="1572193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171,305</w:t>
            </w:r>
          </w:p>
        </w:tc>
        <w:tc>
          <w:tcPr>
            <w:tcW w:w="1191" w:type="dxa"/>
            <w:tcBorders>
              <w:top w:val="nil"/>
              <w:left w:val="nil"/>
              <w:bottom w:val="nil"/>
              <w:right w:val="nil"/>
            </w:tcBorders>
            <w:shd w:val="clear" w:color="auto" w:fill="auto"/>
            <w:noWrap/>
            <w:vAlign w:val="center"/>
            <w:hideMark/>
          </w:tcPr>
          <w:p w14:paraId="1572193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101,562</w:t>
            </w:r>
          </w:p>
        </w:tc>
      </w:tr>
      <w:tr w:rsidR="00F86509" w:rsidRPr="00341B1D" w14:paraId="15721942" w14:textId="77777777" w:rsidTr="00A3394C">
        <w:trPr>
          <w:trHeight w:val="255"/>
        </w:trPr>
        <w:tc>
          <w:tcPr>
            <w:tcW w:w="1877" w:type="dxa"/>
            <w:tcBorders>
              <w:top w:val="nil"/>
              <w:left w:val="nil"/>
              <w:bottom w:val="nil"/>
              <w:right w:val="nil"/>
            </w:tcBorders>
            <w:shd w:val="clear" w:color="auto" w:fill="auto"/>
            <w:noWrap/>
            <w:vAlign w:val="center"/>
            <w:hideMark/>
          </w:tcPr>
          <w:p w14:paraId="1572193A"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Proserpine River</w:t>
            </w:r>
          </w:p>
        </w:tc>
        <w:tc>
          <w:tcPr>
            <w:tcW w:w="1191" w:type="dxa"/>
            <w:tcBorders>
              <w:top w:val="nil"/>
              <w:left w:val="nil"/>
              <w:bottom w:val="nil"/>
              <w:right w:val="nil"/>
            </w:tcBorders>
            <w:shd w:val="clear" w:color="auto" w:fill="auto"/>
            <w:noWrap/>
            <w:vAlign w:val="center"/>
            <w:hideMark/>
          </w:tcPr>
          <w:p w14:paraId="1572193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887,771</w:t>
            </w:r>
          </w:p>
        </w:tc>
        <w:tc>
          <w:tcPr>
            <w:tcW w:w="1219" w:type="dxa"/>
            <w:tcBorders>
              <w:top w:val="nil"/>
              <w:left w:val="nil"/>
              <w:bottom w:val="nil"/>
              <w:right w:val="nil"/>
            </w:tcBorders>
            <w:shd w:val="clear" w:color="auto" w:fill="FF0000"/>
            <w:noWrap/>
            <w:vAlign w:val="center"/>
            <w:hideMark/>
          </w:tcPr>
          <w:p w14:paraId="1572193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4,582,697</w:t>
            </w:r>
          </w:p>
        </w:tc>
        <w:tc>
          <w:tcPr>
            <w:tcW w:w="1275" w:type="dxa"/>
            <w:tcBorders>
              <w:top w:val="nil"/>
              <w:left w:val="nil"/>
              <w:bottom w:val="nil"/>
              <w:right w:val="nil"/>
            </w:tcBorders>
            <w:shd w:val="clear" w:color="auto" w:fill="FF9900"/>
            <w:noWrap/>
            <w:vAlign w:val="center"/>
            <w:hideMark/>
          </w:tcPr>
          <w:p w14:paraId="1572193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2,171,287</w:t>
            </w:r>
          </w:p>
        </w:tc>
        <w:tc>
          <w:tcPr>
            <w:tcW w:w="1191" w:type="dxa"/>
            <w:tcBorders>
              <w:top w:val="nil"/>
              <w:left w:val="nil"/>
              <w:bottom w:val="nil"/>
              <w:right w:val="nil"/>
            </w:tcBorders>
            <w:shd w:val="clear" w:color="auto" w:fill="auto"/>
            <w:noWrap/>
            <w:vAlign w:val="center"/>
            <w:hideMark/>
          </w:tcPr>
          <w:p w14:paraId="1572193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851,504</w:t>
            </w:r>
          </w:p>
        </w:tc>
        <w:tc>
          <w:tcPr>
            <w:tcW w:w="1191" w:type="dxa"/>
            <w:tcBorders>
              <w:top w:val="nil"/>
              <w:left w:val="nil"/>
              <w:bottom w:val="nil"/>
              <w:right w:val="nil"/>
            </w:tcBorders>
            <w:shd w:val="clear" w:color="auto" w:fill="auto"/>
            <w:noWrap/>
            <w:vAlign w:val="center"/>
            <w:hideMark/>
          </w:tcPr>
          <w:p w14:paraId="1572193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720,427</w:t>
            </w:r>
          </w:p>
        </w:tc>
        <w:tc>
          <w:tcPr>
            <w:tcW w:w="1191" w:type="dxa"/>
            <w:tcBorders>
              <w:top w:val="nil"/>
              <w:left w:val="nil"/>
              <w:bottom w:val="nil"/>
              <w:right w:val="nil"/>
            </w:tcBorders>
            <w:shd w:val="clear" w:color="auto" w:fill="auto"/>
            <w:noWrap/>
            <w:vAlign w:val="center"/>
            <w:hideMark/>
          </w:tcPr>
          <w:p w14:paraId="1572194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157,123</w:t>
            </w:r>
          </w:p>
        </w:tc>
        <w:tc>
          <w:tcPr>
            <w:tcW w:w="1191" w:type="dxa"/>
            <w:tcBorders>
              <w:top w:val="nil"/>
              <w:left w:val="nil"/>
              <w:bottom w:val="nil"/>
              <w:right w:val="nil"/>
            </w:tcBorders>
            <w:shd w:val="clear" w:color="auto" w:fill="auto"/>
            <w:noWrap/>
            <w:vAlign w:val="center"/>
            <w:hideMark/>
          </w:tcPr>
          <w:p w14:paraId="1572194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316,648</w:t>
            </w:r>
          </w:p>
        </w:tc>
      </w:tr>
      <w:tr w:rsidR="00F86509" w:rsidRPr="00341B1D" w14:paraId="1572194B" w14:textId="77777777" w:rsidTr="00A3394C">
        <w:trPr>
          <w:trHeight w:val="255"/>
        </w:trPr>
        <w:tc>
          <w:tcPr>
            <w:tcW w:w="1877" w:type="dxa"/>
            <w:tcBorders>
              <w:top w:val="nil"/>
              <w:left w:val="nil"/>
              <w:bottom w:val="nil"/>
              <w:right w:val="nil"/>
            </w:tcBorders>
            <w:shd w:val="clear" w:color="auto" w:fill="auto"/>
            <w:noWrap/>
            <w:vAlign w:val="center"/>
            <w:hideMark/>
          </w:tcPr>
          <w:p w14:paraId="15721943"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O'Connell River</w:t>
            </w:r>
          </w:p>
        </w:tc>
        <w:tc>
          <w:tcPr>
            <w:tcW w:w="1191" w:type="dxa"/>
            <w:tcBorders>
              <w:top w:val="nil"/>
              <w:left w:val="nil"/>
              <w:bottom w:val="nil"/>
              <w:right w:val="nil"/>
            </w:tcBorders>
            <w:shd w:val="clear" w:color="auto" w:fill="auto"/>
            <w:noWrap/>
            <w:vAlign w:val="center"/>
            <w:hideMark/>
          </w:tcPr>
          <w:p w14:paraId="1572194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796,718</w:t>
            </w:r>
          </w:p>
        </w:tc>
        <w:tc>
          <w:tcPr>
            <w:tcW w:w="1219" w:type="dxa"/>
            <w:tcBorders>
              <w:top w:val="nil"/>
              <w:left w:val="nil"/>
              <w:bottom w:val="nil"/>
              <w:right w:val="nil"/>
            </w:tcBorders>
            <w:shd w:val="clear" w:color="auto" w:fill="FF0000"/>
            <w:noWrap/>
            <w:vAlign w:val="center"/>
            <w:hideMark/>
          </w:tcPr>
          <w:p w14:paraId="1572194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4,112,676</w:t>
            </w:r>
          </w:p>
        </w:tc>
        <w:tc>
          <w:tcPr>
            <w:tcW w:w="1275" w:type="dxa"/>
            <w:tcBorders>
              <w:top w:val="nil"/>
              <w:left w:val="nil"/>
              <w:bottom w:val="nil"/>
              <w:right w:val="nil"/>
            </w:tcBorders>
            <w:shd w:val="clear" w:color="auto" w:fill="FF9900"/>
            <w:noWrap/>
            <w:vAlign w:val="center"/>
            <w:hideMark/>
          </w:tcPr>
          <w:p w14:paraId="1572194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1,948,591</w:t>
            </w:r>
          </w:p>
        </w:tc>
        <w:tc>
          <w:tcPr>
            <w:tcW w:w="1191" w:type="dxa"/>
            <w:tcBorders>
              <w:top w:val="nil"/>
              <w:left w:val="nil"/>
              <w:bottom w:val="nil"/>
              <w:right w:val="nil"/>
            </w:tcBorders>
            <w:shd w:val="clear" w:color="auto" w:fill="auto"/>
            <w:noWrap/>
            <w:vAlign w:val="center"/>
            <w:hideMark/>
          </w:tcPr>
          <w:p w14:paraId="1572194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764,170</w:t>
            </w:r>
          </w:p>
        </w:tc>
        <w:tc>
          <w:tcPr>
            <w:tcW w:w="1191" w:type="dxa"/>
            <w:tcBorders>
              <w:top w:val="nil"/>
              <w:left w:val="nil"/>
              <w:bottom w:val="nil"/>
              <w:right w:val="nil"/>
            </w:tcBorders>
            <w:shd w:val="clear" w:color="auto" w:fill="auto"/>
            <w:noWrap/>
            <w:vAlign w:val="center"/>
            <w:hideMark/>
          </w:tcPr>
          <w:p w14:paraId="1572194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646,537</w:t>
            </w:r>
          </w:p>
        </w:tc>
        <w:tc>
          <w:tcPr>
            <w:tcW w:w="1191" w:type="dxa"/>
            <w:tcBorders>
              <w:top w:val="nil"/>
              <w:left w:val="nil"/>
              <w:bottom w:val="nil"/>
              <w:right w:val="nil"/>
            </w:tcBorders>
            <w:shd w:val="clear" w:color="auto" w:fill="auto"/>
            <w:noWrap/>
            <w:vAlign w:val="center"/>
            <w:hideMark/>
          </w:tcPr>
          <w:p w14:paraId="1572194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141,008</w:t>
            </w:r>
          </w:p>
        </w:tc>
        <w:tc>
          <w:tcPr>
            <w:tcW w:w="1191" w:type="dxa"/>
            <w:tcBorders>
              <w:top w:val="nil"/>
              <w:left w:val="nil"/>
              <w:bottom w:val="nil"/>
              <w:right w:val="nil"/>
            </w:tcBorders>
            <w:shd w:val="clear" w:color="auto" w:fill="auto"/>
            <w:noWrap/>
            <w:vAlign w:val="center"/>
            <w:hideMark/>
          </w:tcPr>
          <w:p w14:paraId="1572194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284,171</w:t>
            </w:r>
          </w:p>
        </w:tc>
      </w:tr>
      <w:tr w:rsidR="00F86509" w:rsidRPr="00341B1D" w14:paraId="15721954" w14:textId="77777777" w:rsidTr="00A3394C">
        <w:trPr>
          <w:trHeight w:val="255"/>
        </w:trPr>
        <w:tc>
          <w:tcPr>
            <w:tcW w:w="1877" w:type="dxa"/>
            <w:tcBorders>
              <w:top w:val="nil"/>
              <w:left w:val="nil"/>
              <w:bottom w:val="nil"/>
              <w:right w:val="nil"/>
            </w:tcBorders>
            <w:shd w:val="clear" w:color="auto" w:fill="auto"/>
            <w:noWrap/>
            <w:vAlign w:val="center"/>
            <w:hideMark/>
          </w:tcPr>
          <w:p w14:paraId="1572194C"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Pioneer River</w:t>
            </w:r>
          </w:p>
        </w:tc>
        <w:tc>
          <w:tcPr>
            <w:tcW w:w="1191" w:type="dxa"/>
            <w:tcBorders>
              <w:top w:val="nil"/>
              <w:left w:val="nil"/>
              <w:bottom w:val="nil"/>
              <w:right w:val="nil"/>
            </w:tcBorders>
            <w:shd w:val="clear" w:color="auto" w:fill="auto"/>
            <w:noWrap/>
            <w:vAlign w:val="center"/>
            <w:hideMark/>
          </w:tcPr>
          <w:p w14:paraId="1572194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776,984</w:t>
            </w:r>
          </w:p>
        </w:tc>
        <w:tc>
          <w:tcPr>
            <w:tcW w:w="1219" w:type="dxa"/>
            <w:tcBorders>
              <w:top w:val="nil"/>
              <w:left w:val="nil"/>
              <w:bottom w:val="nil"/>
              <w:right w:val="nil"/>
            </w:tcBorders>
            <w:shd w:val="clear" w:color="auto" w:fill="FF0000"/>
            <w:noWrap/>
            <w:vAlign w:val="center"/>
            <w:hideMark/>
          </w:tcPr>
          <w:p w14:paraId="1572194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3,630,422</w:t>
            </w:r>
          </w:p>
        </w:tc>
        <w:tc>
          <w:tcPr>
            <w:tcW w:w="1275" w:type="dxa"/>
            <w:tcBorders>
              <w:top w:val="nil"/>
              <w:left w:val="nil"/>
              <w:bottom w:val="nil"/>
              <w:right w:val="nil"/>
            </w:tcBorders>
            <w:shd w:val="clear" w:color="auto" w:fill="FF9900"/>
            <w:noWrap/>
            <w:vAlign w:val="center"/>
            <w:hideMark/>
          </w:tcPr>
          <w:p w14:paraId="1572194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1,567,684</w:t>
            </w:r>
          </w:p>
        </w:tc>
        <w:tc>
          <w:tcPr>
            <w:tcW w:w="1191" w:type="dxa"/>
            <w:tcBorders>
              <w:top w:val="nil"/>
              <w:left w:val="nil"/>
              <w:bottom w:val="nil"/>
              <w:right w:val="nil"/>
            </w:tcBorders>
            <w:shd w:val="clear" w:color="auto" w:fill="FFFF00"/>
            <w:noWrap/>
            <w:vAlign w:val="center"/>
            <w:hideMark/>
          </w:tcPr>
          <w:p w14:paraId="1572195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1,162,871</w:t>
            </w:r>
          </w:p>
        </w:tc>
        <w:tc>
          <w:tcPr>
            <w:tcW w:w="1191" w:type="dxa"/>
            <w:tcBorders>
              <w:top w:val="nil"/>
              <w:left w:val="nil"/>
              <w:bottom w:val="nil"/>
              <w:right w:val="nil"/>
            </w:tcBorders>
            <w:shd w:val="clear" w:color="auto" w:fill="auto"/>
            <w:noWrap/>
            <w:vAlign w:val="center"/>
            <w:hideMark/>
          </w:tcPr>
          <w:p w14:paraId="1572195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635,315</w:t>
            </w:r>
          </w:p>
        </w:tc>
        <w:tc>
          <w:tcPr>
            <w:tcW w:w="1191" w:type="dxa"/>
            <w:tcBorders>
              <w:top w:val="nil"/>
              <w:left w:val="nil"/>
              <w:bottom w:val="nil"/>
              <w:right w:val="nil"/>
            </w:tcBorders>
            <w:shd w:val="clear" w:color="auto" w:fill="FF9900"/>
            <w:noWrap/>
            <w:vAlign w:val="center"/>
            <w:hideMark/>
          </w:tcPr>
          <w:p w14:paraId="1572195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2,028,936</w:t>
            </w:r>
          </w:p>
        </w:tc>
        <w:tc>
          <w:tcPr>
            <w:tcW w:w="1191" w:type="dxa"/>
            <w:tcBorders>
              <w:top w:val="nil"/>
              <w:left w:val="nil"/>
              <w:bottom w:val="nil"/>
              <w:right w:val="nil"/>
            </w:tcBorders>
            <w:shd w:val="clear" w:color="auto" w:fill="auto"/>
            <w:noWrap/>
            <w:vAlign w:val="center"/>
            <w:hideMark/>
          </w:tcPr>
          <w:p w14:paraId="1572195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597,117</w:t>
            </w:r>
          </w:p>
        </w:tc>
      </w:tr>
      <w:tr w:rsidR="00F86509" w:rsidRPr="00341B1D" w14:paraId="1572195D" w14:textId="77777777" w:rsidTr="00A3394C">
        <w:trPr>
          <w:trHeight w:val="255"/>
        </w:trPr>
        <w:tc>
          <w:tcPr>
            <w:tcW w:w="1877" w:type="dxa"/>
            <w:tcBorders>
              <w:top w:val="nil"/>
              <w:left w:val="nil"/>
              <w:bottom w:val="nil"/>
              <w:right w:val="nil"/>
            </w:tcBorders>
            <w:shd w:val="clear" w:color="auto" w:fill="auto"/>
            <w:noWrap/>
            <w:vAlign w:val="center"/>
            <w:hideMark/>
          </w:tcPr>
          <w:p w14:paraId="15721955"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Plane Creek</w:t>
            </w:r>
          </w:p>
        </w:tc>
        <w:tc>
          <w:tcPr>
            <w:tcW w:w="1191" w:type="dxa"/>
            <w:tcBorders>
              <w:top w:val="nil"/>
              <w:left w:val="nil"/>
              <w:bottom w:val="nil"/>
              <w:right w:val="nil"/>
            </w:tcBorders>
            <w:shd w:val="clear" w:color="auto" w:fill="auto"/>
            <w:noWrap/>
            <w:vAlign w:val="center"/>
            <w:hideMark/>
          </w:tcPr>
          <w:p w14:paraId="1572195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1,052,831</w:t>
            </w:r>
          </w:p>
        </w:tc>
        <w:tc>
          <w:tcPr>
            <w:tcW w:w="1219" w:type="dxa"/>
            <w:tcBorders>
              <w:top w:val="nil"/>
              <w:left w:val="nil"/>
              <w:bottom w:val="nil"/>
              <w:right w:val="nil"/>
            </w:tcBorders>
            <w:shd w:val="clear" w:color="auto" w:fill="FF0000"/>
            <w:noWrap/>
            <w:vAlign w:val="center"/>
            <w:hideMark/>
          </w:tcPr>
          <w:p w14:paraId="1572195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4,809,239</w:t>
            </w:r>
          </w:p>
        </w:tc>
        <w:tc>
          <w:tcPr>
            <w:tcW w:w="1275" w:type="dxa"/>
            <w:tcBorders>
              <w:top w:val="nil"/>
              <w:left w:val="nil"/>
              <w:bottom w:val="nil"/>
              <w:right w:val="nil"/>
            </w:tcBorders>
            <w:shd w:val="clear" w:color="auto" w:fill="FF9900"/>
            <w:noWrap/>
            <w:vAlign w:val="center"/>
            <w:hideMark/>
          </w:tcPr>
          <w:p w14:paraId="1572195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2,854,703</w:t>
            </w:r>
          </w:p>
        </w:tc>
        <w:tc>
          <w:tcPr>
            <w:tcW w:w="1191" w:type="dxa"/>
            <w:tcBorders>
              <w:top w:val="nil"/>
              <w:left w:val="nil"/>
              <w:bottom w:val="nil"/>
              <w:right w:val="nil"/>
            </w:tcBorders>
            <w:shd w:val="clear" w:color="auto" w:fill="FFFF00"/>
            <w:noWrap/>
            <w:vAlign w:val="center"/>
            <w:hideMark/>
          </w:tcPr>
          <w:p w14:paraId="1572195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1,948,929</w:t>
            </w:r>
          </w:p>
        </w:tc>
        <w:tc>
          <w:tcPr>
            <w:tcW w:w="1191" w:type="dxa"/>
            <w:tcBorders>
              <w:top w:val="nil"/>
              <w:left w:val="nil"/>
              <w:bottom w:val="nil"/>
              <w:right w:val="nil"/>
            </w:tcBorders>
            <w:shd w:val="clear" w:color="auto" w:fill="auto"/>
            <w:noWrap/>
            <w:vAlign w:val="center"/>
            <w:hideMark/>
          </w:tcPr>
          <w:p w14:paraId="1572195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737,580</w:t>
            </w:r>
          </w:p>
        </w:tc>
        <w:tc>
          <w:tcPr>
            <w:tcW w:w="1191" w:type="dxa"/>
            <w:tcBorders>
              <w:top w:val="nil"/>
              <w:left w:val="nil"/>
              <w:bottom w:val="nil"/>
              <w:right w:val="nil"/>
            </w:tcBorders>
            <w:shd w:val="clear" w:color="auto" w:fill="auto"/>
            <w:noWrap/>
            <w:vAlign w:val="center"/>
            <w:hideMark/>
          </w:tcPr>
          <w:p w14:paraId="1572195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241,254</w:t>
            </w:r>
          </w:p>
        </w:tc>
        <w:tc>
          <w:tcPr>
            <w:tcW w:w="1191" w:type="dxa"/>
            <w:tcBorders>
              <w:top w:val="nil"/>
              <w:left w:val="nil"/>
              <w:bottom w:val="nil"/>
              <w:right w:val="nil"/>
            </w:tcBorders>
            <w:shd w:val="clear" w:color="auto" w:fill="auto"/>
            <w:noWrap/>
            <w:vAlign w:val="center"/>
            <w:hideMark/>
          </w:tcPr>
          <w:p w14:paraId="1572195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832,508</w:t>
            </w:r>
          </w:p>
        </w:tc>
      </w:tr>
      <w:tr w:rsidR="00F86509" w:rsidRPr="00341B1D" w14:paraId="15721966" w14:textId="77777777" w:rsidTr="00A3394C">
        <w:trPr>
          <w:trHeight w:val="255"/>
        </w:trPr>
        <w:tc>
          <w:tcPr>
            <w:tcW w:w="1877" w:type="dxa"/>
            <w:tcBorders>
              <w:top w:val="nil"/>
              <w:left w:val="nil"/>
              <w:bottom w:val="nil"/>
              <w:right w:val="nil"/>
            </w:tcBorders>
            <w:shd w:val="clear" w:color="auto" w:fill="auto"/>
            <w:noWrap/>
            <w:vAlign w:val="center"/>
            <w:hideMark/>
          </w:tcPr>
          <w:p w14:paraId="1572195E"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Styx River</w:t>
            </w:r>
          </w:p>
        </w:tc>
        <w:tc>
          <w:tcPr>
            <w:tcW w:w="1191" w:type="dxa"/>
            <w:tcBorders>
              <w:top w:val="nil"/>
              <w:left w:val="nil"/>
              <w:bottom w:val="nil"/>
              <w:right w:val="nil"/>
            </w:tcBorders>
            <w:shd w:val="clear" w:color="auto" w:fill="auto"/>
            <w:noWrap/>
            <w:vAlign w:val="center"/>
            <w:hideMark/>
          </w:tcPr>
          <w:p w14:paraId="1572195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187,756</w:t>
            </w:r>
          </w:p>
        </w:tc>
        <w:tc>
          <w:tcPr>
            <w:tcW w:w="1219" w:type="dxa"/>
            <w:tcBorders>
              <w:top w:val="nil"/>
              <w:left w:val="nil"/>
              <w:bottom w:val="nil"/>
              <w:right w:val="nil"/>
            </w:tcBorders>
            <w:shd w:val="clear" w:color="auto" w:fill="FF0000"/>
            <w:noWrap/>
            <w:vAlign w:val="center"/>
            <w:hideMark/>
          </w:tcPr>
          <w:p w14:paraId="1572196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906,144</w:t>
            </w:r>
          </w:p>
        </w:tc>
        <w:tc>
          <w:tcPr>
            <w:tcW w:w="1275" w:type="dxa"/>
            <w:tcBorders>
              <w:top w:val="nil"/>
              <w:left w:val="nil"/>
              <w:bottom w:val="nil"/>
              <w:right w:val="nil"/>
            </w:tcBorders>
            <w:shd w:val="clear" w:color="auto" w:fill="FFFF00"/>
            <w:noWrap/>
            <w:vAlign w:val="center"/>
            <w:hideMark/>
          </w:tcPr>
          <w:p w14:paraId="1572196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275,219</w:t>
            </w:r>
          </w:p>
        </w:tc>
        <w:tc>
          <w:tcPr>
            <w:tcW w:w="1191" w:type="dxa"/>
            <w:tcBorders>
              <w:top w:val="nil"/>
              <w:left w:val="nil"/>
              <w:bottom w:val="nil"/>
              <w:right w:val="nil"/>
            </w:tcBorders>
            <w:shd w:val="clear" w:color="auto" w:fill="FF0000"/>
            <w:noWrap/>
            <w:vAlign w:val="center"/>
            <w:hideMark/>
          </w:tcPr>
          <w:p w14:paraId="1572196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968,106</w:t>
            </w:r>
          </w:p>
        </w:tc>
        <w:tc>
          <w:tcPr>
            <w:tcW w:w="1191" w:type="dxa"/>
            <w:tcBorders>
              <w:top w:val="nil"/>
              <w:left w:val="nil"/>
              <w:bottom w:val="nil"/>
              <w:right w:val="nil"/>
            </w:tcBorders>
            <w:shd w:val="clear" w:color="auto" w:fill="FF9900"/>
            <w:noWrap/>
            <w:vAlign w:val="center"/>
            <w:hideMark/>
          </w:tcPr>
          <w:p w14:paraId="1572196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544,155</w:t>
            </w:r>
          </w:p>
        </w:tc>
        <w:tc>
          <w:tcPr>
            <w:tcW w:w="1191" w:type="dxa"/>
            <w:tcBorders>
              <w:top w:val="nil"/>
              <w:left w:val="nil"/>
              <w:bottom w:val="nil"/>
              <w:right w:val="nil"/>
            </w:tcBorders>
            <w:shd w:val="clear" w:color="auto" w:fill="FF9900"/>
            <w:noWrap/>
            <w:vAlign w:val="center"/>
            <w:hideMark/>
          </w:tcPr>
          <w:p w14:paraId="1572196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376,009</w:t>
            </w:r>
          </w:p>
        </w:tc>
        <w:tc>
          <w:tcPr>
            <w:tcW w:w="1191" w:type="dxa"/>
            <w:tcBorders>
              <w:top w:val="nil"/>
              <w:left w:val="nil"/>
              <w:bottom w:val="nil"/>
              <w:right w:val="nil"/>
            </w:tcBorders>
            <w:shd w:val="clear" w:color="auto" w:fill="FFFF00"/>
            <w:noWrap/>
            <w:vAlign w:val="center"/>
            <w:hideMark/>
          </w:tcPr>
          <w:p w14:paraId="1572196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343,877</w:t>
            </w:r>
          </w:p>
        </w:tc>
      </w:tr>
      <w:tr w:rsidR="00F86509" w:rsidRPr="00341B1D" w14:paraId="1572196F" w14:textId="77777777" w:rsidTr="00A3394C">
        <w:trPr>
          <w:trHeight w:val="255"/>
        </w:trPr>
        <w:tc>
          <w:tcPr>
            <w:tcW w:w="1877" w:type="dxa"/>
            <w:tcBorders>
              <w:top w:val="nil"/>
              <w:left w:val="nil"/>
              <w:bottom w:val="nil"/>
              <w:right w:val="nil"/>
            </w:tcBorders>
            <w:shd w:val="clear" w:color="auto" w:fill="auto"/>
            <w:noWrap/>
            <w:vAlign w:val="center"/>
            <w:hideMark/>
          </w:tcPr>
          <w:p w14:paraId="15721967"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Shoalwater Creek</w:t>
            </w:r>
          </w:p>
        </w:tc>
        <w:tc>
          <w:tcPr>
            <w:tcW w:w="1191" w:type="dxa"/>
            <w:tcBorders>
              <w:top w:val="nil"/>
              <w:left w:val="nil"/>
              <w:bottom w:val="nil"/>
              <w:right w:val="nil"/>
            </w:tcBorders>
            <w:shd w:val="clear" w:color="auto" w:fill="auto"/>
            <w:noWrap/>
            <w:vAlign w:val="center"/>
            <w:hideMark/>
          </w:tcPr>
          <w:p w14:paraId="1572196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213,653</w:t>
            </w:r>
          </w:p>
        </w:tc>
        <w:tc>
          <w:tcPr>
            <w:tcW w:w="1219" w:type="dxa"/>
            <w:tcBorders>
              <w:top w:val="nil"/>
              <w:left w:val="nil"/>
              <w:bottom w:val="nil"/>
              <w:right w:val="nil"/>
            </w:tcBorders>
            <w:shd w:val="clear" w:color="auto" w:fill="FF0000"/>
            <w:noWrap/>
            <w:vAlign w:val="center"/>
            <w:hideMark/>
          </w:tcPr>
          <w:p w14:paraId="1572196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1,031,129</w:t>
            </w:r>
          </w:p>
        </w:tc>
        <w:tc>
          <w:tcPr>
            <w:tcW w:w="1275" w:type="dxa"/>
            <w:tcBorders>
              <w:top w:val="nil"/>
              <w:left w:val="nil"/>
              <w:bottom w:val="nil"/>
              <w:right w:val="nil"/>
            </w:tcBorders>
            <w:shd w:val="clear" w:color="auto" w:fill="FFFF00"/>
            <w:noWrap/>
            <w:vAlign w:val="center"/>
            <w:hideMark/>
          </w:tcPr>
          <w:p w14:paraId="1572196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313,180</w:t>
            </w:r>
          </w:p>
        </w:tc>
        <w:tc>
          <w:tcPr>
            <w:tcW w:w="1191" w:type="dxa"/>
            <w:tcBorders>
              <w:top w:val="nil"/>
              <w:left w:val="nil"/>
              <w:bottom w:val="nil"/>
              <w:right w:val="nil"/>
            </w:tcBorders>
            <w:shd w:val="clear" w:color="auto" w:fill="FF0000"/>
            <w:noWrap/>
            <w:vAlign w:val="center"/>
            <w:hideMark/>
          </w:tcPr>
          <w:p w14:paraId="1572196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1,101,638</w:t>
            </w:r>
          </w:p>
        </w:tc>
        <w:tc>
          <w:tcPr>
            <w:tcW w:w="1191" w:type="dxa"/>
            <w:tcBorders>
              <w:top w:val="nil"/>
              <w:left w:val="nil"/>
              <w:bottom w:val="nil"/>
              <w:right w:val="nil"/>
            </w:tcBorders>
            <w:shd w:val="clear" w:color="auto" w:fill="FF9900"/>
            <w:noWrap/>
            <w:vAlign w:val="center"/>
            <w:hideMark/>
          </w:tcPr>
          <w:p w14:paraId="1572196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619,211</w:t>
            </w:r>
          </w:p>
        </w:tc>
        <w:tc>
          <w:tcPr>
            <w:tcW w:w="1191" w:type="dxa"/>
            <w:tcBorders>
              <w:top w:val="nil"/>
              <w:left w:val="nil"/>
              <w:bottom w:val="nil"/>
              <w:right w:val="nil"/>
            </w:tcBorders>
            <w:shd w:val="clear" w:color="auto" w:fill="FF9900"/>
            <w:noWrap/>
            <w:vAlign w:val="center"/>
            <w:hideMark/>
          </w:tcPr>
          <w:p w14:paraId="1572196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427,872</w:t>
            </w:r>
          </w:p>
        </w:tc>
        <w:tc>
          <w:tcPr>
            <w:tcW w:w="1191" w:type="dxa"/>
            <w:tcBorders>
              <w:top w:val="nil"/>
              <w:left w:val="nil"/>
              <w:bottom w:val="nil"/>
              <w:right w:val="nil"/>
            </w:tcBorders>
            <w:shd w:val="clear" w:color="auto" w:fill="FFFF00"/>
            <w:noWrap/>
            <w:vAlign w:val="center"/>
            <w:hideMark/>
          </w:tcPr>
          <w:p w14:paraId="1572196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391,308</w:t>
            </w:r>
          </w:p>
        </w:tc>
      </w:tr>
      <w:tr w:rsidR="00F86509" w:rsidRPr="00341B1D" w14:paraId="15721978" w14:textId="77777777" w:rsidTr="00A3394C">
        <w:trPr>
          <w:trHeight w:val="255"/>
        </w:trPr>
        <w:tc>
          <w:tcPr>
            <w:tcW w:w="1877" w:type="dxa"/>
            <w:tcBorders>
              <w:top w:val="nil"/>
              <w:left w:val="nil"/>
              <w:bottom w:val="nil"/>
              <w:right w:val="nil"/>
            </w:tcBorders>
            <w:shd w:val="clear" w:color="auto" w:fill="auto"/>
            <w:noWrap/>
            <w:vAlign w:val="center"/>
            <w:hideMark/>
          </w:tcPr>
          <w:p w14:paraId="15721970"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Water Park Creek</w:t>
            </w:r>
          </w:p>
        </w:tc>
        <w:tc>
          <w:tcPr>
            <w:tcW w:w="1191" w:type="dxa"/>
            <w:tcBorders>
              <w:top w:val="nil"/>
              <w:left w:val="nil"/>
              <w:bottom w:val="nil"/>
              <w:right w:val="nil"/>
            </w:tcBorders>
            <w:shd w:val="clear" w:color="auto" w:fill="auto"/>
            <w:noWrap/>
            <w:vAlign w:val="center"/>
            <w:hideMark/>
          </w:tcPr>
          <w:p w14:paraId="1572197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563,267</w:t>
            </w:r>
          </w:p>
        </w:tc>
        <w:tc>
          <w:tcPr>
            <w:tcW w:w="1219" w:type="dxa"/>
            <w:tcBorders>
              <w:top w:val="nil"/>
              <w:left w:val="nil"/>
              <w:bottom w:val="nil"/>
              <w:right w:val="nil"/>
            </w:tcBorders>
            <w:shd w:val="clear" w:color="auto" w:fill="FF0000"/>
            <w:noWrap/>
            <w:vAlign w:val="center"/>
            <w:hideMark/>
          </w:tcPr>
          <w:p w14:paraId="1572197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2,718,432</w:t>
            </w:r>
          </w:p>
        </w:tc>
        <w:tc>
          <w:tcPr>
            <w:tcW w:w="1275" w:type="dxa"/>
            <w:tcBorders>
              <w:top w:val="nil"/>
              <w:left w:val="nil"/>
              <w:bottom w:val="nil"/>
              <w:right w:val="nil"/>
            </w:tcBorders>
            <w:shd w:val="clear" w:color="auto" w:fill="FFFF00"/>
            <w:noWrap/>
            <w:vAlign w:val="center"/>
            <w:hideMark/>
          </w:tcPr>
          <w:p w14:paraId="1572197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825,657</w:t>
            </w:r>
          </w:p>
        </w:tc>
        <w:tc>
          <w:tcPr>
            <w:tcW w:w="1191" w:type="dxa"/>
            <w:tcBorders>
              <w:top w:val="nil"/>
              <w:left w:val="nil"/>
              <w:bottom w:val="nil"/>
              <w:right w:val="nil"/>
            </w:tcBorders>
            <w:shd w:val="clear" w:color="auto" w:fill="FF0000"/>
            <w:noWrap/>
            <w:vAlign w:val="center"/>
            <w:hideMark/>
          </w:tcPr>
          <w:p w14:paraId="1572197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2,904,319</w:t>
            </w:r>
          </w:p>
        </w:tc>
        <w:tc>
          <w:tcPr>
            <w:tcW w:w="1191" w:type="dxa"/>
            <w:tcBorders>
              <w:top w:val="nil"/>
              <w:left w:val="nil"/>
              <w:bottom w:val="nil"/>
              <w:right w:val="nil"/>
            </w:tcBorders>
            <w:shd w:val="clear" w:color="auto" w:fill="FF9900"/>
            <w:noWrap/>
            <w:vAlign w:val="center"/>
            <w:hideMark/>
          </w:tcPr>
          <w:p w14:paraId="1572197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1,632,466</w:t>
            </w:r>
          </w:p>
        </w:tc>
        <w:tc>
          <w:tcPr>
            <w:tcW w:w="1191" w:type="dxa"/>
            <w:tcBorders>
              <w:top w:val="nil"/>
              <w:left w:val="nil"/>
              <w:bottom w:val="nil"/>
              <w:right w:val="nil"/>
            </w:tcBorders>
            <w:shd w:val="clear" w:color="auto" w:fill="FF9900"/>
            <w:noWrap/>
            <w:vAlign w:val="center"/>
            <w:hideMark/>
          </w:tcPr>
          <w:p w14:paraId="1572197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1,128,027</w:t>
            </w:r>
          </w:p>
        </w:tc>
        <w:tc>
          <w:tcPr>
            <w:tcW w:w="1191" w:type="dxa"/>
            <w:tcBorders>
              <w:top w:val="nil"/>
              <w:left w:val="nil"/>
              <w:bottom w:val="nil"/>
              <w:right w:val="nil"/>
            </w:tcBorders>
            <w:shd w:val="clear" w:color="auto" w:fill="FFFF00"/>
            <w:noWrap/>
            <w:vAlign w:val="center"/>
            <w:hideMark/>
          </w:tcPr>
          <w:p w14:paraId="1572197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1,031,630</w:t>
            </w:r>
          </w:p>
        </w:tc>
      </w:tr>
      <w:tr w:rsidR="00F86509" w:rsidRPr="00341B1D" w14:paraId="15721981" w14:textId="77777777" w:rsidTr="00A3394C">
        <w:trPr>
          <w:trHeight w:val="255"/>
        </w:trPr>
        <w:tc>
          <w:tcPr>
            <w:tcW w:w="1877" w:type="dxa"/>
            <w:tcBorders>
              <w:top w:val="nil"/>
              <w:left w:val="nil"/>
              <w:bottom w:val="nil"/>
              <w:right w:val="nil"/>
            </w:tcBorders>
            <w:shd w:val="clear" w:color="auto" w:fill="auto"/>
            <w:noWrap/>
            <w:vAlign w:val="center"/>
            <w:hideMark/>
          </w:tcPr>
          <w:p w14:paraId="15721979"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Fitzroy River</w:t>
            </w:r>
          </w:p>
        </w:tc>
        <w:tc>
          <w:tcPr>
            <w:tcW w:w="1191" w:type="dxa"/>
            <w:tcBorders>
              <w:top w:val="nil"/>
              <w:left w:val="nil"/>
              <w:bottom w:val="nil"/>
              <w:right w:val="nil"/>
            </w:tcBorders>
            <w:shd w:val="clear" w:color="auto" w:fill="auto"/>
            <w:noWrap/>
            <w:vAlign w:val="center"/>
            <w:hideMark/>
          </w:tcPr>
          <w:p w14:paraId="1572197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2,852,307</w:t>
            </w:r>
          </w:p>
        </w:tc>
        <w:tc>
          <w:tcPr>
            <w:tcW w:w="1219" w:type="dxa"/>
            <w:tcBorders>
              <w:top w:val="nil"/>
              <w:left w:val="nil"/>
              <w:bottom w:val="nil"/>
              <w:right w:val="nil"/>
            </w:tcBorders>
            <w:shd w:val="clear" w:color="auto" w:fill="FF0000"/>
            <w:noWrap/>
            <w:vAlign w:val="center"/>
            <w:hideMark/>
          </w:tcPr>
          <w:p w14:paraId="1572197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37,942,149</w:t>
            </w:r>
          </w:p>
        </w:tc>
        <w:tc>
          <w:tcPr>
            <w:tcW w:w="1275" w:type="dxa"/>
            <w:tcBorders>
              <w:top w:val="nil"/>
              <w:left w:val="nil"/>
              <w:bottom w:val="nil"/>
              <w:right w:val="nil"/>
            </w:tcBorders>
            <w:shd w:val="clear" w:color="auto" w:fill="FF9900"/>
            <w:noWrap/>
            <w:vAlign w:val="center"/>
            <w:hideMark/>
          </w:tcPr>
          <w:p w14:paraId="1572197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7,993,273</w:t>
            </w:r>
          </w:p>
        </w:tc>
        <w:tc>
          <w:tcPr>
            <w:tcW w:w="1191" w:type="dxa"/>
            <w:tcBorders>
              <w:top w:val="nil"/>
              <w:left w:val="nil"/>
              <w:bottom w:val="nil"/>
              <w:right w:val="nil"/>
            </w:tcBorders>
            <w:shd w:val="clear" w:color="auto" w:fill="FF0000"/>
            <w:noWrap/>
            <w:vAlign w:val="center"/>
            <w:hideMark/>
          </w:tcPr>
          <w:p w14:paraId="1572197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8,530,491</w:t>
            </w:r>
          </w:p>
        </w:tc>
        <w:tc>
          <w:tcPr>
            <w:tcW w:w="1191" w:type="dxa"/>
            <w:tcBorders>
              <w:top w:val="nil"/>
              <w:left w:val="nil"/>
              <w:bottom w:val="nil"/>
              <w:right w:val="nil"/>
            </w:tcBorders>
            <w:shd w:val="clear" w:color="auto" w:fill="auto"/>
            <w:noWrap/>
            <w:vAlign w:val="center"/>
            <w:hideMark/>
          </w:tcPr>
          <w:p w14:paraId="1572197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1,578,610</w:t>
            </w:r>
          </w:p>
        </w:tc>
        <w:tc>
          <w:tcPr>
            <w:tcW w:w="1191" w:type="dxa"/>
            <w:tcBorders>
              <w:top w:val="nil"/>
              <w:left w:val="nil"/>
              <w:bottom w:val="nil"/>
              <w:right w:val="nil"/>
            </w:tcBorders>
            <w:shd w:val="clear" w:color="auto" w:fill="auto"/>
            <w:noWrap/>
            <w:vAlign w:val="center"/>
            <w:hideMark/>
          </w:tcPr>
          <w:p w14:paraId="1572197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2,681,949</w:t>
            </w:r>
          </w:p>
        </w:tc>
        <w:tc>
          <w:tcPr>
            <w:tcW w:w="1191" w:type="dxa"/>
            <w:tcBorders>
              <w:top w:val="nil"/>
              <w:left w:val="nil"/>
              <w:bottom w:val="nil"/>
              <w:right w:val="nil"/>
            </w:tcBorders>
            <w:shd w:val="clear" w:color="auto" w:fill="auto"/>
            <w:noWrap/>
            <w:vAlign w:val="center"/>
            <w:hideMark/>
          </w:tcPr>
          <w:p w14:paraId="1572198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3,589,342</w:t>
            </w:r>
          </w:p>
        </w:tc>
      </w:tr>
      <w:tr w:rsidR="00F86509" w:rsidRPr="00341B1D" w14:paraId="1572198A" w14:textId="77777777" w:rsidTr="00A3394C">
        <w:trPr>
          <w:trHeight w:val="255"/>
        </w:trPr>
        <w:tc>
          <w:tcPr>
            <w:tcW w:w="1877" w:type="dxa"/>
            <w:tcBorders>
              <w:top w:val="nil"/>
              <w:left w:val="nil"/>
              <w:bottom w:val="nil"/>
              <w:right w:val="nil"/>
            </w:tcBorders>
            <w:shd w:val="clear" w:color="auto" w:fill="auto"/>
            <w:noWrap/>
            <w:vAlign w:val="center"/>
            <w:hideMark/>
          </w:tcPr>
          <w:p w14:paraId="15721982"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Calliope River</w:t>
            </w:r>
          </w:p>
        </w:tc>
        <w:tc>
          <w:tcPr>
            <w:tcW w:w="1191" w:type="dxa"/>
            <w:tcBorders>
              <w:top w:val="nil"/>
              <w:left w:val="nil"/>
              <w:bottom w:val="nil"/>
              <w:right w:val="nil"/>
            </w:tcBorders>
            <w:shd w:val="clear" w:color="auto" w:fill="auto"/>
            <w:noWrap/>
            <w:vAlign w:val="center"/>
            <w:hideMark/>
          </w:tcPr>
          <w:p w14:paraId="1572198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152,965</w:t>
            </w:r>
          </w:p>
        </w:tc>
        <w:tc>
          <w:tcPr>
            <w:tcW w:w="1219" w:type="dxa"/>
            <w:tcBorders>
              <w:top w:val="nil"/>
              <w:left w:val="nil"/>
              <w:bottom w:val="nil"/>
              <w:right w:val="nil"/>
            </w:tcBorders>
            <w:shd w:val="clear" w:color="auto" w:fill="FF0000"/>
            <w:noWrap/>
            <w:vAlign w:val="center"/>
            <w:hideMark/>
          </w:tcPr>
          <w:p w14:paraId="1572198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1,000,032</w:t>
            </w:r>
          </w:p>
        </w:tc>
        <w:tc>
          <w:tcPr>
            <w:tcW w:w="1275" w:type="dxa"/>
            <w:tcBorders>
              <w:top w:val="nil"/>
              <w:left w:val="nil"/>
              <w:bottom w:val="nil"/>
              <w:right w:val="nil"/>
            </w:tcBorders>
            <w:shd w:val="clear" w:color="auto" w:fill="FF9900"/>
            <w:noWrap/>
            <w:vAlign w:val="center"/>
            <w:hideMark/>
          </w:tcPr>
          <w:p w14:paraId="1572198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345,703</w:t>
            </w:r>
          </w:p>
        </w:tc>
        <w:tc>
          <w:tcPr>
            <w:tcW w:w="1191" w:type="dxa"/>
            <w:tcBorders>
              <w:top w:val="nil"/>
              <w:left w:val="nil"/>
              <w:bottom w:val="nil"/>
              <w:right w:val="nil"/>
            </w:tcBorders>
            <w:shd w:val="clear" w:color="auto" w:fill="FF0000"/>
            <w:noWrap/>
            <w:vAlign w:val="center"/>
            <w:hideMark/>
          </w:tcPr>
          <w:p w14:paraId="1572198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1,558,380</w:t>
            </w:r>
          </w:p>
        </w:tc>
        <w:tc>
          <w:tcPr>
            <w:tcW w:w="1191" w:type="dxa"/>
            <w:tcBorders>
              <w:top w:val="nil"/>
              <w:left w:val="nil"/>
              <w:bottom w:val="nil"/>
              <w:right w:val="nil"/>
            </w:tcBorders>
            <w:shd w:val="clear" w:color="auto" w:fill="FFFF00"/>
            <w:noWrap/>
            <w:vAlign w:val="center"/>
            <w:hideMark/>
          </w:tcPr>
          <w:p w14:paraId="1572198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283,790</w:t>
            </w:r>
          </w:p>
        </w:tc>
        <w:tc>
          <w:tcPr>
            <w:tcW w:w="1191" w:type="dxa"/>
            <w:tcBorders>
              <w:top w:val="nil"/>
              <w:left w:val="nil"/>
              <w:bottom w:val="nil"/>
              <w:right w:val="nil"/>
            </w:tcBorders>
            <w:shd w:val="clear" w:color="auto" w:fill="FF0000"/>
            <w:noWrap/>
            <w:vAlign w:val="center"/>
            <w:hideMark/>
          </w:tcPr>
          <w:p w14:paraId="1572198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479,868</w:t>
            </w:r>
          </w:p>
        </w:tc>
        <w:tc>
          <w:tcPr>
            <w:tcW w:w="1191" w:type="dxa"/>
            <w:tcBorders>
              <w:top w:val="nil"/>
              <w:left w:val="nil"/>
              <w:bottom w:val="nil"/>
              <w:right w:val="nil"/>
            </w:tcBorders>
            <w:shd w:val="clear" w:color="auto" w:fill="auto"/>
            <w:noWrap/>
            <w:vAlign w:val="center"/>
            <w:hideMark/>
          </w:tcPr>
          <w:p w14:paraId="1572198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148,547</w:t>
            </w:r>
          </w:p>
        </w:tc>
      </w:tr>
      <w:tr w:rsidR="00F86509" w:rsidRPr="00341B1D" w14:paraId="15721993" w14:textId="77777777" w:rsidTr="00A3394C">
        <w:trPr>
          <w:trHeight w:val="255"/>
        </w:trPr>
        <w:tc>
          <w:tcPr>
            <w:tcW w:w="1877" w:type="dxa"/>
            <w:tcBorders>
              <w:top w:val="nil"/>
              <w:left w:val="nil"/>
              <w:right w:val="nil"/>
            </w:tcBorders>
            <w:shd w:val="clear" w:color="auto" w:fill="auto"/>
            <w:noWrap/>
            <w:vAlign w:val="center"/>
            <w:hideMark/>
          </w:tcPr>
          <w:p w14:paraId="1572198B"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Boyne River</w:t>
            </w:r>
          </w:p>
        </w:tc>
        <w:tc>
          <w:tcPr>
            <w:tcW w:w="1191" w:type="dxa"/>
            <w:tcBorders>
              <w:top w:val="nil"/>
              <w:left w:val="nil"/>
              <w:right w:val="nil"/>
            </w:tcBorders>
            <w:shd w:val="clear" w:color="auto" w:fill="auto"/>
            <w:noWrap/>
            <w:vAlign w:val="center"/>
            <w:hideMark/>
          </w:tcPr>
          <w:p w14:paraId="1572198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38,691</w:t>
            </w:r>
          </w:p>
        </w:tc>
        <w:tc>
          <w:tcPr>
            <w:tcW w:w="1219" w:type="dxa"/>
            <w:tcBorders>
              <w:top w:val="nil"/>
              <w:left w:val="nil"/>
              <w:right w:val="nil"/>
            </w:tcBorders>
            <w:shd w:val="clear" w:color="auto" w:fill="FF0000"/>
            <w:noWrap/>
            <w:vAlign w:val="center"/>
            <w:hideMark/>
          </w:tcPr>
          <w:p w14:paraId="1572198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252,949</w:t>
            </w:r>
          </w:p>
        </w:tc>
        <w:tc>
          <w:tcPr>
            <w:tcW w:w="1275" w:type="dxa"/>
            <w:tcBorders>
              <w:top w:val="nil"/>
              <w:left w:val="nil"/>
              <w:right w:val="nil"/>
            </w:tcBorders>
            <w:shd w:val="clear" w:color="auto" w:fill="FF9900"/>
            <w:noWrap/>
            <w:vAlign w:val="center"/>
            <w:hideMark/>
          </w:tcPr>
          <w:p w14:paraId="1572198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87,443</w:t>
            </w:r>
          </w:p>
        </w:tc>
        <w:tc>
          <w:tcPr>
            <w:tcW w:w="1191" w:type="dxa"/>
            <w:tcBorders>
              <w:top w:val="nil"/>
              <w:left w:val="nil"/>
              <w:right w:val="nil"/>
            </w:tcBorders>
            <w:shd w:val="clear" w:color="auto" w:fill="FF0000"/>
            <w:noWrap/>
            <w:vAlign w:val="center"/>
            <w:hideMark/>
          </w:tcPr>
          <w:p w14:paraId="1572198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394,178</w:t>
            </w:r>
          </w:p>
        </w:tc>
        <w:tc>
          <w:tcPr>
            <w:tcW w:w="1191" w:type="dxa"/>
            <w:tcBorders>
              <w:top w:val="nil"/>
              <w:left w:val="nil"/>
              <w:right w:val="nil"/>
            </w:tcBorders>
            <w:shd w:val="clear" w:color="auto" w:fill="FFFF00"/>
            <w:noWrap/>
            <w:vAlign w:val="center"/>
            <w:hideMark/>
          </w:tcPr>
          <w:p w14:paraId="1572199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71,782</w:t>
            </w:r>
          </w:p>
        </w:tc>
        <w:tc>
          <w:tcPr>
            <w:tcW w:w="1191" w:type="dxa"/>
            <w:tcBorders>
              <w:top w:val="nil"/>
              <w:left w:val="nil"/>
              <w:right w:val="nil"/>
            </w:tcBorders>
            <w:shd w:val="clear" w:color="auto" w:fill="FF0000"/>
            <w:noWrap/>
            <w:vAlign w:val="center"/>
            <w:hideMark/>
          </w:tcPr>
          <w:p w14:paraId="1572199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121,378</w:t>
            </w:r>
          </w:p>
        </w:tc>
        <w:tc>
          <w:tcPr>
            <w:tcW w:w="1191" w:type="dxa"/>
            <w:tcBorders>
              <w:top w:val="nil"/>
              <w:left w:val="nil"/>
              <w:right w:val="nil"/>
            </w:tcBorders>
            <w:shd w:val="clear" w:color="auto" w:fill="auto"/>
            <w:noWrap/>
            <w:vAlign w:val="center"/>
            <w:hideMark/>
          </w:tcPr>
          <w:p w14:paraId="1572199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37,574</w:t>
            </w:r>
          </w:p>
        </w:tc>
      </w:tr>
      <w:tr w:rsidR="00F86509" w:rsidRPr="00341B1D" w14:paraId="1572199C" w14:textId="77777777" w:rsidTr="00A3394C">
        <w:trPr>
          <w:trHeight w:val="255"/>
        </w:trPr>
        <w:tc>
          <w:tcPr>
            <w:tcW w:w="1877" w:type="dxa"/>
            <w:tcBorders>
              <w:top w:val="nil"/>
              <w:left w:val="nil"/>
              <w:bottom w:val="nil"/>
              <w:right w:val="nil"/>
            </w:tcBorders>
            <w:shd w:val="clear" w:color="auto" w:fill="auto"/>
            <w:noWrap/>
            <w:vAlign w:val="center"/>
            <w:hideMark/>
          </w:tcPr>
          <w:p w14:paraId="15721994"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Baffle Creek</w:t>
            </w:r>
          </w:p>
        </w:tc>
        <w:tc>
          <w:tcPr>
            <w:tcW w:w="1191" w:type="dxa"/>
            <w:tcBorders>
              <w:top w:val="nil"/>
              <w:left w:val="nil"/>
              <w:bottom w:val="nil"/>
              <w:right w:val="nil"/>
            </w:tcBorders>
            <w:shd w:val="clear" w:color="auto" w:fill="auto"/>
            <w:noWrap/>
            <w:vAlign w:val="center"/>
            <w:hideMark/>
          </w:tcPr>
          <w:p w14:paraId="1572199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367,525</w:t>
            </w:r>
          </w:p>
        </w:tc>
        <w:tc>
          <w:tcPr>
            <w:tcW w:w="1219" w:type="dxa"/>
            <w:tcBorders>
              <w:top w:val="nil"/>
              <w:left w:val="nil"/>
              <w:bottom w:val="nil"/>
              <w:right w:val="nil"/>
            </w:tcBorders>
            <w:shd w:val="clear" w:color="auto" w:fill="FF0000"/>
            <w:noWrap/>
            <w:vAlign w:val="center"/>
            <w:hideMark/>
          </w:tcPr>
          <w:p w14:paraId="1572199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3,650,093</w:t>
            </w:r>
          </w:p>
        </w:tc>
        <w:tc>
          <w:tcPr>
            <w:tcW w:w="1275" w:type="dxa"/>
            <w:tcBorders>
              <w:top w:val="nil"/>
              <w:left w:val="nil"/>
              <w:bottom w:val="nil"/>
              <w:right w:val="nil"/>
            </w:tcBorders>
            <w:shd w:val="clear" w:color="auto" w:fill="FF0000"/>
            <w:noWrap/>
            <w:vAlign w:val="center"/>
            <w:hideMark/>
          </w:tcPr>
          <w:p w14:paraId="1572199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1,775,749</w:t>
            </w:r>
          </w:p>
        </w:tc>
        <w:tc>
          <w:tcPr>
            <w:tcW w:w="1191" w:type="dxa"/>
            <w:tcBorders>
              <w:top w:val="nil"/>
              <w:left w:val="nil"/>
              <w:bottom w:val="nil"/>
              <w:right w:val="nil"/>
            </w:tcBorders>
            <w:shd w:val="clear" w:color="auto" w:fill="FF0000"/>
            <w:noWrap/>
            <w:vAlign w:val="center"/>
            <w:hideMark/>
          </w:tcPr>
          <w:p w14:paraId="1572199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2,030,545</w:t>
            </w:r>
          </w:p>
        </w:tc>
        <w:tc>
          <w:tcPr>
            <w:tcW w:w="1191" w:type="dxa"/>
            <w:tcBorders>
              <w:top w:val="nil"/>
              <w:left w:val="nil"/>
              <w:bottom w:val="nil"/>
              <w:right w:val="nil"/>
            </w:tcBorders>
            <w:shd w:val="clear" w:color="auto" w:fill="auto"/>
            <w:noWrap/>
            <w:vAlign w:val="center"/>
            <w:hideMark/>
          </w:tcPr>
          <w:p w14:paraId="1572199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275,517</w:t>
            </w:r>
          </w:p>
        </w:tc>
        <w:tc>
          <w:tcPr>
            <w:tcW w:w="1191" w:type="dxa"/>
            <w:tcBorders>
              <w:top w:val="nil"/>
              <w:left w:val="nil"/>
              <w:bottom w:val="nil"/>
              <w:right w:val="nil"/>
            </w:tcBorders>
            <w:shd w:val="clear" w:color="auto" w:fill="FFFF00"/>
            <w:noWrap/>
            <w:vAlign w:val="center"/>
            <w:hideMark/>
          </w:tcPr>
          <w:p w14:paraId="1572199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710,352</w:t>
            </w:r>
          </w:p>
        </w:tc>
        <w:tc>
          <w:tcPr>
            <w:tcW w:w="1191" w:type="dxa"/>
            <w:tcBorders>
              <w:top w:val="nil"/>
              <w:left w:val="nil"/>
              <w:bottom w:val="nil"/>
              <w:right w:val="nil"/>
            </w:tcBorders>
            <w:shd w:val="clear" w:color="auto" w:fill="auto"/>
            <w:noWrap/>
            <w:vAlign w:val="center"/>
            <w:hideMark/>
          </w:tcPr>
          <w:p w14:paraId="1572199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257,093</w:t>
            </w:r>
          </w:p>
        </w:tc>
      </w:tr>
      <w:tr w:rsidR="00F86509" w:rsidRPr="00341B1D" w14:paraId="157219A5" w14:textId="77777777" w:rsidTr="00A3394C">
        <w:trPr>
          <w:trHeight w:val="255"/>
        </w:trPr>
        <w:tc>
          <w:tcPr>
            <w:tcW w:w="1877" w:type="dxa"/>
            <w:tcBorders>
              <w:top w:val="nil"/>
              <w:left w:val="nil"/>
              <w:bottom w:val="nil"/>
              <w:right w:val="nil"/>
            </w:tcBorders>
            <w:shd w:val="clear" w:color="auto" w:fill="auto"/>
            <w:noWrap/>
            <w:vAlign w:val="center"/>
            <w:hideMark/>
          </w:tcPr>
          <w:p w14:paraId="1572199D"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Kolan River</w:t>
            </w:r>
          </w:p>
        </w:tc>
        <w:tc>
          <w:tcPr>
            <w:tcW w:w="1191" w:type="dxa"/>
            <w:tcBorders>
              <w:top w:val="nil"/>
              <w:left w:val="nil"/>
              <w:bottom w:val="nil"/>
              <w:right w:val="nil"/>
            </w:tcBorders>
            <w:shd w:val="clear" w:color="auto" w:fill="auto"/>
            <w:noWrap/>
            <w:vAlign w:val="center"/>
            <w:hideMark/>
          </w:tcPr>
          <w:p w14:paraId="1572199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47,866</w:t>
            </w:r>
          </w:p>
        </w:tc>
        <w:tc>
          <w:tcPr>
            <w:tcW w:w="1219" w:type="dxa"/>
            <w:tcBorders>
              <w:top w:val="nil"/>
              <w:left w:val="nil"/>
              <w:bottom w:val="nil"/>
              <w:right w:val="nil"/>
            </w:tcBorders>
            <w:shd w:val="clear" w:color="auto" w:fill="FF0000"/>
            <w:noWrap/>
            <w:vAlign w:val="center"/>
            <w:hideMark/>
          </w:tcPr>
          <w:p w14:paraId="1572199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779,168</w:t>
            </w:r>
          </w:p>
        </w:tc>
        <w:tc>
          <w:tcPr>
            <w:tcW w:w="1275" w:type="dxa"/>
            <w:tcBorders>
              <w:top w:val="nil"/>
              <w:left w:val="nil"/>
              <w:bottom w:val="nil"/>
              <w:right w:val="nil"/>
            </w:tcBorders>
            <w:shd w:val="clear" w:color="auto" w:fill="FF0000"/>
            <w:noWrap/>
            <w:vAlign w:val="center"/>
            <w:hideMark/>
          </w:tcPr>
          <w:p w14:paraId="157219A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307,837</w:t>
            </w:r>
          </w:p>
        </w:tc>
        <w:tc>
          <w:tcPr>
            <w:tcW w:w="1191" w:type="dxa"/>
            <w:tcBorders>
              <w:top w:val="nil"/>
              <w:left w:val="nil"/>
              <w:bottom w:val="nil"/>
              <w:right w:val="nil"/>
            </w:tcBorders>
            <w:shd w:val="clear" w:color="auto" w:fill="FF0000"/>
            <w:noWrap/>
            <w:vAlign w:val="center"/>
            <w:hideMark/>
          </w:tcPr>
          <w:p w14:paraId="157219A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810,411</w:t>
            </w:r>
          </w:p>
        </w:tc>
        <w:tc>
          <w:tcPr>
            <w:tcW w:w="1191" w:type="dxa"/>
            <w:tcBorders>
              <w:top w:val="nil"/>
              <w:left w:val="nil"/>
              <w:bottom w:val="nil"/>
              <w:right w:val="nil"/>
            </w:tcBorders>
            <w:shd w:val="clear" w:color="auto" w:fill="auto"/>
            <w:noWrap/>
            <w:vAlign w:val="center"/>
            <w:hideMark/>
          </w:tcPr>
          <w:p w14:paraId="157219A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45,304</w:t>
            </w:r>
          </w:p>
        </w:tc>
        <w:tc>
          <w:tcPr>
            <w:tcW w:w="1191" w:type="dxa"/>
            <w:tcBorders>
              <w:top w:val="nil"/>
              <w:left w:val="nil"/>
              <w:bottom w:val="nil"/>
              <w:right w:val="nil"/>
            </w:tcBorders>
            <w:shd w:val="clear" w:color="auto" w:fill="FF0000"/>
            <w:noWrap/>
            <w:vAlign w:val="center"/>
            <w:hideMark/>
          </w:tcPr>
          <w:p w14:paraId="157219A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213,857</w:t>
            </w:r>
          </w:p>
        </w:tc>
        <w:tc>
          <w:tcPr>
            <w:tcW w:w="1191" w:type="dxa"/>
            <w:tcBorders>
              <w:top w:val="nil"/>
              <w:left w:val="nil"/>
              <w:bottom w:val="nil"/>
              <w:right w:val="nil"/>
            </w:tcBorders>
            <w:shd w:val="clear" w:color="auto" w:fill="FF9900"/>
            <w:noWrap/>
            <w:vAlign w:val="center"/>
            <w:hideMark/>
          </w:tcPr>
          <w:p w14:paraId="157219A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111,172</w:t>
            </w:r>
          </w:p>
        </w:tc>
      </w:tr>
      <w:tr w:rsidR="00F86509" w:rsidRPr="00341B1D" w14:paraId="157219AE" w14:textId="77777777" w:rsidTr="00A3394C">
        <w:trPr>
          <w:trHeight w:val="255"/>
        </w:trPr>
        <w:tc>
          <w:tcPr>
            <w:tcW w:w="1877" w:type="dxa"/>
            <w:tcBorders>
              <w:top w:val="nil"/>
              <w:left w:val="nil"/>
              <w:bottom w:val="nil"/>
              <w:right w:val="nil"/>
            </w:tcBorders>
            <w:shd w:val="clear" w:color="auto" w:fill="auto"/>
            <w:noWrap/>
            <w:vAlign w:val="center"/>
            <w:hideMark/>
          </w:tcPr>
          <w:p w14:paraId="157219A6"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Burnett River</w:t>
            </w:r>
          </w:p>
        </w:tc>
        <w:tc>
          <w:tcPr>
            <w:tcW w:w="1191" w:type="dxa"/>
            <w:tcBorders>
              <w:top w:val="nil"/>
              <w:left w:val="nil"/>
              <w:bottom w:val="nil"/>
              <w:right w:val="nil"/>
            </w:tcBorders>
            <w:shd w:val="clear" w:color="auto" w:fill="auto"/>
            <w:noWrap/>
            <w:vAlign w:val="center"/>
            <w:hideMark/>
          </w:tcPr>
          <w:p w14:paraId="157219A7"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234,463</w:t>
            </w:r>
          </w:p>
        </w:tc>
        <w:tc>
          <w:tcPr>
            <w:tcW w:w="1219" w:type="dxa"/>
            <w:tcBorders>
              <w:top w:val="nil"/>
              <w:left w:val="nil"/>
              <w:bottom w:val="nil"/>
              <w:right w:val="nil"/>
            </w:tcBorders>
            <w:shd w:val="clear" w:color="auto" w:fill="FF0000"/>
            <w:noWrap/>
            <w:vAlign w:val="center"/>
            <w:hideMark/>
          </w:tcPr>
          <w:p w14:paraId="157219A8"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9,421,517</w:t>
            </w:r>
          </w:p>
        </w:tc>
        <w:tc>
          <w:tcPr>
            <w:tcW w:w="1275" w:type="dxa"/>
            <w:tcBorders>
              <w:top w:val="nil"/>
              <w:left w:val="nil"/>
              <w:bottom w:val="nil"/>
              <w:right w:val="nil"/>
            </w:tcBorders>
            <w:shd w:val="clear" w:color="auto" w:fill="FF9900"/>
            <w:noWrap/>
            <w:vAlign w:val="center"/>
            <w:hideMark/>
          </w:tcPr>
          <w:p w14:paraId="157219A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643,137</w:t>
            </w:r>
          </w:p>
        </w:tc>
        <w:tc>
          <w:tcPr>
            <w:tcW w:w="1191" w:type="dxa"/>
            <w:tcBorders>
              <w:top w:val="nil"/>
              <w:left w:val="nil"/>
              <w:bottom w:val="nil"/>
              <w:right w:val="nil"/>
            </w:tcBorders>
            <w:shd w:val="clear" w:color="auto" w:fill="FF0000"/>
            <w:noWrap/>
            <w:vAlign w:val="center"/>
            <w:hideMark/>
          </w:tcPr>
          <w:p w14:paraId="157219A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7,581,543</w:t>
            </w:r>
          </w:p>
        </w:tc>
        <w:tc>
          <w:tcPr>
            <w:tcW w:w="1191" w:type="dxa"/>
            <w:tcBorders>
              <w:top w:val="nil"/>
              <w:left w:val="nil"/>
              <w:bottom w:val="nil"/>
              <w:right w:val="nil"/>
            </w:tcBorders>
            <w:shd w:val="clear" w:color="auto" w:fill="auto"/>
            <w:noWrap/>
            <w:vAlign w:val="center"/>
            <w:hideMark/>
          </w:tcPr>
          <w:p w14:paraId="157219A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218,087</w:t>
            </w:r>
          </w:p>
        </w:tc>
        <w:tc>
          <w:tcPr>
            <w:tcW w:w="1191" w:type="dxa"/>
            <w:tcBorders>
              <w:top w:val="nil"/>
              <w:left w:val="nil"/>
              <w:bottom w:val="nil"/>
              <w:right w:val="nil"/>
            </w:tcBorders>
            <w:shd w:val="clear" w:color="auto" w:fill="FF0000"/>
            <w:noWrap/>
            <w:vAlign w:val="center"/>
            <w:hideMark/>
          </w:tcPr>
          <w:p w14:paraId="157219A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853,349</w:t>
            </w:r>
          </w:p>
        </w:tc>
        <w:tc>
          <w:tcPr>
            <w:tcW w:w="1191" w:type="dxa"/>
            <w:tcBorders>
              <w:top w:val="nil"/>
              <w:left w:val="nil"/>
              <w:bottom w:val="nil"/>
              <w:right w:val="nil"/>
            </w:tcBorders>
            <w:shd w:val="clear" w:color="auto" w:fill="FFFF00"/>
            <w:noWrap/>
            <w:vAlign w:val="center"/>
            <w:hideMark/>
          </w:tcPr>
          <w:p w14:paraId="157219A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381,054</w:t>
            </w:r>
          </w:p>
        </w:tc>
      </w:tr>
      <w:tr w:rsidR="00F86509" w:rsidRPr="00341B1D" w14:paraId="157219B7" w14:textId="77777777" w:rsidTr="00A3394C">
        <w:trPr>
          <w:trHeight w:val="72"/>
        </w:trPr>
        <w:tc>
          <w:tcPr>
            <w:tcW w:w="1877" w:type="dxa"/>
            <w:tcBorders>
              <w:top w:val="nil"/>
              <w:left w:val="nil"/>
              <w:bottom w:val="nil"/>
              <w:right w:val="nil"/>
            </w:tcBorders>
            <w:shd w:val="clear" w:color="auto" w:fill="auto"/>
            <w:noWrap/>
            <w:vAlign w:val="center"/>
            <w:hideMark/>
          </w:tcPr>
          <w:p w14:paraId="157219AF"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Burrum River</w:t>
            </w:r>
          </w:p>
        </w:tc>
        <w:tc>
          <w:tcPr>
            <w:tcW w:w="1191" w:type="dxa"/>
            <w:tcBorders>
              <w:top w:val="nil"/>
              <w:left w:val="nil"/>
              <w:bottom w:val="nil"/>
              <w:right w:val="nil"/>
            </w:tcBorders>
            <w:shd w:val="clear" w:color="auto" w:fill="auto"/>
            <w:noWrap/>
            <w:vAlign w:val="center"/>
            <w:hideMark/>
          </w:tcPr>
          <w:p w14:paraId="157219B0"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63,918</w:t>
            </w:r>
          </w:p>
        </w:tc>
        <w:tc>
          <w:tcPr>
            <w:tcW w:w="1219" w:type="dxa"/>
            <w:tcBorders>
              <w:top w:val="nil"/>
              <w:left w:val="nil"/>
              <w:bottom w:val="nil"/>
              <w:right w:val="nil"/>
            </w:tcBorders>
            <w:shd w:val="clear" w:color="auto" w:fill="FFFF00"/>
            <w:noWrap/>
            <w:vAlign w:val="center"/>
            <w:hideMark/>
          </w:tcPr>
          <w:p w14:paraId="157219B1"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114,492</w:t>
            </w:r>
          </w:p>
        </w:tc>
        <w:tc>
          <w:tcPr>
            <w:tcW w:w="1275" w:type="dxa"/>
            <w:tcBorders>
              <w:top w:val="nil"/>
              <w:left w:val="nil"/>
              <w:bottom w:val="nil"/>
              <w:right w:val="nil"/>
            </w:tcBorders>
            <w:shd w:val="clear" w:color="auto" w:fill="FFFF00"/>
            <w:noWrap/>
            <w:vAlign w:val="center"/>
            <w:hideMark/>
          </w:tcPr>
          <w:p w14:paraId="157219B2"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117,762</w:t>
            </w:r>
          </w:p>
        </w:tc>
        <w:tc>
          <w:tcPr>
            <w:tcW w:w="1191" w:type="dxa"/>
            <w:tcBorders>
              <w:top w:val="nil"/>
              <w:left w:val="nil"/>
              <w:bottom w:val="nil"/>
              <w:right w:val="nil"/>
            </w:tcBorders>
            <w:shd w:val="clear" w:color="auto" w:fill="auto"/>
            <w:noWrap/>
            <w:vAlign w:val="center"/>
            <w:hideMark/>
          </w:tcPr>
          <w:p w14:paraId="157219B3"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90,921</w:t>
            </w:r>
          </w:p>
        </w:tc>
        <w:tc>
          <w:tcPr>
            <w:tcW w:w="1191" w:type="dxa"/>
            <w:tcBorders>
              <w:top w:val="nil"/>
              <w:left w:val="nil"/>
              <w:bottom w:val="nil"/>
              <w:right w:val="nil"/>
            </w:tcBorders>
            <w:shd w:val="clear" w:color="auto" w:fill="auto"/>
            <w:noWrap/>
            <w:vAlign w:val="center"/>
            <w:hideMark/>
          </w:tcPr>
          <w:p w14:paraId="157219B4"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62,188</w:t>
            </w:r>
          </w:p>
        </w:tc>
        <w:tc>
          <w:tcPr>
            <w:tcW w:w="1191" w:type="dxa"/>
            <w:tcBorders>
              <w:top w:val="nil"/>
              <w:left w:val="nil"/>
              <w:bottom w:val="nil"/>
              <w:right w:val="nil"/>
            </w:tcBorders>
            <w:shd w:val="clear" w:color="auto" w:fill="FF9900"/>
            <w:noWrap/>
            <w:vAlign w:val="center"/>
            <w:hideMark/>
          </w:tcPr>
          <w:p w14:paraId="157219B5"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150,113</w:t>
            </w:r>
          </w:p>
        </w:tc>
        <w:tc>
          <w:tcPr>
            <w:tcW w:w="1191" w:type="dxa"/>
            <w:tcBorders>
              <w:top w:val="nil"/>
              <w:left w:val="nil"/>
              <w:bottom w:val="nil"/>
              <w:right w:val="nil"/>
            </w:tcBorders>
            <w:shd w:val="clear" w:color="auto" w:fill="FF0000"/>
            <w:noWrap/>
            <w:vAlign w:val="center"/>
            <w:hideMark/>
          </w:tcPr>
          <w:p w14:paraId="157219B6"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334,681</w:t>
            </w:r>
          </w:p>
        </w:tc>
      </w:tr>
      <w:tr w:rsidR="00F86509" w:rsidRPr="00341B1D" w14:paraId="157219C0" w14:textId="77777777" w:rsidTr="00A3394C">
        <w:trPr>
          <w:trHeight w:val="270"/>
        </w:trPr>
        <w:tc>
          <w:tcPr>
            <w:tcW w:w="1877" w:type="dxa"/>
            <w:tcBorders>
              <w:top w:val="nil"/>
              <w:left w:val="nil"/>
              <w:bottom w:val="single" w:sz="4" w:space="0" w:color="auto"/>
              <w:right w:val="nil"/>
            </w:tcBorders>
            <w:shd w:val="clear" w:color="auto" w:fill="auto"/>
            <w:noWrap/>
            <w:vAlign w:val="center"/>
            <w:hideMark/>
          </w:tcPr>
          <w:p w14:paraId="157219B8" w14:textId="77777777" w:rsidR="00F86509" w:rsidRPr="00341B1D" w:rsidRDefault="00F86509" w:rsidP="00B578F3">
            <w:pPr>
              <w:jc w:val="left"/>
              <w:rPr>
                <w:rFonts w:asciiTheme="minorHAnsi" w:hAnsiTheme="minorHAnsi" w:cstheme="minorHAnsi"/>
                <w:lang w:val="en-AU" w:eastAsia="en-AU"/>
              </w:rPr>
            </w:pPr>
            <w:r w:rsidRPr="00341B1D">
              <w:rPr>
                <w:rFonts w:asciiTheme="minorHAnsi" w:hAnsiTheme="minorHAnsi" w:cstheme="minorHAnsi"/>
                <w:lang w:val="en-AU" w:eastAsia="en-AU"/>
              </w:rPr>
              <w:t>Mary River</w:t>
            </w:r>
          </w:p>
        </w:tc>
        <w:tc>
          <w:tcPr>
            <w:tcW w:w="1191" w:type="dxa"/>
            <w:tcBorders>
              <w:top w:val="nil"/>
              <w:left w:val="nil"/>
              <w:bottom w:val="single" w:sz="4" w:space="0" w:color="auto"/>
              <w:right w:val="nil"/>
            </w:tcBorders>
            <w:shd w:val="clear" w:color="auto" w:fill="auto"/>
            <w:noWrap/>
            <w:vAlign w:val="center"/>
            <w:hideMark/>
          </w:tcPr>
          <w:p w14:paraId="157219B9"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1,144,714</w:t>
            </w:r>
          </w:p>
        </w:tc>
        <w:tc>
          <w:tcPr>
            <w:tcW w:w="1219" w:type="dxa"/>
            <w:tcBorders>
              <w:top w:val="nil"/>
              <w:left w:val="nil"/>
              <w:bottom w:val="single" w:sz="4" w:space="0" w:color="auto"/>
              <w:right w:val="nil"/>
            </w:tcBorders>
            <w:shd w:val="clear" w:color="auto" w:fill="FF0000"/>
            <w:noWrap/>
            <w:vAlign w:val="center"/>
            <w:hideMark/>
          </w:tcPr>
          <w:p w14:paraId="157219BA"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8,719,106</w:t>
            </w:r>
          </w:p>
        </w:tc>
        <w:tc>
          <w:tcPr>
            <w:tcW w:w="1275" w:type="dxa"/>
            <w:tcBorders>
              <w:top w:val="nil"/>
              <w:left w:val="nil"/>
              <w:bottom w:val="single" w:sz="4" w:space="0" w:color="auto"/>
              <w:right w:val="nil"/>
            </w:tcBorders>
            <w:shd w:val="clear" w:color="auto" w:fill="FF0000"/>
            <w:noWrap/>
            <w:vAlign w:val="center"/>
            <w:hideMark/>
          </w:tcPr>
          <w:p w14:paraId="157219BB"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4,340,275</w:t>
            </w:r>
          </w:p>
        </w:tc>
        <w:tc>
          <w:tcPr>
            <w:tcW w:w="1191" w:type="dxa"/>
            <w:tcBorders>
              <w:top w:val="nil"/>
              <w:left w:val="nil"/>
              <w:bottom w:val="single" w:sz="4" w:space="0" w:color="auto"/>
              <w:right w:val="nil"/>
            </w:tcBorders>
            <w:shd w:val="clear" w:color="auto" w:fill="FF0000"/>
            <w:noWrap/>
            <w:vAlign w:val="center"/>
            <w:hideMark/>
          </w:tcPr>
          <w:p w14:paraId="157219BC"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7,654,320</w:t>
            </w:r>
          </w:p>
        </w:tc>
        <w:tc>
          <w:tcPr>
            <w:tcW w:w="1191" w:type="dxa"/>
            <w:tcBorders>
              <w:top w:val="nil"/>
              <w:left w:val="nil"/>
              <w:bottom w:val="single" w:sz="4" w:space="0" w:color="auto"/>
              <w:right w:val="nil"/>
            </w:tcBorders>
            <w:shd w:val="clear" w:color="auto" w:fill="auto"/>
            <w:noWrap/>
            <w:vAlign w:val="center"/>
            <w:hideMark/>
          </w:tcPr>
          <w:p w14:paraId="157219BD"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594,612</w:t>
            </w:r>
          </w:p>
        </w:tc>
        <w:tc>
          <w:tcPr>
            <w:tcW w:w="1191" w:type="dxa"/>
            <w:tcBorders>
              <w:top w:val="nil"/>
              <w:left w:val="nil"/>
              <w:bottom w:val="single" w:sz="4" w:space="0" w:color="auto"/>
              <w:right w:val="nil"/>
            </w:tcBorders>
            <w:shd w:val="clear" w:color="auto" w:fill="auto"/>
            <w:noWrap/>
            <w:vAlign w:val="center"/>
            <w:hideMark/>
          </w:tcPr>
          <w:p w14:paraId="157219BE"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1,651,901</w:t>
            </w:r>
          </w:p>
        </w:tc>
        <w:tc>
          <w:tcPr>
            <w:tcW w:w="1191" w:type="dxa"/>
            <w:tcBorders>
              <w:top w:val="nil"/>
              <w:left w:val="nil"/>
              <w:bottom w:val="single" w:sz="4" w:space="0" w:color="auto"/>
              <w:right w:val="nil"/>
            </w:tcBorders>
            <w:shd w:val="clear" w:color="auto" w:fill="auto"/>
            <w:noWrap/>
            <w:vAlign w:val="center"/>
            <w:hideMark/>
          </w:tcPr>
          <w:p w14:paraId="157219BF" w14:textId="77777777" w:rsidR="00F86509" w:rsidRPr="00341B1D" w:rsidRDefault="00F86509" w:rsidP="00B578F3">
            <w:pPr>
              <w:jc w:val="center"/>
              <w:rPr>
                <w:rFonts w:asciiTheme="minorHAnsi" w:hAnsiTheme="minorHAnsi" w:cstheme="minorHAnsi"/>
                <w:lang w:val="en-AU" w:eastAsia="en-AU"/>
              </w:rPr>
            </w:pPr>
            <w:r w:rsidRPr="00341B1D">
              <w:rPr>
                <w:rFonts w:asciiTheme="minorHAnsi" w:hAnsiTheme="minorHAnsi" w:cstheme="minorHAnsi"/>
                <w:lang w:val="en-AU" w:eastAsia="en-AU"/>
              </w:rPr>
              <w:t>480,854</w:t>
            </w:r>
          </w:p>
        </w:tc>
      </w:tr>
    </w:tbl>
    <w:p w14:paraId="78A9601D" w14:textId="66377FD9" w:rsidR="00B022B4" w:rsidRDefault="0059608E" w:rsidP="00B022B4">
      <w:pPr>
        <w:spacing w:line="276" w:lineRule="auto"/>
        <w:jc w:val="left"/>
        <w:rPr>
          <w:rFonts w:eastAsia="Times New Roman" w:cs="Arial"/>
          <w:color w:val="000000"/>
          <w:sz w:val="16"/>
          <w:szCs w:val="18"/>
          <w:lang w:val="en-AU" w:eastAsia="en-AU" w:bidi="ar-SA"/>
        </w:rPr>
      </w:pPr>
      <w:r w:rsidRPr="00D14900">
        <w:rPr>
          <w:rFonts w:cs="Arial"/>
          <w:sz w:val="16"/>
          <w:szCs w:val="18"/>
          <w:lang w:val="en-AU" w:eastAsia="en-AU"/>
        </w:rPr>
        <w:t xml:space="preserve">Missing values represent years for which &gt;15% of daily flow estimates were not available. </w:t>
      </w:r>
      <w:r w:rsidRPr="00D14900">
        <w:rPr>
          <w:rFonts w:eastAsia="Times New Roman" w:cs="Arial"/>
          <w:color w:val="000000"/>
          <w:sz w:val="16"/>
          <w:szCs w:val="18"/>
          <w:lang w:val="en-AU" w:eastAsia="en-AU" w:bidi="ar-SA"/>
        </w:rPr>
        <w:t xml:space="preserve">Daily discharge for Euramo site (Tully River) from July, 2011 to November, 2012 and from October, 2014 to August, 2015 were estimated from Gorge station (Tully River) using: Euramo Disch = Gorge Disch * 3.5941; Daily discharge for Pioneer river now includes Miriani station, allowing flow record since 1977-11-09. Dumbleton and Miriani stations are </w:t>
      </w:r>
      <w:r w:rsidR="00E018CC" w:rsidRPr="00D14900">
        <w:rPr>
          <w:rFonts w:eastAsia="Times New Roman" w:cs="Arial"/>
          <w:color w:val="000000"/>
          <w:sz w:val="16"/>
          <w:szCs w:val="18"/>
          <w:lang w:val="en-AU" w:eastAsia="en-AU" w:bidi="ar-SA"/>
        </w:rPr>
        <w:t>correlated</w:t>
      </w:r>
      <w:r w:rsidRPr="00D14900">
        <w:rPr>
          <w:rFonts w:eastAsia="Times New Roman" w:cs="Arial"/>
          <w:color w:val="000000"/>
          <w:sz w:val="16"/>
          <w:szCs w:val="18"/>
          <w:lang w:val="en-AU" w:eastAsia="en-AU" w:bidi="ar-SA"/>
        </w:rPr>
        <w:t xml:space="preserve"> by the following equation: Dumbleton Disch = Miriani Disch * 1.4276; All data from the Ross gauge station, which ceased in 2007-08-01 with no substitute in the same river, was replaced by Bohle gauge station; Boyne gauge station was ceased in 2012-06-30 with no substitute in the vicinities of the closed station; Endevour gauge station was ceased in 2015-05-10  with no substitute in the vicinities of the closed station Proserpine gauge station was ceased </w:t>
      </w:r>
      <w:r w:rsidR="00A3394C">
        <w:rPr>
          <w:rFonts w:eastAsia="Times New Roman" w:cs="Arial"/>
          <w:color w:val="000000"/>
          <w:sz w:val="16"/>
          <w:szCs w:val="18"/>
          <w:lang w:val="en-AU" w:eastAsia="en-AU" w:bidi="ar-SA"/>
        </w:rPr>
        <w:t>on</w:t>
      </w:r>
      <w:r w:rsidRPr="00D14900">
        <w:rPr>
          <w:rFonts w:eastAsia="Times New Roman" w:cs="Arial"/>
          <w:color w:val="000000"/>
          <w:sz w:val="16"/>
          <w:szCs w:val="18"/>
          <w:lang w:val="en-AU" w:eastAsia="en-AU" w:bidi="ar-SA"/>
        </w:rPr>
        <w:t xml:space="preserve"> </w:t>
      </w:r>
      <w:r w:rsidR="00A3394C">
        <w:rPr>
          <w:rFonts w:eastAsia="Times New Roman" w:cs="Arial"/>
          <w:color w:val="000000"/>
          <w:sz w:val="16"/>
          <w:szCs w:val="18"/>
          <w:lang w:val="en-AU" w:eastAsia="en-AU" w:bidi="ar-SA"/>
        </w:rPr>
        <w:t>3.6.</w:t>
      </w:r>
      <w:r w:rsidRPr="00D14900">
        <w:rPr>
          <w:rFonts w:eastAsia="Times New Roman" w:cs="Arial"/>
          <w:color w:val="000000"/>
          <w:sz w:val="16"/>
          <w:szCs w:val="18"/>
          <w:lang w:val="en-AU" w:eastAsia="en-AU" w:bidi="ar-SA"/>
        </w:rPr>
        <w:t>2014  with no substitute in the vicinities of the closed station</w:t>
      </w:r>
      <w:r w:rsidR="0080635B">
        <w:rPr>
          <w:rFonts w:eastAsia="Times New Roman" w:cs="Arial"/>
          <w:color w:val="000000"/>
          <w:sz w:val="16"/>
          <w:szCs w:val="18"/>
          <w:lang w:val="en-AU" w:eastAsia="en-AU" w:bidi="ar-SA"/>
        </w:rPr>
        <w:t>.</w:t>
      </w:r>
      <w:r w:rsidRPr="00D14900">
        <w:rPr>
          <w:rFonts w:eastAsia="Times New Roman" w:cs="Arial"/>
          <w:color w:val="000000"/>
          <w:sz w:val="16"/>
          <w:szCs w:val="18"/>
          <w:lang w:val="en-AU" w:eastAsia="en-AU" w:bidi="ar-SA"/>
        </w:rPr>
        <w:t xml:space="preserve"> The full dataset does not exist fo</w:t>
      </w:r>
      <w:r w:rsidR="0080635B">
        <w:rPr>
          <w:rFonts w:eastAsia="Times New Roman" w:cs="Arial"/>
          <w:color w:val="000000"/>
          <w:sz w:val="16"/>
          <w:szCs w:val="18"/>
          <w:lang w:val="en-AU" w:eastAsia="en-AU" w:bidi="ar-SA"/>
        </w:rPr>
        <w:t>r the Normanby gauging station</w:t>
      </w:r>
      <w:bookmarkStart w:id="793" w:name="_Ref480727126"/>
      <w:r w:rsidR="00B022B4">
        <w:rPr>
          <w:rFonts w:eastAsia="Times New Roman" w:cs="Arial"/>
          <w:color w:val="000000"/>
          <w:sz w:val="16"/>
          <w:szCs w:val="18"/>
          <w:lang w:val="en-AU" w:eastAsia="en-AU" w:bidi="ar-SA"/>
        </w:rPr>
        <w:t>.</w:t>
      </w:r>
    </w:p>
    <w:p w14:paraId="3CBE9600" w14:textId="7111E0D8" w:rsidR="00B022B4" w:rsidRDefault="00B022B4" w:rsidP="0029681A"/>
    <w:p w14:paraId="55EBA21F" w14:textId="77777777" w:rsidR="00B022B4" w:rsidRDefault="00B022B4" w:rsidP="0029681A">
      <w:pPr>
        <w:sectPr w:rsidR="00B022B4" w:rsidSect="00515CEF">
          <w:pgSz w:w="11906" w:h="16838" w:code="9"/>
          <w:pgMar w:top="720" w:right="720" w:bottom="720" w:left="720" w:header="709" w:footer="709" w:gutter="0"/>
          <w:cols w:space="708"/>
          <w:docGrid w:linePitch="360"/>
        </w:sectPr>
      </w:pPr>
    </w:p>
    <w:p w14:paraId="157219C2" w14:textId="073B0572" w:rsidR="0014321B" w:rsidRPr="00840E64" w:rsidRDefault="002A20D5" w:rsidP="00070AE2">
      <w:pPr>
        <w:pStyle w:val="Caption"/>
        <w:keepNext/>
        <w:spacing w:after="120"/>
        <w:rPr>
          <w:b w:val="0"/>
        </w:rPr>
      </w:pPr>
      <w:bookmarkStart w:id="794" w:name="_Toc502499816"/>
      <w:r>
        <w:t xml:space="preserve">Table </w:t>
      </w:r>
      <w:r w:rsidR="00C91BF5">
        <w:fldChar w:fldCharType="begin"/>
      </w:r>
      <w:r w:rsidR="008C60F9">
        <w:instrText xml:space="preserve"> STYLEREF 7 \s </w:instrText>
      </w:r>
      <w:r w:rsidR="00C91BF5">
        <w:fldChar w:fldCharType="separate"/>
      </w:r>
      <w:r w:rsidR="00D12276">
        <w:rPr>
          <w:noProof/>
        </w:rPr>
        <w:t>E</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2</w:t>
      </w:r>
      <w:r w:rsidR="00C91BF5">
        <w:fldChar w:fldCharType="end"/>
      </w:r>
      <w:bookmarkEnd w:id="793"/>
      <w:r>
        <w:t xml:space="preserve">: </w:t>
      </w:r>
      <w:r w:rsidR="0014321B" w:rsidRPr="00840E64">
        <w:rPr>
          <w:b w:val="0"/>
        </w:rPr>
        <w:t xml:space="preserve">Weekly flood plume colour class (1 – 6) for fixed site passive sampler locations during the </w:t>
      </w:r>
      <w:r w:rsidR="00070AE2">
        <w:rPr>
          <w:b w:val="0"/>
        </w:rPr>
        <w:t>2015-16</w:t>
      </w:r>
      <w:r w:rsidR="0014321B" w:rsidRPr="00840E64">
        <w:rPr>
          <w:b w:val="0"/>
        </w:rPr>
        <w:t xml:space="preserve"> wet season (beginning 1 December 201</w:t>
      </w:r>
      <w:r w:rsidR="00341B1D">
        <w:rPr>
          <w:b w:val="0"/>
        </w:rPr>
        <w:t>5</w:t>
      </w:r>
      <w:r w:rsidR="0014321B" w:rsidRPr="00840E64">
        <w:rPr>
          <w:b w:val="0"/>
        </w:rPr>
        <w:t>)</w:t>
      </w:r>
      <w:bookmarkEnd w:id="794"/>
    </w:p>
    <w:p w14:paraId="157219C3" w14:textId="2AA8AAC1" w:rsidR="00C60B74" w:rsidRDefault="00372811" w:rsidP="00015606">
      <w:pPr>
        <w:spacing w:line="276" w:lineRule="auto"/>
        <w:jc w:val="left"/>
        <w:rPr>
          <w:sz w:val="18"/>
          <w:lang w:val="en-AU" w:eastAsia="en-AU"/>
        </w:rPr>
      </w:pPr>
      <w:r w:rsidRPr="00372811">
        <w:rPr>
          <w:noProof/>
          <w:lang w:val="en-AU" w:eastAsia="en-AU" w:bidi="ar-SA"/>
        </w:rPr>
        <w:drawing>
          <wp:inline distT="0" distB="0" distL="0" distR="0" wp14:anchorId="77348118" wp14:editId="3CD98D9A">
            <wp:extent cx="9720000" cy="2525644"/>
            <wp:effectExtent l="0" t="0" r="0" b="8255"/>
            <wp:docPr id="27" name="Picture 27" descr="Table E 2: Weekly flood plume colour class (1 – 6) for fixed site passive sampler locations during the 2015-16 wet season (beginning 1 December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9720000" cy="2525644"/>
                    </a:xfrm>
                    <a:prstGeom prst="rect">
                      <a:avLst/>
                    </a:prstGeom>
                    <a:noFill/>
                    <a:ln>
                      <a:noFill/>
                    </a:ln>
                  </pic:spPr>
                </pic:pic>
              </a:graphicData>
            </a:graphic>
          </wp:inline>
        </w:drawing>
      </w:r>
    </w:p>
    <w:p w14:paraId="157219C4" w14:textId="6D37C17A" w:rsidR="00716921" w:rsidRDefault="0059608E" w:rsidP="00015606">
      <w:pPr>
        <w:spacing w:line="276" w:lineRule="auto"/>
        <w:jc w:val="left"/>
        <w:rPr>
          <w:sz w:val="18"/>
          <w:lang w:val="en-AU" w:eastAsia="en-AU"/>
        </w:rPr>
      </w:pPr>
      <w:r>
        <w:rPr>
          <w:sz w:val="18"/>
          <w:lang w:val="en-AU" w:eastAsia="en-AU"/>
        </w:rPr>
        <w:t xml:space="preserve">A value of 7 indicates </w:t>
      </w:r>
      <w:r w:rsidR="00A832D8">
        <w:rPr>
          <w:sz w:val="18"/>
          <w:lang w:val="en-AU" w:eastAsia="en-AU"/>
        </w:rPr>
        <w:t xml:space="preserve">no data available (e.g. due to cloud cover or the pixel was </w:t>
      </w:r>
      <w:r>
        <w:rPr>
          <w:sz w:val="18"/>
          <w:lang w:val="en-AU" w:eastAsia="en-AU"/>
        </w:rPr>
        <w:t>beyond the plume area</w:t>
      </w:r>
      <w:r w:rsidR="00A832D8">
        <w:rPr>
          <w:sz w:val="18"/>
          <w:lang w:val="en-AU" w:eastAsia="en-AU"/>
        </w:rPr>
        <w:t>)</w:t>
      </w:r>
      <w:r>
        <w:rPr>
          <w:sz w:val="18"/>
          <w:lang w:val="en-AU" w:eastAsia="en-AU"/>
        </w:rPr>
        <w:t>.</w:t>
      </w:r>
      <w:r w:rsidR="00933132" w:rsidRPr="00933132">
        <w:t xml:space="preserve"> </w:t>
      </w:r>
      <w:r w:rsidR="00933132" w:rsidRPr="00106CE5">
        <w:rPr>
          <w:sz w:val="18"/>
        </w:rPr>
        <w:t>W</w:t>
      </w:r>
      <w:r w:rsidR="00933132">
        <w:rPr>
          <w:sz w:val="18"/>
          <w:lang w:val="en-AU" w:eastAsia="en-AU"/>
        </w:rPr>
        <w:t>eekly data</w:t>
      </w:r>
      <w:r w:rsidR="00933132" w:rsidRPr="00933132">
        <w:rPr>
          <w:sz w:val="18"/>
          <w:lang w:val="en-AU" w:eastAsia="en-AU"/>
        </w:rPr>
        <w:t xml:space="preserve"> comprises the minimum colour class at each pixel recorded for the week</w:t>
      </w:r>
      <w:r w:rsidR="00933132">
        <w:rPr>
          <w:sz w:val="18"/>
          <w:lang w:val="en-AU" w:eastAsia="en-AU"/>
        </w:rPr>
        <w:t>.</w:t>
      </w:r>
      <w:r w:rsidR="00716921">
        <w:rPr>
          <w:sz w:val="18"/>
          <w:lang w:val="en-AU" w:eastAsia="en-AU"/>
        </w:rPr>
        <w:t xml:space="preserve"> Dark blue colour class (6) = tertiary plume water; light blue (colour class 5) = secondary plume water; </w:t>
      </w:r>
      <w:r w:rsidR="00FB747B">
        <w:rPr>
          <w:sz w:val="18"/>
          <w:lang w:val="en-AU" w:eastAsia="en-AU"/>
        </w:rPr>
        <w:t>g</w:t>
      </w:r>
      <w:r w:rsidR="00716921">
        <w:rPr>
          <w:sz w:val="18"/>
          <w:lang w:val="en-AU" w:eastAsia="en-AU"/>
        </w:rPr>
        <w:t>reen, yellow, orange and red (colour classes 4 to 1 respectively) = primary plume water.</w:t>
      </w:r>
    </w:p>
    <w:p w14:paraId="157219C5" w14:textId="27992842" w:rsidR="007E759B" w:rsidRDefault="007E759B" w:rsidP="00015606">
      <w:pPr>
        <w:spacing w:line="276" w:lineRule="auto"/>
        <w:jc w:val="left"/>
        <w:rPr>
          <w:sz w:val="18"/>
          <w:lang w:val="en-AU" w:eastAsia="en-AU"/>
        </w:rPr>
      </w:pPr>
    </w:p>
    <w:p w14:paraId="157219C7" w14:textId="06F8FCA9" w:rsidR="009C27AB" w:rsidRDefault="009C27AB" w:rsidP="00515CEF">
      <w:pPr>
        <w:spacing w:after="120"/>
        <w:rPr>
          <w:b/>
          <w:sz w:val="24"/>
        </w:rPr>
      </w:pPr>
      <w:r>
        <w:rPr>
          <w:b/>
          <w:sz w:val="24"/>
        </w:rPr>
        <w:t>E</w:t>
      </w:r>
      <w:r w:rsidRPr="00A206DB">
        <w:rPr>
          <w:b/>
          <w:sz w:val="24"/>
        </w:rPr>
        <w:t>.</w:t>
      </w:r>
      <w:r>
        <w:rPr>
          <w:b/>
          <w:sz w:val="24"/>
        </w:rPr>
        <w:t>1</w:t>
      </w:r>
      <w:r w:rsidRPr="00A206DB">
        <w:rPr>
          <w:b/>
          <w:sz w:val="24"/>
        </w:rPr>
        <w:t xml:space="preserve"> Flood plume mapping</w:t>
      </w:r>
    </w:p>
    <w:p w14:paraId="157219C9" w14:textId="47E9E3E4" w:rsidR="009C27AB" w:rsidRPr="009C27AB" w:rsidRDefault="009C27AB" w:rsidP="00515CEF">
      <w:pPr>
        <w:spacing w:after="120" w:line="276" w:lineRule="auto"/>
        <w:rPr>
          <w:lang w:val="en-GB" w:eastAsia="en-AU"/>
        </w:rPr>
      </w:pPr>
      <w:r w:rsidRPr="009C27AB">
        <w:rPr>
          <w:lang w:val="en-GB" w:eastAsia="en-AU"/>
        </w:rPr>
        <w:t xml:space="preserve">Six colour classes have been defined that correspond to three water types – primary, secondary and tertiary.  Each water type is associated with different levels and combination of pollutants which potentially have different impacts on Reef ecosystems </w:t>
      </w:r>
      <w:r w:rsidR="00C91BF5" w:rsidRPr="009C27AB">
        <w:rPr>
          <w:lang w:val="en-GB" w:eastAsia="en-AU"/>
        </w:rPr>
        <w:fldChar w:fldCharType="begin"/>
      </w:r>
      <w:r w:rsidR="009D4492">
        <w:rPr>
          <w:lang w:val="en-GB" w:eastAsia="en-AU"/>
        </w:rPr>
        <w:instrText xml:space="preserve"> ADDIN EN.CITE &lt;EndNote&gt;&lt;Cite&gt;&lt;Author&gt;Álvarez-Romero&lt;/Author&gt;&lt;Year&gt;2013&lt;/Year&gt;&lt;RecNum&gt;89&lt;/RecNum&gt;&lt;DisplayText&gt;(Devlin et al., 2012, Álvarez-Romero et al., 2013)&lt;/DisplayText&gt;&lt;record&gt;&lt;rec-number&gt;89&lt;/rec-number&gt;&lt;foreign-keys&gt;&lt;key app="EN" db-id="vvtrt2pt4xpx5teta99vvtwg50vzve2aexae" timestamp="1493157438"&gt;89&lt;/key&gt;&lt;/foreign-keys&gt;&lt;ref-type name="Journal Article"&gt;17&lt;/ref-type&gt;&lt;contributors&gt;&lt;authors&gt;&lt;author&gt;Álvarez-Romero, Jorge G&lt;/author&gt;&lt;author&gt;Devlin, Michelle&lt;/author&gt;&lt;author&gt;da Silva, Eduardo Teixeira&lt;/author&gt;&lt;author&gt;Petus, Caroline&lt;/author&gt;&lt;author&gt;Ban, Natalie C&lt;/author&gt;&lt;author&gt;Pressey, Robert L&lt;/author&gt;&lt;author&gt;Kool, Johnathan&lt;/author&gt;&lt;author&gt;Roberts, Jason J&lt;/author&gt;&lt;author&gt;Cerdeira-Estrada, Sergio&lt;/author&gt;&lt;author&gt;Wenger, Amelia S&lt;/author&gt;&lt;/authors&gt;&lt;/contributors&gt;&lt;titles&gt;&lt;title&gt;A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dates&gt;&lt;year&gt;2013&lt;/year&gt;&lt;/dates&gt;&lt;isbn&gt;0301-4797&lt;/isbn&gt;&lt;urls&gt;&lt;/urls&gt;&lt;/record&gt;&lt;/Cite&gt;&lt;Cite&gt;&lt;Author&gt;Devlin&lt;/Author&gt;&lt;Year&gt;2012&lt;/Year&gt;&lt;RecNum&gt;37&lt;/RecNum&gt;&lt;record&gt;&lt;rec-number&gt;37&lt;/rec-number&gt;&lt;foreign-keys&gt;&lt;key app="EN" db-id="vvtrt2pt4xpx5teta99vvtwg50vzve2aexae" timestamp="1493157368"&gt;37&lt;/key&gt;&lt;/foreign-keys&gt;&lt;ref-type name="Report"&gt;27&lt;/ref-type&gt;&lt;contributors&gt;&lt;authors&gt;&lt;author&gt;Devlin, M.J.&lt;/author&gt;&lt;author&gt;Wenger, A.&lt;/author&gt;&lt;author&gt;Petus, C.&lt;/author&gt;&lt;author&gt;da Silva, E.T.&lt;/author&gt;&lt;author&gt;DeBose, J.&lt;/author&gt;&lt;author&gt;Álvarez-Romero, J&lt;/author&gt;&lt;/authors&gt;&lt;/contributors&gt;&lt;titles&gt;&lt;title&gt;Reef Rescue Marine Monitoring Program. Final Report of JCU Activities 2011/12– Flood Plumes and Extreme weather monitoring for the Great Barrier Reef Marine Park Authority.&lt;/title&gt;&lt;/titles&gt;&lt;dates&gt;&lt;year&gt;2012&lt;/year&gt;&lt;/dates&gt;&lt;pub-location&gt;James Cook University. Townsville.&lt;/pub-location&gt;&lt;urls&gt;&lt;/urls&gt;&lt;/record&gt;&lt;/Cite&gt;&lt;/EndNote&gt;</w:instrText>
      </w:r>
      <w:r w:rsidR="00C91BF5" w:rsidRPr="009C27AB">
        <w:rPr>
          <w:lang w:val="en-GB" w:eastAsia="en-AU"/>
        </w:rPr>
        <w:fldChar w:fldCharType="separate"/>
      </w:r>
      <w:r w:rsidR="009D4492">
        <w:rPr>
          <w:noProof/>
          <w:lang w:val="en-GB" w:eastAsia="en-AU"/>
        </w:rPr>
        <w:t>(Devlin et al., 2012, Álvarez-Romero et al., 2013)</w:t>
      </w:r>
      <w:r w:rsidR="00C91BF5" w:rsidRPr="009C27AB">
        <w:rPr>
          <w:lang w:val="en-GB" w:eastAsia="en-AU"/>
        </w:rPr>
        <w:fldChar w:fldCharType="end"/>
      </w:r>
      <w:r w:rsidRPr="009C27AB">
        <w:rPr>
          <w:lang w:val="en-GB" w:eastAsia="en-AU"/>
        </w:rPr>
        <w:t>.</w:t>
      </w:r>
      <w:r w:rsidR="005625D6">
        <w:rPr>
          <w:lang w:val="en-GB" w:eastAsia="en-AU"/>
        </w:rPr>
        <w:t xml:space="preserve"> These impacts relate to turbidity and other effects of CDOM and are not the same as for pesticides, but water type is an indicator of the potential for a flood plume to reach a particular monitoring site.</w:t>
      </w:r>
      <w:r w:rsidRPr="009C27AB">
        <w:rPr>
          <w:lang w:val="en-GB" w:eastAsia="en-AU"/>
        </w:rPr>
        <w:t xml:space="preserve"> For each of the fixed monitoring sites, the weekly colour class (i.e. the minimum colour class at each pixel recorded for the week) was recorded, for 22 weeks of the wet season (beginning on 1</w:t>
      </w:r>
      <w:r>
        <w:rPr>
          <w:vertAlign w:val="superscript"/>
          <w:lang w:val="en-GB" w:eastAsia="en-AU"/>
        </w:rPr>
        <w:t xml:space="preserve"> </w:t>
      </w:r>
      <w:r w:rsidRPr="009C27AB">
        <w:rPr>
          <w:lang w:val="en-GB" w:eastAsia="en-AU"/>
        </w:rPr>
        <w:t>December 201</w:t>
      </w:r>
      <w:r>
        <w:rPr>
          <w:lang w:val="en-GB" w:eastAsia="en-AU"/>
        </w:rPr>
        <w:t>5</w:t>
      </w:r>
      <w:r w:rsidRPr="009C27AB">
        <w:rPr>
          <w:lang w:val="en-GB" w:eastAsia="en-AU"/>
        </w:rPr>
        <w:t>) (</w:t>
      </w:r>
      <w:r>
        <w:rPr>
          <w:lang w:val="en-GB" w:eastAsia="en-AU"/>
        </w:rPr>
        <w:t>see table above</w:t>
      </w:r>
      <w:r w:rsidRPr="009C27AB">
        <w:rPr>
          <w:lang w:val="en-GB" w:eastAsia="en-AU"/>
        </w:rPr>
        <w:t>). Weeks that have no data (a value of 7) indicate that the sites were beyond the plume extent for those weeks. The annual frequency of occurrence for primary and secondary water types (colour classes 1 – 5) were calculated for each fixed monitoring sites by dividing the number of weeks that a pixel was retrieved as either primary or secondary water types, by the maximum number of weeks (i.e. 22) in a wet season. The frequency of occurrence of flood plumes can then be aggregated into frequency classes of low risk</w:t>
      </w:r>
      <w:r w:rsidR="005625D6">
        <w:rPr>
          <w:lang w:val="en-GB" w:eastAsia="en-AU"/>
        </w:rPr>
        <w:t xml:space="preserve"> of a flood plume reaching the site</w:t>
      </w:r>
      <w:r w:rsidRPr="009C27AB">
        <w:rPr>
          <w:lang w:val="en-GB" w:eastAsia="en-AU"/>
        </w:rPr>
        <w:t xml:space="preserve"> (frequency of 0.1) to high risk (frequency of 1) to create frequency maps for primary and secondary water types. </w:t>
      </w:r>
    </w:p>
    <w:p w14:paraId="43D6690B" w14:textId="427B71C9" w:rsidR="00760DAE" w:rsidRDefault="009C27AB" w:rsidP="00515CEF">
      <w:pPr>
        <w:spacing w:line="276" w:lineRule="auto"/>
        <w:rPr>
          <w:sz w:val="18"/>
          <w:lang w:val="en-AU" w:eastAsia="en-AU"/>
        </w:rPr>
      </w:pPr>
      <w:r w:rsidRPr="009C27AB">
        <w:rPr>
          <w:lang w:val="en-GB" w:eastAsia="en-AU"/>
        </w:rPr>
        <w:t>Annual plume frequency maps can then be prepared by overlaying weekly composite maps as the number of weeks that a pixel was retrieved as either primary, secondary or tertiary water type, divided by the maximum number of weeks in a wet season (</w:t>
      </w:r>
      <w:r w:rsidR="003A1DE2">
        <w:rPr>
          <w:lang w:val="en-GB" w:eastAsia="en-AU"/>
        </w:rPr>
        <w:t xml:space="preserve">as shown </w:t>
      </w:r>
      <w:r w:rsidR="003A1DE2" w:rsidRPr="003A1DE2">
        <w:rPr>
          <w:lang w:val="en-GB" w:eastAsia="en-AU"/>
        </w:rPr>
        <w:t xml:space="preserve">in </w:t>
      </w:r>
      <w:r w:rsidR="002A77E1">
        <w:fldChar w:fldCharType="begin"/>
      </w:r>
      <w:r w:rsidR="002A77E1">
        <w:instrText xml:space="preserve"> REF _Ref474319389 \h  \* MERGEFORMAT </w:instrText>
      </w:r>
      <w:r w:rsidR="002A77E1">
        <w:fldChar w:fldCharType="separate"/>
      </w:r>
      <w:r w:rsidR="00D12276" w:rsidRPr="00747824">
        <w:t xml:space="preserve">Figure </w:t>
      </w:r>
      <w:r w:rsidR="00D12276" w:rsidRPr="00D12276">
        <w:t>1</w:t>
      </w:r>
      <w:r w:rsidR="002A77E1">
        <w:fldChar w:fldCharType="end"/>
      </w:r>
      <w:r w:rsidR="003A1DE2" w:rsidRPr="003A1DE2">
        <w:rPr>
          <w:lang w:val="en-GB" w:eastAsia="en-AU"/>
        </w:rPr>
        <w:t xml:space="preserve"> and </w:t>
      </w:r>
      <w:r w:rsidR="002A77E1">
        <w:fldChar w:fldCharType="begin"/>
      </w:r>
      <w:r w:rsidR="002A77E1">
        <w:instrText xml:space="preserve"> REF _Ref480731514 \h  \* MERGEFORMAT </w:instrText>
      </w:r>
      <w:r w:rsidR="002A77E1">
        <w:fldChar w:fldCharType="separate"/>
      </w:r>
      <w:r w:rsidR="00D12276" w:rsidRPr="00A43338">
        <w:t xml:space="preserve">Figure </w:t>
      </w:r>
      <w:r w:rsidR="00D12276" w:rsidRPr="00D12276">
        <w:t>2</w:t>
      </w:r>
      <w:r w:rsidR="002A77E1">
        <w:fldChar w:fldCharType="end"/>
      </w:r>
      <w:r w:rsidRPr="009C27AB">
        <w:rPr>
          <w:lang w:val="en-GB" w:eastAsia="en-AU"/>
        </w:rPr>
        <w:t>). Annual exposure maps are useful to identify the year to year variation of the surface water types but can also be useful to develop a long-term surface exposure map that can identify areas that are at higher risk of exposure to surface pollutants over a longer temporal scale. To create multi-annual exposure maps, the annual frequency maps are overlaid and the water type category for each pixel reclassified using the median pixel value (all plume frequency maps were prepared by Dieter Tracy (JCU)).</w:t>
      </w:r>
    </w:p>
    <w:p w14:paraId="4B093DA8" w14:textId="77777777" w:rsidR="00760DAE" w:rsidRDefault="00760DAE" w:rsidP="00015606">
      <w:pPr>
        <w:spacing w:line="276" w:lineRule="auto"/>
        <w:jc w:val="left"/>
        <w:rPr>
          <w:sz w:val="18"/>
          <w:lang w:val="en-AU" w:eastAsia="en-AU"/>
        </w:rPr>
        <w:sectPr w:rsidR="00760DAE" w:rsidSect="00515CEF">
          <w:pgSz w:w="16838" w:h="11906" w:orient="landscape" w:code="9"/>
          <w:pgMar w:top="720" w:right="720" w:bottom="720" w:left="720" w:header="709" w:footer="709" w:gutter="0"/>
          <w:cols w:space="708"/>
          <w:docGrid w:linePitch="360"/>
        </w:sectPr>
      </w:pPr>
    </w:p>
    <w:p w14:paraId="02993598" w14:textId="32BC813A" w:rsidR="007D6C43" w:rsidRDefault="007D6C43" w:rsidP="00015606">
      <w:pPr>
        <w:keepNext/>
        <w:spacing w:line="276" w:lineRule="auto"/>
      </w:pPr>
      <w:r>
        <w:rPr>
          <w:noProof/>
          <w:lang w:val="en-AU" w:eastAsia="en-AU" w:bidi="ar-SA"/>
        </w:rPr>
        <w:drawing>
          <wp:inline distT="0" distB="0" distL="0" distR="0" wp14:anchorId="7DD149C3" wp14:editId="6B257B51">
            <wp:extent cx="8085762" cy="5761307"/>
            <wp:effectExtent l="0" t="0" r="0" b="0"/>
            <wp:docPr id="14" name="Picture 14" descr="Figure E 1: Total monthly rainfall for the wet 2015-16 season across Queensland - figures sourced from the Bureau of Meteorology. Highest rainfall fell in December 2015, February 2016 and March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8100841" cy="5772051"/>
                    </a:xfrm>
                    <a:prstGeom prst="rect">
                      <a:avLst/>
                    </a:prstGeom>
                    <a:noFill/>
                  </pic:spPr>
                </pic:pic>
              </a:graphicData>
            </a:graphic>
          </wp:inline>
        </w:drawing>
      </w:r>
    </w:p>
    <w:p w14:paraId="41F4E6A5" w14:textId="754863A4" w:rsidR="007D6C43" w:rsidRPr="00E23A9F" w:rsidRDefault="007D6C43" w:rsidP="007D6C43">
      <w:pPr>
        <w:pStyle w:val="Caption"/>
        <w:jc w:val="both"/>
        <w:rPr>
          <w:b w:val="0"/>
        </w:rPr>
      </w:pPr>
      <w:bookmarkStart w:id="795" w:name="_Toc502499831"/>
      <w:r>
        <w:t xml:space="preserve">Figure </w:t>
      </w:r>
      <w:r>
        <w:fldChar w:fldCharType="begin"/>
      </w:r>
      <w:r>
        <w:instrText xml:space="preserve"> STYLEREF 7 \s </w:instrText>
      </w:r>
      <w:r>
        <w:fldChar w:fldCharType="separate"/>
      </w:r>
      <w:r w:rsidR="00D12276">
        <w:rPr>
          <w:noProof/>
        </w:rPr>
        <w:t>E</w:t>
      </w:r>
      <w:r>
        <w:fldChar w:fldCharType="end"/>
      </w:r>
      <w:r>
        <w:noBreakHyphen/>
      </w:r>
      <w:r>
        <w:fldChar w:fldCharType="begin"/>
      </w:r>
      <w:r>
        <w:instrText xml:space="preserve"> SEQ Figure_Apx \* ARABIC \s 7 </w:instrText>
      </w:r>
      <w:r>
        <w:fldChar w:fldCharType="separate"/>
      </w:r>
      <w:r w:rsidR="00D12276">
        <w:rPr>
          <w:noProof/>
        </w:rPr>
        <w:t>1</w:t>
      </w:r>
      <w:r>
        <w:fldChar w:fldCharType="end"/>
      </w:r>
      <w:r>
        <w:t xml:space="preserve">: </w:t>
      </w:r>
      <w:r>
        <w:rPr>
          <w:b w:val="0"/>
        </w:rPr>
        <w:t xml:space="preserve">Total monthly rainfall for the wet 2015-16 season across Queensland </w:t>
      </w:r>
      <w:r w:rsidRPr="00817681">
        <w:t xml:space="preserve"> </w:t>
      </w:r>
      <w:r w:rsidRPr="00E23A9F">
        <w:rPr>
          <w:b w:val="0"/>
        </w:rPr>
        <w:fldChar w:fldCharType="begin"/>
      </w:r>
      <w:r w:rsidR="009D4492">
        <w:rPr>
          <w:b w:val="0"/>
        </w:rPr>
        <w:instrText xml:space="preserve"> ADDIN EN.CITE &lt;EndNote&gt;&lt;Cite&gt;&lt;Author&gt;Bureau of Meteorology&lt;/Author&gt;&lt;Year&gt;2017&lt;/Year&gt;&lt;RecNum&gt;42&lt;/RecNum&gt;&lt;DisplayText&gt;(Bureau of Meteorology, 2017)&lt;/DisplayText&gt;&lt;record&gt;&lt;rec-number&gt;42&lt;/rec-number&gt;&lt;foreign-keys&gt;&lt;key app="EN" db-id="vvtrt2pt4xpx5teta99vvtwg50vzve2aexae" timestamp="1493157375"&gt;42&lt;/key&gt;&lt;/foreign-keys&gt;&lt;ref-type name="Web Page"&gt;12&lt;/ref-type&gt;&lt;contributors&gt;&lt;authors&gt;&lt;author&gt;Bureau of Meteorology,&lt;/author&gt;&lt;/authors&gt;&lt;/contributors&gt;&lt;titles&gt;&lt;title&gt;Daily rainfall totals for Australia&lt;/title&gt;&lt;/titles&gt;&lt;volume&gt;2016&lt;/volume&gt;&lt;number&gt;15 June&lt;/number&gt;&lt;dates&gt;&lt;year&gt;2017&lt;/year&gt;&lt;/dates&gt;&lt;publisher&gt;Bureau of Meteorology&lt;/publisher&gt;&lt;urls&gt;&lt;related-urls&gt;&lt;url&gt;http://www.bom.gov.au/jsp/awap/rain/index.jsp&lt;/url&gt;&lt;/related-urls&gt;&lt;/urls&gt;&lt;/record&gt;&lt;/Cite&gt;&lt;/EndNote&gt;</w:instrText>
      </w:r>
      <w:r w:rsidRPr="00E23A9F">
        <w:rPr>
          <w:b w:val="0"/>
        </w:rPr>
        <w:fldChar w:fldCharType="separate"/>
      </w:r>
      <w:r w:rsidR="009D4492">
        <w:rPr>
          <w:b w:val="0"/>
          <w:noProof/>
        </w:rPr>
        <w:t>(Bureau of Meteorology, 2017)</w:t>
      </w:r>
      <w:bookmarkEnd w:id="795"/>
      <w:r w:rsidRPr="00E23A9F">
        <w:rPr>
          <w:b w:val="0"/>
        </w:rPr>
        <w:fldChar w:fldCharType="end"/>
      </w:r>
    </w:p>
    <w:p w14:paraId="04B66657" w14:textId="4438612D" w:rsidR="007D6C43" w:rsidRDefault="007D6C43" w:rsidP="00B970ED"/>
    <w:p w14:paraId="157219CD" w14:textId="010D9EFE" w:rsidR="00716921" w:rsidRDefault="006B1E20" w:rsidP="00015606">
      <w:pPr>
        <w:keepNext/>
        <w:spacing w:line="276" w:lineRule="auto"/>
      </w:pPr>
      <w:r>
        <w:rPr>
          <w:noProof/>
          <w:lang w:val="en-AU" w:eastAsia="en-AU" w:bidi="ar-SA"/>
        </w:rPr>
        <w:drawing>
          <wp:inline distT="0" distB="0" distL="0" distR="0" wp14:anchorId="15721A8A" wp14:editId="40E422AA">
            <wp:extent cx="9720000" cy="5006104"/>
            <wp:effectExtent l="0" t="0" r="0" b="4445"/>
            <wp:docPr id="9" name="Picture 9" descr="Figure E 2: Rainfall decile ranges (comparison of current period with long term average) for the dry season between May 2015- Oct 2015 (left) and wet season between Nov 2015 – 30 April 2016 (right). Fifures sourced from the Bureau of Meteor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9720000" cy="5006104"/>
                    </a:xfrm>
                    <a:prstGeom prst="rect">
                      <a:avLst/>
                    </a:prstGeom>
                    <a:noFill/>
                  </pic:spPr>
                </pic:pic>
              </a:graphicData>
            </a:graphic>
          </wp:inline>
        </w:drawing>
      </w:r>
    </w:p>
    <w:p w14:paraId="157219CE" w14:textId="77777777" w:rsidR="006B1E20" w:rsidRDefault="006B1E20" w:rsidP="00840E64">
      <w:pPr>
        <w:pStyle w:val="Caption"/>
        <w:keepNext/>
        <w:spacing w:line="276" w:lineRule="auto"/>
        <w:rPr>
          <w:b w:val="0"/>
        </w:rPr>
      </w:pPr>
    </w:p>
    <w:p w14:paraId="157219CF" w14:textId="032DACCC" w:rsidR="0059608E" w:rsidRPr="00840E64" w:rsidRDefault="002A20D5" w:rsidP="002A20D5">
      <w:pPr>
        <w:pStyle w:val="Caption"/>
        <w:rPr>
          <w:b w:val="0"/>
        </w:rPr>
      </w:pPr>
      <w:bookmarkStart w:id="796" w:name="_Ref480727330"/>
      <w:bookmarkStart w:id="797" w:name="_Toc502499832"/>
      <w:r>
        <w:t xml:space="preserve">Figure </w:t>
      </w:r>
      <w:r w:rsidR="00C91BF5">
        <w:fldChar w:fldCharType="begin"/>
      </w:r>
      <w:r w:rsidR="008C60F9">
        <w:instrText xml:space="preserve"> STYLEREF 7 \s </w:instrText>
      </w:r>
      <w:r w:rsidR="00C91BF5">
        <w:fldChar w:fldCharType="separate"/>
      </w:r>
      <w:r w:rsidR="00D12276">
        <w:rPr>
          <w:noProof/>
        </w:rPr>
        <w:t>E</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2</w:t>
      </w:r>
      <w:r w:rsidR="00C91BF5">
        <w:fldChar w:fldCharType="end"/>
      </w:r>
      <w:bookmarkEnd w:id="796"/>
      <w:r>
        <w:t xml:space="preserve">: </w:t>
      </w:r>
      <w:r w:rsidR="00716921" w:rsidRPr="00840E64">
        <w:rPr>
          <w:b w:val="0"/>
        </w:rPr>
        <w:t xml:space="preserve">Rainfall decile ranges </w:t>
      </w:r>
      <w:r w:rsidR="006B1E20">
        <w:rPr>
          <w:b w:val="0"/>
        </w:rPr>
        <w:t xml:space="preserve">(comparison of current period with long term average) </w:t>
      </w:r>
      <w:r w:rsidR="00716921" w:rsidRPr="00840E64">
        <w:rPr>
          <w:b w:val="0"/>
        </w:rPr>
        <w:t>for the dry season between May 201</w:t>
      </w:r>
      <w:r w:rsidR="006B1E20">
        <w:rPr>
          <w:b w:val="0"/>
        </w:rPr>
        <w:t>5</w:t>
      </w:r>
      <w:r w:rsidR="00716921" w:rsidRPr="00840E64">
        <w:rPr>
          <w:b w:val="0"/>
        </w:rPr>
        <w:t>- Oct 201</w:t>
      </w:r>
      <w:r w:rsidR="006B1E20">
        <w:rPr>
          <w:b w:val="0"/>
        </w:rPr>
        <w:t>5</w:t>
      </w:r>
      <w:r w:rsidR="00716921" w:rsidRPr="00840E64">
        <w:rPr>
          <w:b w:val="0"/>
        </w:rPr>
        <w:t xml:space="preserve"> (left) and wet season between Nov 201</w:t>
      </w:r>
      <w:r w:rsidR="006B1E20">
        <w:rPr>
          <w:b w:val="0"/>
        </w:rPr>
        <w:t>5</w:t>
      </w:r>
      <w:r w:rsidR="00716921" w:rsidRPr="00840E64">
        <w:rPr>
          <w:b w:val="0"/>
        </w:rPr>
        <w:t xml:space="preserve"> – 30 April 201</w:t>
      </w:r>
      <w:r w:rsidR="006B1E20">
        <w:rPr>
          <w:b w:val="0"/>
        </w:rPr>
        <w:t xml:space="preserve">6 </w:t>
      </w:r>
      <w:r w:rsidR="00716921" w:rsidRPr="00840E64">
        <w:rPr>
          <w:b w:val="0"/>
        </w:rPr>
        <w:t>(right).</w:t>
      </w:r>
      <w:r w:rsidR="006B1E20">
        <w:rPr>
          <w:b w:val="0"/>
        </w:rPr>
        <w:t xml:space="preserve"> </w:t>
      </w:r>
      <w:r w:rsidR="0059608E" w:rsidRPr="00840E64">
        <w:rPr>
          <w:b w:val="0"/>
        </w:rPr>
        <w:t xml:space="preserve">Figure </w:t>
      </w:r>
      <w:r w:rsidR="00015606" w:rsidRPr="00840E64">
        <w:rPr>
          <w:b w:val="0"/>
        </w:rPr>
        <w:t>sourced from</w:t>
      </w:r>
      <w:r w:rsidR="0059608E" w:rsidRPr="00840E64">
        <w:rPr>
          <w:b w:val="0"/>
        </w:rPr>
        <w:t xml:space="preserve"> Bureau of Meteorology</w:t>
      </w:r>
      <w:bookmarkEnd w:id="797"/>
    </w:p>
    <w:p w14:paraId="157219D0" w14:textId="77777777" w:rsidR="0059608E" w:rsidRDefault="0059608E" w:rsidP="00015606">
      <w:pPr>
        <w:spacing w:line="276" w:lineRule="auto"/>
        <w:rPr>
          <w:sz w:val="18"/>
          <w:lang w:val="en-AU" w:eastAsia="en-AU"/>
        </w:rPr>
      </w:pPr>
    </w:p>
    <w:p w14:paraId="157219D1" w14:textId="77777777" w:rsidR="00EC21B7" w:rsidRDefault="006B1E20" w:rsidP="005625D6">
      <w:pPr>
        <w:keepNext/>
        <w:spacing w:after="120" w:line="276" w:lineRule="auto"/>
        <w:jc w:val="left"/>
      </w:pPr>
      <w:r>
        <w:rPr>
          <w:noProof/>
          <w:lang w:val="en-AU" w:eastAsia="en-AU" w:bidi="ar-SA"/>
        </w:rPr>
        <w:drawing>
          <wp:inline distT="0" distB="0" distL="0" distR="0" wp14:anchorId="15721A8C" wp14:editId="3C43EB87">
            <wp:extent cx="9516140" cy="5750152"/>
            <wp:effectExtent l="0" t="0" r="8890" b="3175"/>
            <wp:docPr id="7" name="Picture 7" descr="Figure E 3: A) Inter-annual rainfall difference between the previous monitoring year (2014-15) and the current monitoring year (2015-16). B) and C) show comparison between previous year and current year for dry and wet season, respectivel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9519189" cy="5751994"/>
                    </a:xfrm>
                    <a:prstGeom prst="rect">
                      <a:avLst/>
                    </a:prstGeom>
                    <a:noFill/>
                  </pic:spPr>
                </pic:pic>
              </a:graphicData>
            </a:graphic>
          </wp:inline>
        </w:drawing>
      </w:r>
    </w:p>
    <w:p w14:paraId="157219D2" w14:textId="2E17E57A" w:rsidR="0059608E" w:rsidRDefault="002A20D5" w:rsidP="002A20D5">
      <w:pPr>
        <w:pStyle w:val="Caption"/>
        <w:rPr>
          <w:b w:val="0"/>
        </w:rPr>
      </w:pPr>
      <w:bookmarkStart w:id="798" w:name="_Ref480727377"/>
      <w:bookmarkStart w:id="799" w:name="_Toc502499833"/>
      <w:r>
        <w:t xml:space="preserve">Figure </w:t>
      </w:r>
      <w:r w:rsidR="00C91BF5">
        <w:fldChar w:fldCharType="begin"/>
      </w:r>
      <w:r w:rsidR="008C60F9">
        <w:instrText xml:space="preserve"> STYLEREF 7 \s </w:instrText>
      </w:r>
      <w:r w:rsidR="00C91BF5">
        <w:fldChar w:fldCharType="separate"/>
      </w:r>
      <w:r w:rsidR="00D12276">
        <w:rPr>
          <w:noProof/>
        </w:rPr>
        <w:t>E</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3</w:t>
      </w:r>
      <w:r w:rsidR="00C91BF5">
        <w:fldChar w:fldCharType="end"/>
      </w:r>
      <w:bookmarkEnd w:id="798"/>
      <w:r>
        <w:t>:</w:t>
      </w:r>
      <w:r w:rsidR="00EC21B7" w:rsidRPr="00840E64">
        <w:rPr>
          <w:b w:val="0"/>
        </w:rPr>
        <w:t xml:space="preserve"> </w:t>
      </w:r>
      <w:r w:rsidR="006B1E20">
        <w:rPr>
          <w:b w:val="0"/>
        </w:rPr>
        <w:t>A) I</w:t>
      </w:r>
      <w:r w:rsidR="00EC21B7" w:rsidRPr="00840E64">
        <w:rPr>
          <w:b w:val="0"/>
        </w:rPr>
        <w:t>nter-annual rainfall difference between the previous monitoring year (201</w:t>
      </w:r>
      <w:r w:rsidR="006B1E20">
        <w:rPr>
          <w:b w:val="0"/>
        </w:rPr>
        <w:t>4</w:t>
      </w:r>
      <w:r w:rsidR="00EC21B7" w:rsidRPr="00840E64">
        <w:rPr>
          <w:b w:val="0"/>
        </w:rPr>
        <w:t>-1</w:t>
      </w:r>
      <w:r w:rsidR="006B1E20">
        <w:rPr>
          <w:b w:val="0"/>
        </w:rPr>
        <w:t>5</w:t>
      </w:r>
      <w:r w:rsidR="00EC21B7" w:rsidRPr="00840E64">
        <w:rPr>
          <w:b w:val="0"/>
        </w:rPr>
        <w:t>) and the current monitoring year (201</w:t>
      </w:r>
      <w:r w:rsidR="006B1E20">
        <w:rPr>
          <w:b w:val="0"/>
        </w:rPr>
        <w:t>5</w:t>
      </w:r>
      <w:r w:rsidR="00EC21B7" w:rsidRPr="00840E64">
        <w:rPr>
          <w:b w:val="0"/>
        </w:rPr>
        <w:t>-1</w:t>
      </w:r>
      <w:r w:rsidR="006B1E20">
        <w:rPr>
          <w:b w:val="0"/>
        </w:rPr>
        <w:t>6</w:t>
      </w:r>
      <w:r w:rsidR="00EC21B7" w:rsidRPr="00840E64">
        <w:rPr>
          <w:b w:val="0"/>
        </w:rPr>
        <w:t>).</w:t>
      </w:r>
      <w:r w:rsidR="00840E64">
        <w:rPr>
          <w:b w:val="0"/>
        </w:rPr>
        <w:t xml:space="preserve"> </w:t>
      </w:r>
      <w:r w:rsidR="006B1E20">
        <w:rPr>
          <w:b w:val="0"/>
        </w:rPr>
        <w:t xml:space="preserve">B) and C) show comparison between previous year and current year for dry and wet season, respectively. A negative value indicates that rainfall was lower this year compared to the previous year. </w:t>
      </w:r>
      <w:r w:rsidR="0059608E" w:rsidRPr="00840E64">
        <w:rPr>
          <w:b w:val="0"/>
        </w:rPr>
        <w:t xml:space="preserve">Figure </w:t>
      </w:r>
      <w:r w:rsidR="00015606" w:rsidRPr="00840E64">
        <w:rPr>
          <w:b w:val="0"/>
        </w:rPr>
        <w:t>sourced from</w:t>
      </w:r>
      <w:r w:rsidR="0059608E" w:rsidRPr="00840E64">
        <w:rPr>
          <w:b w:val="0"/>
        </w:rPr>
        <w:t xml:space="preserve"> Bureau of Meteorology</w:t>
      </w:r>
      <w:bookmarkEnd w:id="799"/>
    </w:p>
    <w:p w14:paraId="0219F7C5" w14:textId="77777777" w:rsidR="00B022B4" w:rsidRDefault="00B022B4" w:rsidP="00B022B4">
      <w:pPr>
        <w:sectPr w:rsidR="00B022B4" w:rsidSect="007E759B">
          <w:pgSz w:w="16840" w:h="11907" w:orient="landscape" w:code="9"/>
          <w:pgMar w:top="720" w:right="720" w:bottom="720" w:left="720" w:header="709" w:footer="709" w:gutter="0"/>
          <w:cols w:space="708"/>
          <w:docGrid w:linePitch="360"/>
        </w:sectPr>
      </w:pPr>
    </w:p>
    <w:p w14:paraId="65CB4EA9" w14:textId="71CDE012" w:rsidR="00B022B4" w:rsidRPr="00B022B4" w:rsidRDefault="00B022B4" w:rsidP="00B022B4"/>
    <w:p w14:paraId="7EC8EAF3" w14:textId="2339C90A" w:rsidR="00B022B4" w:rsidRDefault="00E45FCB" w:rsidP="00B022B4">
      <w:pPr>
        <w:tabs>
          <w:tab w:val="left" w:pos="10065"/>
        </w:tabs>
        <w:spacing w:line="276" w:lineRule="auto"/>
        <w:ind w:left="1134" w:hanging="1134"/>
      </w:pPr>
      <w:r>
        <w:object w:dxaOrig="14945" w:dyaOrig="10757" w14:anchorId="0F851024">
          <v:shape id="_x0000_i1026" type="#_x0000_t75" alt="Figure E 4: Historical PSII herbicide loads from monitored Reef catchment rivers (2010–2016). Each bar on the graph shows the relative proprtion of each pesticide making up the total load." style="width:523.5pt;height:376.5pt" o:ole="">
            <v:imagedata r:id="rId68" o:title=""/>
          </v:shape>
          <o:OLEObject Type="Embed" ProgID="Prism7.Document" ShapeID="_x0000_i1026" DrawAspect="Content" ObjectID="_1577084919" r:id="rId69"/>
        </w:object>
      </w:r>
    </w:p>
    <w:p w14:paraId="7CEA5D1E" w14:textId="77777777" w:rsidR="00B022B4" w:rsidRPr="008B15F3" w:rsidRDefault="00B022B4" w:rsidP="00B022B4">
      <w:pPr>
        <w:tabs>
          <w:tab w:val="left" w:pos="10065"/>
        </w:tabs>
        <w:spacing w:line="276" w:lineRule="auto"/>
        <w:ind w:left="1134" w:hanging="1134"/>
        <w:rPr>
          <w:sz w:val="12"/>
        </w:rPr>
      </w:pPr>
    </w:p>
    <w:p w14:paraId="46033704" w14:textId="449A1096" w:rsidR="00B022B4" w:rsidRDefault="00B022B4" w:rsidP="00B022B4">
      <w:pPr>
        <w:pStyle w:val="Caption"/>
        <w:keepNext/>
        <w:spacing w:line="276" w:lineRule="auto"/>
        <w:rPr>
          <w:b w:val="0"/>
        </w:rPr>
      </w:pPr>
      <w:bookmarkStart w:id="800" w:name="_Toc502499834"/>
      <w:r>
        <w:t xml:space="preserve">Figure </w:t>
      </w:r>
      <w:r>
        <w:fldChar w:fldCharType="begin"/>
      </w:r>
      <w:r>
        <w:instrText xml:space="preserve"> STYLEREF 7 \s </w:instrText>
      </w:r>
      <w:r>
        <w:fldChar w:fldCharType="separate"/>
      </w:r>
      <w:r w:rsidR="00D12276">
        <w:rPr>
          <w:noProof/>
        </w:rPr>
        <w:t>E</w:t>
      </w:r>
      <w:r>
        <w:fldChar w:fldCharType="end"/>
      </w:r>
      <w:r>
        <w:noBreakHyphen/>
      </w:r>
      <w:r>
        <w:fldChar w:fldCharType="begin"/>
      </w:r>
      <w:r>
        <w:instrText xml:space="preserve"> SEQ Figure_Apx \* ARABIC \s 7 </w:instrText>
      </w:r>
      <w:r>
        <w:fldChar w:fldCharType="separate"/>
      </w:r>
      <w:r w:rsidR="00D12276">
        <w:rPr>
          <w:noProof/>
        </w:rPr>
        <w:t>4</w:t>
      </w:r>
      <w:r>
        <w:fldChar w:fldCharType="end"/>
      </w:r>
      <w:r>
        <w:t>:</w:t>
      </w:r>
      <w:r w:rsidRPr="00840E64">
        <w:rPr>
          <w:b w:val="0"/>
        </w:rPr>
        <w:t xml:space="preserve"> </w:t>
      </w:r>
      <w:r w:rsidRPr="00747824">
        <w:rPr>
          <w:b w:val="0"/>
        </w:rPr>
        <w:t>Historical PSII herbicide loads from monitored Reef catchment rivers (20</w:t>
      </w:r>
      <w:r>
        <w:rPr>
          <w:b w:val="0"/>
        </w:rPr>
        <w:t>10</w:t>
      </w:r>
      <w:r w:rsidRPr="00747824">
        <w:rPr>
          <w:b w:val="0"/>
        </w:rPr>
        <w:t>–201</w:t>
      </w:r>
      <w:r>
        <w:rPr>
          <w:b w:val="0"/>
        </w:rPr>
        <w:t>6</w:t>
      </w:r>
      <w:r w:rsidRPr="00747824">
        <w:rPr>
          <w:b w:val="0"/>
        </w:rPr>
        <w:t>). Data collated from GBRCL</w:t>
      </w:r>
      <w:r>
        <w:rPr>
          <w:b w:val="0"/>
        </w:rPr>
        <w:t>MP reports (</w:t>
      </w:r>
      <w:r w:rsidRPr="00747824">
        <w:rPr>
          <w:b w:val="0"/>
        </w:rPr>
        <w:t>Turner et al. 2013, Wallace et al. 2014, Garzon-Garcia et al. 2015, Wallace et al. 2015, Wallace et al. 2016)</w:t>
      </w:r>
      <w:r>
        <w:rPr>
          <w:b w:val="0"/>
        </w:rPr>
        <w:t xml:space="preserve">. 2015-16 data from </w:t>
      </w:r>
      <w:r w:rsidRPr="00EB15F0">
        <w:rPr>
          <w:b w:val="0"/>
        </w:rPr>
        <w:t>Huggins et al.</w:t>
      </w:r>
      <w:r>
        <w:rPr>
          <w:b w:val="0"/>
        </w:rPr>
        <w:t xml:space="preserve"> (</w:t>
      </w:r>
      <w:r w:rsidRPr="00EB15F0">
        <w:rPr>
          <w:b w:val="0"/>
          <w:i/>
        </w:rPr>
        <w:t>in prep</w:t>
      </w:r>
      <w:r w:rsidRPr="00EB15F0">
        <w:rPr>
          <w:b w:val="0"/>
        </w:rPr>
        <w:t>)</w:t>
      </w:r>
      <w:r w:rsidR="00E45FCB">
        <w:rPr>
          <w:b w:val="0"/>
        </w:rPr>
        <w:t>)</w:t>
      </w:r>
      <w:r w:rsidRPr="00EB15F0">
        <w:rPr>
          <w:b w:val="0"/>
        </w:rPr>
        <w:t>.</w:t>
      </w:r>
      <w:bookmarkEnd w:id="800"/>
    </w:p>
    <w:p w14:paraId="1BFA1DF0" w14:textId="044261F2" w:rsidR="00B022B4" w:rsidRDefault="00B022B4" w:rsidP="00B022B4">
      <w:pPr>
        <w:rPr>
          <w:highlight w:val="yellow"/>
          <w:lang w:val="en-AU" w:bidi="ar-SA"/>
        </w:rPr>
      </w:pPr>
    </w:p>
    <w:p w14:paraId="01B446D4" w14:textId="77777777" w:rsidR="00B022B4" w:rsidRPr="00B022B4" w:rsidRDefault="00B022B4" w:rsidP="00B022B4">
      <w:pPr>
        <w:rPr>
          <w:highlight w:val="yellow"/>
          <w:lang w:val="en-AU" w:bidi="ar-SA"/>
        </w:rPr>
        <w:sectPr w:rsidR="00B022B4" w:rsidRPr="00B022B4" w:rsidSect="00B022B4">
          <w:pgSz w:w="11907" w:h="16840" w:code="9"/>
          <w:pgMar w:top="720" w:right="720" w:bottom="720" w:left="720" w:header="709" w:footer="709" w:gutter="0"/>
          <w:cols w:space="708"/>
          <w:docGrid w:linePitch="360"/>
        </w:sectPr>
      </w:pPr>
    </w:p>
    <w:p w14:paraId="157219D4" w14:textId="335A05F6" w:rsidR="0059608E" w:rsidRDefault="00305667" w:rsidP="00C60B74">
      <w:pPr>
        <w:pStyle w:val="Heading7"/>
        <w:ind w:hanging="426"/>
      </w:pPr>
      <w:bookmarkStart w:id="801" w:name="_Ref335637596"/>
      <w:bookmarkStart w:id="802" w:name="_Toc461457789"/>
      <w:bookmarkStart w:id="803" w:name="_Toc502500032"/>
      <w:r>
        <w:t xml:space="preserve">Fixed </w:t>
      </w:r>
      <w:r w:rsidR="00494403">
        <w:t xml:space="preserve">monitoring </w:t>
      </w:r>
      <w:r w:rsidR="00185EFD">
        <w:t xml:space="preserve">sites </w:t>
      </w:r>
      <w:r w:rsidR="00494403">
        <w:t>–</w:t>
      </w:r>
      <w:r w:rsidR="0021135E">
        <w:t xml:space="preserve"> sampler returns and</w:t>
      </w:r>
      <w:r w:rsidR="00494403">
        <w:t xml:space="preserve"> individual site results</w:t>
      </w:r>
      <w:bookmarkEnd w:id="801"/>
      <w:bookmarkEnd w:id="802"/>
      <w:bookmarkEnd w:id="803"/>
    </w:p>
    <w:p w14:paraId="157219D5" w14:textId="77777777" w:rsidR="00A206DB" w:rsidRPr="00A206DB" w:rsidRDefault="00A206DB" w:rsidP="00A206DB">
      <w:pPr>
        <w:rPr>
          <w:lang w:val="en-AU" w:bidi="ar-SA"/>
        </w:rPr>
      </w:pPr>
    </w:p>
    <w:p w14:paraId="6E509DD5" w14:textId="68DBA17C" w:rsidR="0021135E" w:rsidRPr="00747824" w:rsidRDefault="0021135E" w:rsidP="0021135E">
      <w:pPr>
        <w:pStyle w:val="Caption"/>
        <w:keepNext/>
        <w:spacing w:after="120" w:line="276" w:lineRule="auto"/>
        <w:rPr>
          <w:b w:val="0"/>
        </w:rPr>
      </w:pPr>
      <w:bookmarkStart w:id="804" w:name="_Toc502499817"/>
      <w:bookmarkStart w:id="805" w:name="_Ref480725590"/>
      <w:r>
        <w:t xml:space="preserve">Table </w:t>
      </w:r>
      <w:r>
        <w:fldChar w:fldCharType="begin"/>
      </w:r>
      <w:r>
        <w:instrText xml:space="preserve"> STYLEREF 7 \s </w:instrText>
      </w:r>
      <w:r>
        <w:fldChar w:fldCharType="separate"/>
      </w:r>
      <w:r w:rsidR="00D12276">
        <w:rPr>
          <w:noProof/>
        </w:rPr>
        <w:t>F</w:t>
      </w:r>
      <w:r>
        <w:fldChar w:fldCharType="end"/>
      </w:r>
      <w:r>
        <w:noBreakHyphen/>
      </w:r>
      <w:r>
        <w:fldChar w:fldCharType="begin"/>
      </w:r>
      <w:r>
        <w:instrText xml:space="preserve"> SEQ Table_Apx \* ARABIC \s 7 </w:instrText>
      </w:r>
      <w:r>
        <w:fldChar w:fldCharType="separate"/>
      </w:r>
      <w:r w:rsidR="00D12276">
        <w:rPr>
          <w:noProof/>
        </w:rPr>
        <w:t>1</w:t>
      </w:r>
      <w:r>
        <w:fldChar w:fldCharType="end"/>
      </w:r>
      <w:r>
        <w:rPr>
          <w:b w:val="0"/>
        </w:rPr>
        <w:t xml:space="preserve">: </w:t>
      </w:r>
      <w:r w:rsidRPr="00747824">
        <w:rPr>
          <w:b w:val="0"/>
        </w:rPr>
        <w:t>Passive sampling return record for the 201</w:t>
      </w:r>
      <w:r>
        <w:rPr>
          <w:b w:val="0"/>
        </w:rPr>
        <w:t>5-16</w:t>
      </w:r>
      <w:r w:rsidRPr="00747824">
        <w:rPr>
          <w:b w:val="0"/>
        </w:rPr>
        <w:t xml:space="preserve"> monitoring year</w:t>
      </w:r>
      <w:r>
        <w:rPr>
          <w:b w:val="0"/>
        </w:rPr>
        <w:t>. ED sampler numbers are given with PDMS (non-polar) samplers in brackets after.</w:t>
      </w:r>
      <w:bookmarkEnd w:id="804"/>
    </w:p>
    <w:tbl>
      <w:tblPr>
        <w:tblW w:w="10514" w:type="dxa"/>
        <w:tblInd w:w="118" w:type="dxa"/>
        <w:tblLook w:val="04A0" w:firstRow="1" w:lastRow="0" w:firstColumn="1" w:lastColumn="0" w:noHBand="0" w:noVBand="1"/>
      </w:tblPr>
      <w:tblGrid>
        <w:gridCol w:w="1442"/>
        <w:gridCol w:w="1559"/>
        <w:gridCol w:w="1134"/>
        <w:gridCol w:w="1134"/>
        <w:gridCol w:w="5245"/>
      </w:tblGrid>
      <w:tr w:rsidR="0021135E" w:rsidRPr="0021135E" w14:paraId="078C5ED3" w14:textId="77777777" w:rsidTr="00A3394C">
        <w:trPr>
          <w:trHeight w:val="1459"/>
        </w:trPr>
        <w:tc>
          <w:tcPr>
            <w:tcW w:w="1442" w:type="dxa"/>
            <w:tcBorders>
              <w:top w:val="single" w:sz="4" w:space="0" w:color="auto"/>
              <w:bottom w:val="single" w:sz="4" w:space="0" w:color="auto"/>
            </w:tcBorders>
            <w:shd w:val="clear" w:color="000000" w:fill="FFFFFF"/>
            <w:vAlign w:val="center"/>
            <w:hideMark/>
          </w:tcPr>
          <w:p w14:paraId="25C3D470" w14:textId="77777777" w:rsidR="0021135E" w:rsidRPr="0021135E" w:rsidRDefault="0021135E" w:rsidP="00A3394C">
            <w:pPr>
              <w:jc w:val="center"/>
              <w:rPr>
                <w:rFonts w:eastAsia="Times New Roman" w:cs="Arial"/>
                <w:b/>
                <w:bCs/>
                <w:color w:val="000000"/>
                <w:sz w:val="20"/>
                <w:szCs w:val="20"/>
                <w:lang w:val="en-AU" w:eastAsia="en-AU" w:bidi="ar-SA"/>
              </w:rPr>
            </w:pPr>
            <w:r w:rsidRPr="0021135E">
              <w:rPr>
                <w:rFonts w:eastAsia="Times New Roman" w:cs="Arial"/>
                <w:b/>
                <w:bCs/>
                <w:color w:val="000000"/>
                <w:sz w:val="20"/>
                <w:szCs w:val="20"/>
                <w:lang w:val="en-AU" w:eastAsia="en-AU" w:bidi="ar-SA"/>
              </w:rPr>
              <w:t>NRM Region</w:t>
            </w:r>
          </w:p>
        </w:tc>
        <w:tc>
          <w:tcPr>
            <w:tcW w:w="1559" w:type="dxa"/>
            <w:tcBorders>
              <w:top w:val="single" w:sz="4" w:space="0" w:color="auto"/>
              <w:bottom w:val="single" w:sz="4" w:space="0" w:color="auto"/>
            </w:tcBorders>
            <w:shd w:val="clear" w:color="000000" w:fill="FFFFFF"/>
            <w:vAlign w:val="center"/>
            <w:hideMark/>
          </w:tcPr>
          <w:p w14:paraId="64B9A16E" w14:textId="77777777" w:rsidR="0021135E" w:rsidRPr="0021135E" w:rsidRDefault="0021135E" w:rsidP="00A3394C">
            <w:pPr>
              <w:jc w:val="center"/>
              <w:rPr>
                <w:rFonts w:eastAsia="Times New Roman" w:cs="Arial"/>
                <w:b/>
                <w:bCs/>
                <w:color w:val="000000"/>
                <w:sz w:val="20"/>
                <w:szCs w:val="20"/>
                <w:lang w:val="en-AU" w:eastAsia="en-AU" w:bidi="ar-SA"/>
              </w:rPr>
            </w:pPr>
            <w:r w:rsidRPr="0021135E">
              <w:rPr>
                <w:rFonts w:eastAsia="Times New Roman" w:cs="Arial"/>
                <w:b/>
                <w:bCs/>
                <w:color w:val="000000"/>
                <w:sz w:val="20"/>
                <w:szCs w:val="20"/>
                <w:lang w:val="en-AU" w:eastAsia="en-AU" w:bidi="ar-SA"/>
              </w:rPr>
              <w:t>Site Name</w:t>
            </w:r>
          </w:p>
        </w:tc>
        <w:tc>
          <w:tcPr>
            <w:tcW w:w="1134" w:type="dxa"/>
            <w:tcBorders>
              <w:top w:val="single" w:sz="4" w:space="0" w:color="auto"/>
              <w:bottom w:val="single" w:sz="4" w:space="0" w:color="auto"/>
            </w:tcBorders>
            <w:shd w:val="clear" w:color="000000" w:fill="FFFFFF"/>
            <w:vAlign w:val="center"/>
            <w:hideMark/>
          </w:tcPr>
          <w:p w14:paraId="4072E382" w14:textId="77777777" w:rsidR="0021135E" w:rsidRPr="0021135E" w:rsidRDefault="0021135E" w:rsidP="00A3394C">
            <w:pPr>
              <w:jc w:val="center"/>
              <w:rPr>
                <w:rFonts w:eastAsia="Times New Roman" w:cs="Arial"/>
                <w:b/>
                <w:bCs/>
                <w:color w:val="000000"/>
                <w:sz w:val="20"/>
                <w:szCs w:val="20"/>
                <w:lang w:val="en-AU" w:eastAsia="en-AU" w:bidi="ar-SA"/>
              </w:rPr>
            </w:pPr>
            <w:r w:rsidRPr="0021135E">
              <w:rPr>
                <w:rFonts w:eastAsia="Times New Roman" w:cs="Arial"/>
                <w:b/>
                <w:bCs/>
                <w:color w:val="000000"/>
                <w:sz w:val="20"/>
                <w:szCs w:val="20"/>
                <w:lang w:val="en-AU" w:eastAsia="en-AU" w:bidi="ar-SA"/>
              </w:rPr>
              <w:t>No. of samplers sent</w:t>
            </w:r>
          </w:p>
        </w:tc>
        <w:tc>
          <w:tcPr>
            <w:tcW w:w="1134" w:type="dxa"/>
            <w:tcBorders>
              <w:top w:val="single" w:sz="4" w:space="0" w:color="auto"/>
              <w:bottom w:val="single" w:sz="4" w:space="0" w:color="auto"/>
            </w:tcBorders>
            <w:shd w:val="clear" w:color="000000" w:fill="FFFFFF"/>
            <w:vAlign w:val="center"/>
            <w:hideMark/>
          </w:tcPr>
          <w:p w14:paraId="128ED74F" w14:textId="77777777" w:rsidR="0021135E" w:rsidRPr="0021135E" w:rsidRDefault="0021135E" w:rsidP="00A3394C">
            <w:pPr>
              <w:jc w:val="center"/>
              <w:rPr>
                <w:rFonts w:eastAsia="Times New Roman" w:cs="Arial"/>
                <w:b/>
                <w:bCs/>
                <w:color w:val="000000"/>
                <w:sz w:val="20"/>
                <w:szCs w:val="20"/>
                <w:lang w:val="en-AU" w:eastAsia="en-AU" w:bidi="ar-SA"/>
              </w:rPr>
            </w:pPr>
            <w:r w:rsidRPr="0021135E">
              <w:rPr>
                <w:rFonts w:eastAsia="Times New Roman" w:cs="Arial"/>
                <w:b/>
                <w:bCs/>
                <w:color w:val="000000"/>
                <w:sz w:val="20"/>
                <w:szCs w:val="20"/>
                <w:lang w:val="en-AU" w:eastAsia="en-AU" w:bidi="ar-SA"/>
              </w:rPr>
              <w:t>No. of samplers returned and ok to analyse</w:t>
            </w:r>
          </w:p>
        </w:tc>
        <w:tc>
          <w:tcPr>
            <w:tcW w:w="5245" w:type="dxa"/>
            <w:tcBorders>
              <w:top w:val="single" w:sz="4" w:space="0" w:color="auto"/>
              <w:bottom w:val="single" w:sz="4" w:space="0" w:color="auto"/>
            </w:tcBorders>
            <w:shd w:val="clear" w:color="000000" w:fill="FFFFFF"/>
            <w:vAlign w:val="center"/>
            <w:hideMark/>
          </w:tcPr>
          <w:p w14:paraId="0CE6A674" w14:textId="77777777" w:rsidR="0021135E" w:rsidRPr="0021135E" w:rsidRDefault="0021135E" w:rsidP="00A3394C">
            <w:pPr>
              <w:jc w:val="center"/>
              <w:rPr>
                <w:rFonts w:eastAsia="Times New Roman" w:cs="Arial"/>
                <w:b/>
                <w:bCs/>
                <w:sz w:val="20"/>
                <w:szCs w:val="20"/>
                <w:lang w:val="en-AU" w:eastAsia="en-AU" w:bidi="ar-SA"/>
              </w:rPr>
            </w:pPr>
            <w:r w:rsidRPr="0021135E">
              <w:rPr>
                <w:rFonts w:eastAsia="Times New Roman" w:cs="Arial"/>
                <w:b/>
                <w:bCs/>
                <w:sz w:val="20"/>
                <w:szCs w:val="20"/>
                <w:lang w:val="en-AU" w:eastAsia="en-AU" w:bidi="ar-SA"/>
              </w:rPr>
              <w:t>Comments</w:t>
            </w:r>
          </w:p>
        </w:tc>
      </w:tr>
      <w:tr w:rsidR="0021135E" w:rsidRPr="0021135E" w14:paraId="5D5F18CA" w14:textId="77777777" w:rsidTr="00A3394C">
        <w:trPr>
          <w:trHeight w:val="624"/>
        </w:trPr>
        <w:tc>
          <w:tcPr>
            <w:tcW w:w="1442" w:type="dxa"/>
            <w:vMerge w:val="restart"/>
            <w:tcBorders>
              <w:top w:val="single" w:sz="4" w:space="0" w:color="auto"/>
            </w:tcBorders>
            <w:shd w:val="clear" w:color="000000" w:fill="FFFFFF"/>
            <w:noWrap/>
            <w:vAlign w:val="center"/>
            <w:hideMark/>
          </w:tcPr>
          <w:p w14:paraId="2F1E7E59" w14:textId="77777777" w:rsidR="0021135E" w:rsidRPr="0021135E" w:rsidRDefault="0021135E" w:rsidP="00A3394C">
            <w:pPr>
              <w:jc w:val="center"/>
              <w:rPr>
                <w:rFonts w:eastAsia="Times New Roman" w:cs="Arial"/>
                <w:b/>
                <w:bCs/>
                <w:color w:val="000000"/>
                <w:sz w:val="20"/>
                <w:szCs w:val="20"/>
                <w:lang w:val="en-AU" w:eastAsia="en-AU" w:bidi="ar-SA"/>
              </w:rPr>
            </w:pPr>
            <w:r w:rsidRPr="0021135E">
              <w:rPr>
                <w:rFonts w:eastAsia="Times New Roman" w:cs="Arial"/>
                <w:b/>
                <w:bCs/>
                <w:color w:val="000000"/>
                <w:sz w:val="20"/>
                <w:szCs w:val="20"/>
                <w:lang w:val="en-AU" w:eastAsia="en-AU" w:bidi="ar-SA"/>
              </w:rPr>
              <w:t>Wet Tropics</w:t>
            </w:r>
          </w:p>
        </w:tc>
        <w:tc>
          <w:tcPr>
            <w:tcW w:w="1559" w:type="dxa"/>
            <w:tcBorders>
              <w:top w:val="single" w:sz="4" w:space="0" w:color="auto"/>
            </w:tcBorders>
            <w:shd w:val="clear" w:color="000000" w:fill="FFFFFF"/>
            <w:vAlign w:val="center"/>
            <w:hideMark/>
          </w:tcPr>
          <w:p w14:paraId="3FE1F0ED"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Low Isles</w:t>
            </w:r>
          </w:p>
        </w:tc>
        <w:tc>
          <w:tcPr>
            <w:tcW w:w="1134" w:type="dxa"/>
            <w:tcBorders>
              <w:top w:val="single" w:sz="4" w:space="0" w:color="auto"/>
            </w:tcBorders>
            <w:shd w:val="clear" w:color="000000" w:fill="FFFFFF"/>
            <w:noWrap/>
            <w:vAlign w:val="center"/>
            <w:hideMark/>
          </w:tcPr>
          <w:p w14:paraId="59E490B5"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9</w:t>
            </w:r>
          </w:p>
        </w:tc>
        <w:tc>
          <w:tcPr>
            <w:tcW w:w="1134" w:type="dxa"/>
            <w:tcBorders>
              <w:top w:val="single" w:sz="4" w:space="0" w:color="auto"/>
            </w:tcBorders>
            <w:shd w:val="clear" w:color="000000" w:fill="FFFFFF"/>
            <w:noWrap/>
            <w:vAlign w:val="center"/>
            <w:hideMark/>
          </w:tcPr>
          <w:p w14:paraId="30905D13"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8</w:t>
            </w:r>
          </w:p>
        </w:tc>
        <w:tc>
          <w:tcPr>
            <w:tcW w:w="5245" w:type="dxa"/>
            <w:tcBorders>
              <w:top w:val="single" w:sz="4" w:space="0" w:color="auto"/>
            </w:tcBorders>
            <w:shd w:val="clear" w:color="000000" w:fill="FFFFFF"/>
            <w:vAlign w:val="center"/>
            <w:hideMark/>
          </w:tcPr>
          <w:p w14:paraId="2D4F7C44"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Continuous sampling throughout the year, all samplers returned; however, in one sampling period the samplers were deployed with lids on</w:t>
            </w:r>
          </w:p>
        </w:tc>
      </w:tr>
      <w:tr w:rsidR="0021135E" w:rsidRPr="0021135E" w14:paraId="73159053" w14:textId="77777777" w:rsidTr="00A3394C">
        <w:trPr>
          <w:trHeight w:val="624"/>
        </w:trPr>
        <w:tc>
          <w:tcPr>
            <w:tcW w:w="1442" w:type="dxa"/>
            <w:vMerge/>
            <w:vAlign w:val="center"/>
            <w:hideMark/>
          </w:tcPr>
          <w:p w14:paraId="2446E04A" w14:textId="77777777" w:rsidR="0021135E" w:rsidRPr="0021135E" w:rsidRDefault="0021135E" w:rsidP="00A3394C">
            <w:pPr>
              <w:jc w:val="left"/>
              <w:rPr>
                <w:rFonts w:eastAsia="Times New Roman" w:cs="Arial"/>
                <w:b/>
                <w:bCs/>
                <w:color w:val="000000"/>
                <w:sz w:val="20"/>
                <w:szCs w:val="20"/>
                <w:lang w:val="en-AU" w:eastAsia="en-AU" w:bidi="ar-SA"/>
              </w:rPr>
            </w:pPr>
            <w:bookmarkStart w:id="806" w:name="_Hlk480524530"/>
          </w:p>
        </w:tc>
        <w:tc>
          <w:tcPr>
            <w:tcW w:w="1559" w:type="dxa"/>
            <w:shd w:val="clear" w:color="000000" w:fill="FFFFFF"/>
            <w:vAlign w:val="center"/>
            <w:hideMark/>
          </w:tcPr>
          <w:p w14:paraId="4E1747BB"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High Island</w:t>
            </w:r>
          </w:p>
        </w:tc>
        <w:tc>
          <w:tcPr>
            <w:tcW w:w="1134" w:type="dxa"/>
            <w:shd w:val="clear" w:color="000000" w:fill="FFFFFF"/>
            <w:noWrap/>
            <w:vAlign w:val="center"/>
            <w:hideMark/>
          </w:tcPr>
          <w:p w14:paraId="6E27AA65"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9</w:t>
            </w:r>
          </w:p>
        </w:tc>
        <w:tc>
          <w:tcPr>
            <w:tcW w:w="1134" w:type="dxa"/>
            <w:shd w:val="clear" w:color="000000" w:fill="FFFFFF"/>
            <w:noWrap/>
            <w:vAlign w:val="center"/>
            <w:hideMark/>
          </w:tcPr>
          <w:p w14:paraId="02C0E041"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9</w:t>
            </w:r>
          </w:p>
        </w:tc>
        <w:tc>
          <w:tcPr>
            <w:tcW w:w="5245" w:type="dxa"/>
            <w:shd w:val="clear" w:color="000000" w:fill="FFFFFF"/>
            <w:vAlign w:val="center"/>
            <w:hideMark/>
          </w:tcPr>
          <w:p w14:paraId="3C67BEF5"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Last sampled in 2008, recommenced May 2016.  Continuous sampling throughout the year, all samplers returned and analysed (PFMs were lost Nov)</w:t>
            </w:r>
          </w:p>
        </w:tc>
      </w:tr>
      <w:tr w:rsidR="0021135E" w:rsidRPr="0021135E" w14:paraId="5A19B4B2" w14:textId="77777777" w:rsidTr="00A3394C">
        <w:trPr>
          <w:trHeight w:val="624"/>
        </w:trPr>
        <w:tc>
          <w:tcPr>
            <w:tcW w:w="1442" w:type="dxa"/>
            <w:vMerge/>
            <w:vAlign w:val="center"/>
            <w:hideMark/>
          </w:tcPr>
          <w:p w14:paraId="1D4EB066" w14:textId="77777777" w:rsidR="0021135E" w:rsidRPr="0021135E" w:rsidRDefault="0021135E" w:rsidP="00A3394C">
            <w:pPr>
              <w:jc w:val="left"/>
              <w:rPr>
                <w:rFonts w:eastAsia="Times New Roman" w:cs="Arial"/>
                <w:b/>
                <w:bCs/>
                <w:color w:val="000000"/>
                <w:sz w:val="20"/>
                <w:szCs w:val="20"/>
                <w:lang w:val="en-AU" w:eastAsia="en-AU" w:bidi="ar-SA"/>
              </w:rPr>
            </w:pPr>
          </w:p>
        </w:tc>
        <w:tc>
          <w:tcPr>
            <w:tcW w:w="1559" w:type="dxa"/>
            <w:shd w:val="clear" w:color="000000" w:fill="FFFFFF"/>
            <w:vAlign w:val="center"/>
            <w:hideMark/>
          </w:tcPr>
          <w:p w14:paraId="6ED1F06D"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Normanby Island</w:t>
            </w:r>
          </w:p>
        </w:tc>
        <w:tc>
          <w:tcPr>
            <w:tcW w:w="1134" w:type="dxa"/>
            <w:shd w:val="clear" w:color="000000" w:fill="FFFFFF"/>
            <w:noWrap/>
            <w:vAlign w:val="center"/>
            <w:hideMark/>
          </w:tcPr>
          <w:p w14:paraId="0701685B"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7</w:t>
            </w:r>
          </w:p>
        </w:tc>
        <w:tc>
          <w:tcPr>
            <w:tcW w:w="1134" w:type="dxa"/>
            <w:shd w:val="clear" w:color="000000" w:fill="FFFFFF"/>
            <w:noWrap/>
            <w:vAlign w:val="center"/>
            <w:hideMark/>
          </w:tcPr>
          <w:p w14:paraId="5C0D2E1E"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1</w:t>
            </w:r>
          </w:p>
        </w:tc>
        <w:tc>
          <w:tcPr>
            <w:tcW w:w="5245" w:type="dxa"/>
            <w:shd w:val="clear" w:color="000000" w:fill="FFFFFF"/>
            <w:vAlign w:val="center"/>
            <w:hideMark/>
          </w:tcPr>
          <w:p w14:paraId="00AF248C"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No samplers were returned after 1 Jul 2015 - 6 sampler sets were not returned/used, stopped sending samplers Mar-2016</w:t>
            </w:r>
          </w:p>
        </w:tc>
      </w:tr>
      <w:tr w:rsidR="0021135E" w:rsidRPr="0021135E" w14:paraId="5A4AFDFD" w14:textId="77777777" w:rsidTr="00A3394C">
        <w:trPr>
          <w:trHeight w:val="624"/>
        </w:trPr>
        <w:tc>
          <w:tcPr>
            <w:tcW w:w="1442" w:type="dxa"/>
            <w:vMerge/>
            <w:vAlign w:val="center"/>
            <w:hideMark/>
          </w:tcPr>
          <w:p w14:paraId="27360674" w14:textId="77777777" w:rsidR="0021135E" w:rsidRPr="0021135E" w:rsidRDefault="0021135E" w:rsidP="00A3394C">
            <w:pPr>
              <w:jc w:val="left"/>
              <w:rPr>
                <w:rFonts w:eastAsia="Times New Roman" w:cs="Arial"/>
                <w:b/>
                <w:bCs/>
                <w:color w:val="000000"/>
                <w:sz w:val="20"/>
                <w:szCs w:val="20"/>
                <w:lang w:val="en-AU" w:eastAsia="en-AU" w:bidi="ar-SA"/>
              </w:rPr>
            </w:pPr>
          </w:p>
        </w:tc>
        <w:tc>
          <w:tcPr>
            <w:tcW w:w="1559" w:type="dxa"/>
            <w:shd w:val="clear" w:color="000000" w:fill="FFFFFF"/>
            <w:vAlign w:val="center"/>
            <w:hideMark/>
          </w:tcPr>
          <w:p w14:paraId="5EA263C2"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Dunk Island</w:t>
            </w:r>
          </w:p>
        </w:tc>
        <w:tc>
          <w:tcPr>
            <w:tcW w:w="1134" w:type="dxa"/>
            <w:shd w:val="clear" w:color="000000" w:fill="FFFFFF"/>
            <w:noWrap/>
            <w:vAlign w:val="center"/>
            <w:hideMark/>
          </w:tcPr>
          <w:p w14:paraId="16D9FE98"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9</w:t>
            </w:r>
          </w:p>
        </w:tc>
        <w:tc>
          <w:tcPr>
            <w:tcW w:w="1134" w:type="dxa"/>
            <w:shd w:val="clear" w:color="000000" w:fill="FFFFFF"/>
            <w:noWrap/>
            <w:vAlign w:val="center"/>
            <w:hideMark/>
          </w:tcPr>
          <w:p w14:paraId="4408BD06"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9</w:t>
            </w:r>
          </w:p>
        </w:tc>
        <w:tc>
          <w:tcPr>
            <w:tcW w:w="5245" w:type="dxa"/>
            <w:shd w:val="clear" w:color="000000" w:fill="FFFFFF"/>
            <w:vAlign w:val="center"/>
            <w:hideMark/>
          </w:tcPr>
          <w:p w14:paraId="1E4864AD"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Continuous sampling throughout the year, all samplers returned and analysed (1 PFM lost Nov)</w:t>
            </w:r>
          </w:p>
        </w:tc>
      </w:tr>
      <w:bookmarkEnd w:id="806"/>
      <w:tr w:rsidR="0021135E" w:rsidRPr="0021135E" w14:paraId="7C3C2846" w14:textId="77777777" w:rsidTr="00A3394C">
        <w:trPr>
          <w:trHeight w:val="624"/>
        </w:trPr>
        <w:tc>
          <w:tcPr>
            <w:tcW w:w="1442" w:type="dxa"/>
            <w:vMerge/>
            <w:tcBorders>
              <w:bottom w:val="single" w:sz="4" w:space="0" w:color="BFBFBF" w:themeColor="background1" w:themeShade="BF"/>
            </w:tcBorders>
            <w:vAlign w:val="center"/>
            <w:hideMark/>
          </w:tcPr>
          <w:p w14:paraId="09FEB525" w14:textId="77777777" w:rsidR="0021135E" w:rsidRPr="0021135E" w:rsidRDefault="0021135E" w:rsidP="00A3394C">
            <w:pPr>
              <w:jc w:val="left"/>
              <w:rPr>
                <w:rFonts w:eastAsia="Times New Roman" w:cs="Arial"/>
                <w:b/>
                <w:bCs/>
                <w:color w:val="000000"/>
                <w:sz w:val="20"/>
                <w:szCs w:val="20"/>
                <w:lang w:val="en-AU" w:eastAsia="en-AU" w:bidi="ar-SA"/>
              </w:rPr>
            </w:pPr>
          </w:p>
        </w:tc>
        <w:tc>
          <w:tcPr>
            <w:tcW w:w="1559" w:type="dxa"/>
            <w:tcBorders>
              <w:bottom w:val="single" w:sz="4" w:space="0" w:color="BFBFBF" w:themeColor="background1" w:themeShade="BF"/>
            </w:tcBorders>
            <w:shd w:val="clear" w:color="000000" w:fill="FFFFFF"/>
            <w:vAlign w:val="center"/>
            <w:hideMark/>
          </w:tcPr>
          <w:p w14:paraId="0B7804F1"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Lucinda Jetty (CSIRO)</w:t>
            </w:r>
          </w:p>
        </w:tc>
        <w:tc>
          <w:tcPr>
            <w:tcW w:w="1134" w:type="dxa"/>
            <w:tcBorders>
              <w:bottom w:val="single" w:sz="4" w:space="0" w:color="BFBFBF" w:themeColor="background1" w:themeShade="BF"/>
            </w:tcBorders>
            <w:shd w:val="clear" w:color="000000" w:fill="FFFFFF"/>
            <w:noWrap/>
            <w:vAlign w:val="center"/>
            <w:hideMark/>
          </w:tcPr>
          <w:p w14:paraId="16624362"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9</w:t>
            </w:r>
          </w:p>
        </w:tc>
        <w:tc>
          <w:tcPr>
            <w:tcW w:w="1134" w:type="dxa"/>
            <w:tcBorders>
              <w:bottom w:val="single" w:sz="4" w:space="0" w:color="BFBFBF" w:themeColor="background1" w:themeShade="BF"/>
            </w:tcBorders>
            <w:shd w:val="clear" w:color="000000" w:fill="FFFFFF"/>
            <w:noWrap/>
            <w:vAlign w:val="center"/>
            <w:hideMark/>
          </w:tcPr>
          <w:p w14:paraId="52BFB20F"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9</w:t>
            </w:r>
          </w:p>
        </w:tc>
        <w:tc>
          <w:tcPr>
            <w:tcW w:w="5245" w:type="dxa"/>
            <w:tcBorders>
              <w:bottom w:val="single" w:sz="4" w:space="0" w:color="BFBFBF" w:themeColor="background1" w:themeShade="BF"/>
            </w:tcBorders>
            <w:shd w:val="clear" w:color="000000" w:fill="FFFFFF"/>
            <w:vAlign w:val="center"/>
            <w:hideMark/>
          </w:tcPr>
          <w:p w14:paraId="1F1ED0C7"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Mostly continuous sampling, samplers not deployed for two short periods: 19/10-9/11/2015 and 2-10/12/2015. Lids left on PFMs in Feb 2016</w:t>
            </w:r>
          </w:p>
        </w:tc>
      </w:tr>
      <w:tr w:rsidR="0021135E" w:rsidRPr="0021135E" w14:paraId="32607601" w14:textId="77777777" w:rsidTr="00A3394C">
        <w:trPr>
          <w:trHeight w:val="965"/>
        </w:trPr>
        <w:tc>
          <w:tcPr>
            <w:tcW w:w="1442" w:type="dxa"/>
            <w:tcBorders>
              <w:top w:val="single" w:sz="4" w:space="0" w:color="BFBFBF" w:themeColor="background1" w:themeShade="BF"/>
              <w:bottom w:val="single" w:sz="4" w:space="0" w:color="BFBFBF" w:themeColor="background1" w:themeShade="BF"/>
            </w:tcBorders>
            <w:shd w:val="clear" w:color="000000" w:fill="FFFFFF"/>
            <w:noWrap/>
            <w:vAlign w:val="center"/>
            <w:hideMark/>
          </w:tcPr>
          <w:p w14:paraId="2AE1F84C" w14:textId="77777777" w:rsidR="0021135E" w:rsidRPr="0021135E" w:rsidRDefault="0021135E" w:rsidP="00A3394C">
            <w:pPr>
              <w:jc w:val="center"/>
              <w:rPr>
                <w:rFonts w:eastAsia="Times New Roman" w:cs="Arial"/>
                <w:b/>
                <w:bCs/>
                <w:color w:val="000000"/>
                <w:sz w:val="20"/>
                <w:szCs w:val="20"/>
                <w:lang w:val="en-AU" w:eastAsia="en-AU" w:bidi="ar-SA"/>
              </w:rPr>
            </w:pPr>
            <w:r w:rsidRPr="0021135E">
              <w:rPr>
                <w:rFonts w:eastAsia="Times New Roman" w:cs="Arial"/>
                <w:b/>
                <w:bCs/>
                <w:color w:val="000000"/>
                <w:sz w:val="20"/>
                <w:szCs w:val="20"/>
                <w:lang w:val="en-AU" w:eastAsia="en-AU" w:bidi="ar-SA"/>
              </w:rPr>
              <w:t>Burdekin</w:t>
            </w:r>
          </w:p>
        </w:tc>
        <w:tc>
          <w:tcPr>
            <w:tcW w:w="1559" w:type="dxa"/>
            <w:tcBorders>
              <w:top w:val="single" w:sz="4" w:space="0" w:color="BFBFBF" w:themeColor="background1" w:themeShade="BF"/>
              <w:bottom w:val="single" w:sz="4" w:space="0" w:color="BFBFBF" w:themeColor="background1" w:themeShade="BF"/>
            </w:tcBorders>
            <w:shd w:val="clear" w:color="000000" w:fill="FFFFFF"/>
            <w:vAlign w:val="center"/>
            <w:hideMark/>
          </w:tcPr>
          <w:p w14:paraId="39FF409E"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Barratta Creek</w:t>
            </w:r>
          </w:p>
        </w:tc>
        <w:tc>
          <w:tcPr>
            <w:tcW w:w="1134" w:type="dxa"/>
            <w:tcBorders>
              <w:top w:val="single" w:sz="4" w:space="0" w:color="BFBFBF" w:themeColor="background1" w:themeShade="BF"/>
              <w:bottom w:val="single" w:sz="4" w:space="0" w:color="BFBFBF" w:themeColor="background1" w:themeShade="BF"/>
            </w:tcBorders>
            <w:shd w:val="clear" w:color="000000" w:fill="FFFFFF"/>
            <w:noWrap/>
            <w:vAlign w:val="center"/>
            <w:hideMark/>
          </w:tcPr>
          <w:p w14:paraId="105ED268"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9</w:t>
            </w:r>
          </w:p>
        </w:tc>
        <w:tc>
          <w:tcPr>
            <w:tcW w:w="1134" w:type="dxa"/>
            <w:tcBorders>
              <w:top w:val="single" w:sz="4" w:space="0" w:color="BFBFBF" w:themeColor="background1" w:themeShade="BF"/>
              <w:bottom w:val="single" w:sz="4" w:space="0" w:color="BFBFBF" w:themeColor="background1" w:themeShade="BF"/>
            </w:tcBorders>
            <w:shd w:val="clear" w:color="000000" w:fill="FFFFFF"/>
            <w:noWrap/>
            <w:vAlign w:val="center"/>
            <w:hideMark/>
          </w:tcPr>
          <w:p w14:paraId="20BA8D91"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6 (5)</w:t>
            </w:r>
          </w:p>
        </w:tc>
        <w:tc>
          <w:tcPr>
            <w:tcW w:w="5245" w:type="dxa"/>
            <w:tcBorders>
              <w:top w:val="single" w:sz="4" w:space="0" w:color="BFBFBF" w:themeColor="background1" w:themeShade="BF"/>
              <w:bottom w:val="single" w:sz="4" w:space="0" w:color="BFBFBF" w:themeColor="background1" w:themeShade="BF"/>
            </w:tcBorders>
            <w:shd w:val="clear" w:color="000000" w:fill="FFFFFF"/>
            <w:vAlign w:val="center"/>
            <w:hideMark/>
          </w:tcPr>
          <w:p w14:paraId="2FD5A67A"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2 sets of samplers lost (May/Jun &amp; Sep/Oct 2015), 1 set "returned unsealed" (Nov 2015). Deployment date for Dec 2015 not known</w:t>
            </w:r>
          </w:p>
        </w:tc>
      </w:tr>
      <w:tr w:rsidR="0021135E" w:rsidRPr="0021135E" w14:paraId="63FED84C" w14:textId="77777777" w:rsidTr="00A3394C">
        <w:trPr>
          <w:trHeight w:val="991"/>
        </w:trPr>
        <w:tc>
          <w:tcPr>
            <w:tcW w:w="1442" w:type="dxa"/>
            <w:vMerge w:val="restart"/>
            <w:tcBorders>
              <w:top w:val="single" w:sz="4" w:space="0" w:color="BFBFBF" w:themeColor="background1" w:themeShade="BF"/>
            </w:tcBorders>
            <w:shd w:val="clear" w:color="000000" w:fill="FFFFFF"/>
            <w:vAlign w:val="center"/>
            <w:hideMark/>
          </w:tcPr>
          <w:p w14:paraId="399BDC7B" w14:textId="77777777" w:rsidR="0021135E" w:rsidRPr="0021135E" w:rsidRDefault="0021135E" w:rsidP="00A3394C">
            <w:pPr>
              <w:jc w:val="center"/>
              <w:rPr>
                <w:rFonts w:eastAsia="Times New Roman" w:cs="Arial"/>
                <w:b/>
                <w:bCs/>
                <w:color w:val="000000"/>
                <w:sz w:val="20"/>
                <w:szCs w:val="20"/>
                <w:lang w:val="en-AU" w:eastAsia="en-AU" w:bidi="ar-SA"/>
              </w:rPr>
            </w:pPr>
            <w:r w:rsidRPr="0021135E">
              <w:rPr>
                <w:rFonts w:eastAsia="Times New Roman" w:cs="Arial"/>
                <w:b/>
                <w:bCs/>
                <w:color w:val="000000"/>
                <w:sz w:val="20"/>
                <w:szCs w:val="20"/>
                <w:lang w:val="en-AU" w:eastAsia="en-AU" w:bidi="ar-SA"/>
              </w:rPr>
              <w:t>Mackay Whitsunday</w:t>
            </w:r>
          </w:p>
        </w:tc>
        <w:tc>
          <w:tcPr>
            <w:tcW w:w="1559" w:type="dxa"/>
            <w:tcBorders>
              <w:top w:val="single" w:sz="4" w:space="0" w:color="BFBFBF" w:themeColor="background1" w:themeShade="BF"/>
            </w:tcBorders>
            <w:shd w:val="clear" w:color="000000" w:fill="FFFFFF"/>
            <w:vAlign w:val="center"/>
            <w:hideMark/>
          </w:tcPr>
          <w:p w14:paraId="2B66258A"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Repulse Bay</w:t>
            </w:r>
          </w:p>
        </w:tc>
        <w:tc>
          <w:tcPr>
            <w:tcW w:w="1134" w:type="dxa"/>
            <w:tcBorders>
              <w:top w:val="single" w:sz="4" w:space="0" w:color="BFBFBF" w:themeColor="background1" w:themeShade="BF"/>
            </w:tcBorders>
            <w:shd w:val="clear" w:color="000000" w:fill="FFFFFF"/>
            <w:noWrap/>
            <w:vAlign w:val="center"/>
            <w:hideMark/>
          </w:tcPr>
          <w:p w14:paraId="08BAE438"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8</w:t>
            </w:r>
          </w:p>
        </w:tc>
        <w:tc>
          <w:tcPr>
            <w:tcW w:w="1134" w:type="dxa"/>
            <w:tcBorders>
              <w:top w:val="single" w:sz="4" w:space="0" w:color="BFBFBF" w:themeColor="background1" w:themeShade="BF"/>
            </w:tcBorders>
            <w:shd w:val="clear" w:color="000000" w:fill="FFFFFF"/>
            <w:noWrap/>
            <w:vAlign w:val="center"/>
            <w:hideMark/>
          </w:tcPr>
          <w:p w14:paraId="04D1FDF5"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4 (2)</w:t>
            </w:r>
          </w:p>
        </w:tc>
        <w:tc>
          <w:tcPr>
            <w:tcW w:w="5245" w:type="dxa"/>
            <w:tcBorders>
              <w:top w:val="single" w:sz="4" w:space="0" w:color="BFBFBF" w:themeColor="background1" w:themeShade="BF"/>
            </w:tcBorders>
            <w:shd w:val="clear" w:color="000000" w:fill="FFFFFF"/>
            <w:vAlign w:val="center"/>
            <w:hideMark/>
          </w:tcPr>
          <w:p w14:paraId="070849AB"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1 set of samplers damaged (membrane destroyed, Nov 2015), 1 set lost (Jan 2016) and no samplers were deployed Feb-Apr 2016</w:t>
            </w:r>
          </w:p>
        </w:tc>
      </w:tr>
      <w:tr w:rsidR="0021135E" w:rsidRPr="0021135E" w14:paraId="06DC7E93" w14:textId="77777777" w:rsidTr="00A3394C">
        <w:trPr>
          <w:trHeight w:val="1195"/>
        </w:trPr>
        <w:tc>
          <w:tcPr>
            <w:tcW w:w="1442" w:type="dxa"/>
            <w:vMerge/>
            <w:vAlign w:val="center"/>
            <w:hideMark/>
          </w:tcPr>
          <w:p w14:paraId="42BCB7C5" w14:textId="77777777" w:rsidR="0021135E" w:rsidRPr="0021135E" w:rsidRDefault="0021135E" w:rsidP="00A3394C">
            <w:pPr>
              <w:jc w:val="left"/>
              <w:rPr>
                <w:rFonts w:eastAsia="Times New Roman" w:cs="Arial"/>
                <w:b/>
                <w:bCs/>
                <w:color w:val="000000"/>
                <w:sz w:val="20"/>
                <w:szCs w:val="20"/>
                <w:lang w:val="en-AU" w:eastAsia="en-AU" w:bidi="ar-SA"/>
              </w:rPr>
            </w:pPr>
          </w:p>
        </w:tc>
        <w:tc>
          <w:tcPr>
            <w:tcW w:w="1559" w:type="dxa"/>
            <w:shd w:val="clear" w:color="000000" w:fill="FFFFFF"/>
            <w:vAlign w:val="center"/>
            <w:hideMark/>
          </w:tcPr>
          <w:p w14:paraId="5CE2EA70"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Round Top Island</w:t>
            </w:r>
          </w:p>
        </w:tc>
        <w:tc>
          <w:tcPr>
            <w:tcW w:w="1134" w:type="dxa"/>
            <w:shd w:val="clear" w:color="000000" w:fill="FFFFFF"/>
            <w:noWrap/>
            <w:vAlign w:val="center"/>
            <w:hideMark/>
          </w:tcPr>
          <w:p w14:paraId="0848BDC8"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8</w:t>
            </w:r>
          </w:p>
        </w:tc>
        <w:tc>
          <w:tcPr>
            <w:tcW w:w="1134" w:type="dxa"/>
            <w:shd w:val="clear" w:color="000000" w:fill="FFFFFF"/>
            <w:noWrap/>
            <w:vAlign w:val="center"/>
            <w:hideMark/>
          </w:tcPr>
          <w:p w14:paraId="69A55521"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5 (3)</w:t>
            </w:r>
          </w:p>
        </w:tc>
        <w:tc>
          <w:tcPr>
            <w:tcW w:w="5245" w:type="dxa"/>
            <w:shd w:val="clear" w:color="000000" w:fill="FFFFFF"/>
            <w:vAlign w:val="center"/>
            <w:hideMark/>
          </w:tcPr>
          <w:p w14:paraId="06BFCB07"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1 set of samplers lost (Apr 2016), 2 sets were not deployed (May/Jun &amp; Jul/Aug 2015). Dec 2015 sampler was overdeployed so no Jan 2016 sample</w:t>
            </w:r>
          </w:p>
        </w:tc>
      </w:tr>
      <w:tr w:rsidR="0021135E" w:rsidRPr="0021135E" w14:paraId="15ABFECF" w14:textId="77777777" w:rsidTr="00A3394C">
        <w:trPr>
          <w:trHeight w:val="836"/>
        </w:trPr>
        <w:tc>
          <w:tcPr>
            <w:tcW w:w="1442" w:type="dxa"/>
            <w:vMerge/>
            <w:vAlign w:val="center"/>
            <w:hideMark/>
          </w:tcPr>
          <w:p w14:paraId="53F07543" w14:textId="77777777" w:rsidR="0021135E" w:rsidRPr="0021135E" w:rsidRDefault="0021135E" w:rsidP="00A3394C">
            <w:pPr>
              <w:jc w:val="left"/>
              <w:rPr>
                <w:rFonts w:eastAsia="Times New Roman" w:cs="Arial"/>
                <w:b/>
                <w:bCs/>
                <w:color w:val="000000"/>
                <w:sz w:val="20"/>
                <w:szCs w:val="20"/>
                <w:lang w:val="en-AU" w:eastAsia="en-AU" w:bidi="ar-SA"/>
              </w:rPr>
            </w:pPr>
          </w:p>
        </w:tc>
        <w:tc>
          <w:tcPr>
            <w:tcW w:w="1559" w:type="dxa"/>
            <w:shd w:val="clear" w:color="000000" w:fill="FFFFFF"/>
            <w:vAlign w:val="center"/>
            <w:hideMark/>
          </w:tcPr>
          <w:p w14:paraId="4ACF7D75"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 xml:space="preserve">Sandy Creek </w:t>
            </w:r>
          </w:p>
        </w:tc>
        <w:tc>
          <w:tcPr>
            <w:tcW w:w="1134" w:type="dxa"/>
            <w:shd w:val="clear" w:color="000000" w:fill="FFFFFF"/>
            <w:noWrap/>
            <w:vAlign w:val="center"/>
            <w:hideMark/>
          </w:tcPr>
          <w:p w14:paraId="150CBD7C"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8</w:t>
            </w:r>
          </w:p>
        </w:tc>
        <w:tc>
          <w:tcPr>
            <w:tcW w:w="1134" w:type="dxa"/>
            <w:shd w:val="clear" w:color="000000" w:fill="FFFFFF"/>
            <w:noWrap/>
            <w:vAlign w:val="center"/>
            <w:hideMark/>
          </w:tcPr>
          <w:p w14:paraId="24CDF891"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5 (3)</w:t>
            </w:r>
          </w:p>
        </w:tc>
        <w:tc>
          <w:tcPr>
            <w:tcW w:w="5245" w:type="dxa"/>
            <w:shd w:val="clear" w:color="000000" w:fill="FFFFFF"/>
            <w:vAlign w:val="center"/>
            <w:hideMark/>
          </w:tcPr>
          <w:p w14:paraId="0CC5A733"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 xml:space="preserve">1 set of samplers lost, 2 sets unused, overdeployment for Dec/Jan resulted in one less sampling period </w:t>
            </w:r>
          </w:p>
        </w:tc>
      </w:tr>
      <w:tr w:rsidR="0021135E" w:rsidRPr="0021135E" w14:paraId="27C560E4" w14:textId="77777777" w:rsidTr="00A3394C">
        <w:trPr>
          <w:trHeight w:val="989"/>
        </w:trPr>
        <w:tc>
          <w:tcPr>
            <w:tcW w:w="1442" w:type="dxa"/>
            <w:vMerge/>
            <w:tcBorders>
              <w:bottom w:val="single" w:sz="4" w:space="0" w:color="BFBFBF" w:themeColor="background1" w:themeShade="BF"/>
            </w:tcBorders>
            <w:vAlign w:val="center"/>
            <w:hideMark/>
          </w:tcPr>
          <w:p w14:paraId="025B1648" w14:textId="77777777" w:rsidR="0021135E" w:rsidRPr="0021135E" w:rsidRDefault="0021135E" w:rsidP="00A3394C">
            <w:pPr>
              <w:jc w:val="left"/>
              <w:rPr>
                <w:rFonts w:eastAsia="Times New Roman" w:cs="Arial"/>
                <w:b/>
                <w:bCs/>
                <w:color w:val="000000"/>
                <w:sz w:val="20"/>
                <w:szCs w:val="20"/>
                <w:lang w:val="en-AU" w:eastAsia="en-AU" w:bidi="ar-SA"/>
              </w:rPr>
            </w:pPr>
          </w:p>
        </w:tc>
        <w:tc>
          <w:tcPr>
            <w:tcW w:w="1559" w:type="dxa"/>
            <w:tcBorders>
              <w:bottom w:val="single" w:sz="4" w:space="0" w:color="BFBFBF" w:themeColor="background1" w:themeShade="BF"/>
            </w:tcBorders>
            <w:shd w:val="clear" w:color="000000" w:fill="FFFFFF"/>
            <w:vAlign w:val="center"/>
            <w:hideMark/>
          </w:tcPr>
          <w:p w14:paraId="7B727BC7"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Sarina Inlet</w:t>
            </w:r>
          </w:p>
        </w:tc>
        <w:tc>
          <w:tcPr>
            <w:tcW w:w="1134" w:type="dxa"/>
            <w:tcBorders>
              <w:bottom w:val="single" w:sz="4" w:space="0" w:color="BFBFBF" w:themeColor="background1" w:themeShade="BF"/>
            </w:tcBorders>
            <w:shd w:val="clear" w:color="000000" w:fill="FFFFFF"/>
            <w:noWrap/>
            <w:vAlign w:val="center"/>
            <w:hideMark/>
          </w:tcPr>
          <w:p w14:paraId="72038744"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8</w:t>
            </w:r>
          </w:p>
        </w:tc>
        <w:tc>
          <w:tcPr>
            <w:tcW w:w="1134" w:type="dxa"/>
            <w:tcBorders>
              <w:bottom w:val="single" w:sz="4" w:space="0" w:color="BFBFBF" w:themeColor="background1" w:themeShade="BF"/>
            </w:tcBorders>
            <w:shd w:val="clear" w:color="000000" w:fill="FFFFFF"/>
            <w:noWrap/>
            <w:vAlign w:val="center"/>
            <w:hideMark/>
          </w:tcPr>
          <w:p w14:paraId="0C6923EF"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3</w:t>
            </w:r>
          </w:p>
        </w:tc>
        <w:tc>
          <w:tcPr>
            <w:tcW w:w="5245" w:type="dxa"/>
            <w:tcBorders>
              <w:bottom w:val="single" w:sz="4" w:space="0" w:color="BFBFBF" w:themeColor="background1" w:themeShade="BF"/>
            </w:tcBorders>
            <w:shd w:val="clear" w:color="000000" w:fill="FFFFFF"/>
            <w:vAlign w:val="center"/>
            <w:hideMark/>
          </w:tcPr>
          <w:p w14:paraId="38942E6A"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Samplers consistently overdeployed (e.g. Jun-Sep 2015). Wet season sampler overdeployed (Nov to Feb), biofouled and not useable. Mar/Apr 2016 sets unused</w:t>
            </w:r>
          </w:p>
        </w:tc>
      </w:tr>
      <w:tr w:rsidR="0021135E" w:rsidRPr="0021135E" w14:paraId="495D9EF3" w14:textId="77777777" w:rsidTr="00A3394C">
        <w:trPr>
          <w:trHeight w:val="1013"/>
        </w:trPr>
        <w:tc>
          <w:tcPr>
            <w:tcW w:w="1442" w:type="dxa"/>
            <w:tcBorders>
              <w:top w:val="single" w:sz="4" w:space="0" w:color="BFBFBF" w:themeColor="background1" w:themeShade="BF"/>
              <w:bottom w:val="single" w:sz="4" w:space="0" w:color="auto"/>
            </w:tcBorders>
            <w:shd w:val="clear" w:color="000000" w:fill="FFFFFF"/>
            <w:noWrap/>
            <w:vAlign w:val="center"/>
            <w:hideMark/>
          </w:tcPr>
          <w:p w14:paraId="5A22D023" w14:textId="77777777" w:rsidR="0021135E" w:rsidRPr="0021135E" w:rsidRDefault="0021135E" w:rsidP="00A3394C">
            <w:pPr>
              <w:jc w:val="center"/>
              <w:rPr>
                <w:rFonts w:eastAsia="Times New Roman" w:cs="Arial"/>
                <w:b/>
                <w:bCs/>
                <w:color w:val="000000"/>
                <w:sz w:val="20"/>
                <w:szCs w:val="20"/>
                <w:lang w:val="en-AU" w:eastAsia="en-AU" w:bidi="ar-SA"/>
              </w:rPr>
            </w:pPr>
            <w:r w:rsidRPr="0021135E">
              <w:rPr>
                <w:rFonts w:eastAsia="Times New Roman" w:cs="Arial"/>
                <w:b/>
                <w:bCs/>
                <w:color w:val="000000"/>
                <w:sz w:val="20"/>
                <w:szCs w:val="20"/>
                <w:lang w:val="en-AU" w:eastAsia="en-AU" w:bidi="ar-SA"/>
              </w:rPr>
              <w:t>Fitzroy</w:t>
            </w:r>
          </w:p>
        </w:tc>
        <w:tc>
          <w:tcPr>
            <w:tcW w:w="1559" w:type="dxa"/>
            <w:tcBorders>
              <w:top w:val="single" w:sz="4" w:space="0" w:color="BFBFBF" w:themeColor="background1" w:themeShade="BF"/>
              <w:bottom w:val="single" w:sz="4" w:space="0" w:color="auto"/>
            </w:tcBorders>
            <w:shd w:val="clear" w:color="000000" w:fill="FFFFFF"/>
            <w:vAlign w:val="center"/>
            <w:hideMark/>
          </w:tcPr>
          <w:p w14:paraId="0497A93B"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North Keppel Island</w:t>
            </w:r>
          </w:p>
        </w:tc>
        <w:tc>
          <w:tcPr>
            <w:tcW w:w="1134" w:type="dxa"/>
            <w:tcBorders>
              <w:top w:val="single" w:sz="4" w:space="0" w:color="BFBFBF" w:themeColor="background1" w:themeShade="BF"/>
              <w:bottom w:val="single" w:sz="4" w:space="0" w:color="auto"/>
            </w:tcBorders>
            <w:shd w:val="clear" w:color="000000" w:fill="FFFFFF"/>
            <w:noWrap/>
            <w:vAlign w:val="center"/>
            <w:hideMark/>
          </w:tcPr>
          <w:p w14:paraId="49440018"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9</w:t>
            </w:r>
          </w:p>
        </w:tc>
        <w:tc>
          <w:tcPr>
            <w:tcW w:w="1134" w:type="dxa"/>
            <w:tcBorders>
              <w:top w:val="single" w:sz="4" w:space="0" w:color="BFBFBF" w:themeColor="background1" w:themeShade="BF"/>
              <w:bottom w:val="single" w:sz="4" w:space="0" w:color="auto"/>
            </w:tcBorders>
            <w:shd w:val="clear" w:color="000000" w:fill="FFFFFF"/>
            <w:noWrap/>
            <w:vAlign w:val="center"/>
            <w:hideMark/>
          </w:tcPr>
          <w:p w14:paraId="50C47362" w14:textId="77777777" w:rsidR="0021135E" w:rsidRPr="0021135E" w:rsidRDefault="0021135E" w:rsidP="00A3394C">
            <w:pPr>
              <w:jc w:val="center"/>
              <w:rPr>
                <w:rFonts w:eastAsia="Times New Roman" w:cs="Arial"/>
                <w:color w:val="000000"/>
                <w:sz w:val="20"/>
                <w:szCs w:val="20"/>
                <w:lang w:val="en-AU" w:eastAsia="en-AU" w:bidi="ar-SA"/>
              </w:rPr>
            </w:pPr>
            <w:r w:rsidRPr="0021135E">
              <w:rPr>
                <w:rFonts w:eastAsia="Times New Roman" w:cs="Arial"/>
                <w:color w:val="000000"/>
                <w:sz w:val="20"/>
                <w:szCs w:val="20"/>
                <w:lang w:val="en-AU" w:eastAsia="en-AU" w:bidi="ar-SA"/>
              </w:rPr>
              <w:t>9</w:t>
            </w:r>
          </w:p>
        </w:tc>
        <w:tc>
          <w:tcPr>
            <w:tcW w:w="5245" w:type="dxa"/>
            <w:tcBorders>
              <w:top w:val="single" w:sz="4" w:space="0" w:color="BFBFBF" w:themeColor="background1" w:themeShade="BF"/>
              <w:bottom w:val="single" w:sz="4" w:space="0" w:color="auto"/>
            </w:tcBorders>
            <w:shd w:val="clear" w:color="000000" w:fill="FFFFFF"/>
            <w:vAlign w:val="center"/>
            <w:hideMark/>
          </w:tcPr>
          <w:p w14:paraId="1B8B4833" w14:textId="77777777" w:rsidR="0021135E" w:rsidRPr="0021135E" w:rsidRDefault="0021135E" w:rsidP="00A3394C">
            <w:pPr>
              <w:jc w:val="left"/>
              <w:rPr>
                <w:rFonts w:eastAsia="Times New Roman" w:cs="Arial"/>
                <w:sz w:val="20"/>
                <w:szCs w:val="20"/>
                <w:lang w:val="en-AU" w:eastAsia="en-AU" w:bidi="ar-SA"/>
              </w:rPr>
            </w:pPr>
            <w:r w:rsidRPr="0021135E">
              <w:rPr>
                <w:rFonts w:eastAsia="Times New Roman" w:cs="Arial"/>
                <w:sz w:val="20"/>
                <w:szCs w:val="20"/>
                <w:lang w:val="en-AU" w:eastAsia="en-AU" w:bidi="ar-SA"/>
              </w:rPr>
              <w:t>Continuous sampling throughout the year, all samplers returned; Apr 2016 sampler overdeployed (Apr-Jun 2016). 1 PFM lost (Dec 2015)</w:t>
            </w:r>
          </w:p>
        </w:tc>
      </w:tr>
    </w:tbl>
    <w:p w14:paraId="27A7A2A0" w14:textId="77777777" w:rsidR="0021135E" w:rsidRPr="003177C7" w:rsidRDefault="0021135E" w:rsidP="0021135E">
      <w:pPr>
        <w:rPr>
          <w:sz w:val="12"/>
        </w:rPr>
      </w:pPr>
    </w:p>
    <w:tbl>
      <w:tblPr>
        <w:tblW w:w="10514" w:type="dxa"/>
        <w:tblInd w:w="118" w:type="dxa"/>
        <w:tblBorders>
          <w:top w:val="single" w:sz="4" w:space="0" w:color="auto"/>
          <w:bottom w:val="single" w:sz="4" w:space="0" w:color="auto"/>
        </w:tblBorders>
        <w:tblLook w:val="04A0" w:firstRow="1" w:lastRow="0" w:firstColumn="1" w:lastColumn="0" w:noHBand="0" w:noVBand="1"/>
      </w:tblPr>
      <w:tblGrid>
        <w:gridCol w:w="1442"/>
        <w:gridCol w:w="1559"/>
        <w:gridCol w:w="1134"/>
        <w:gridCol w:w="1134"/>
        <w:gridCol w:w="5245"/>
      </w:tblGrid>
      <w:tr w:rsidR="0021135E" w:rsidRPr="006232C0" w14:paraId="7AE8D599" w14:textId="77777777" w:rsidTr="00A3394C">
        <w:trPr>
          <w:trHeight w:val="672"/>
        </w:trPr>
        <w:tc>
          <w:tcPr>
            <w:tcW w:w="1442" w:type="dxa"/>
            <w:shd w:val="clear" w:color="auto" w:fill="F2F2F2" w:themeFill="background1" w:themeFillShade="F2"/>
            <w:vAlign w:val="center"/>
            <w:hideMark/>
          </w:tcPr>
          <w:p w14:paraId="65169F80" w14:textId="77777777" w:rsidR="0021135E" w:rsidRPr="006232C0" w:rsidRDefault="0021135E" w:rsidP="0021135E">
            <w:pPr>
              <w:jc w:val="center"/>
              <w:rPr>
                <w:rFonts w:asciiTheme="minorHAnsi" w:eastAsia="Times New Roman" w:hAnsiTheme="minorHAnsi" w:cstheme="minorHAnsi"/>
                <w:b/>
                <w:bCs/>
                <w:color w:val="000000"/>
                <w:szCs w:val="20"/>
                <w:lang w:val="en-AU" w:eastAsia="en-AU" w:bidi="ar-SA"/>
              </w:rPr>
            </w:pPr>
            <w:r w:rsidRPr="006232C0">
              <w:rPr>
                <w:rFonts w:asciiTheme="minorHAnsi" w:eastAsia="Times New Roman" w:hAnsiTheme="minorHAnsi" w:cstheme="minorHAnsi"/>
                <w:b/>
                <w:bCs/>
                <w:color w:val="000000"/>
                <w:szCs w:val="20"/>
                <w:lang w:val="en-AU" w:eastAsia="en-AU" w:bidi="ar-SA"/>
              </w:rPr>
              <w:t xml:space="preserve">TOTAL </w:t>
            </w:r>
            <w:r w:rsidRPr="006232C0">
              <w:rPr>
                <w:rFonts w:asciiTheme="minorHAnsi" w:eastAsia="Times New Roman" w:hAnsiTheme="minorHAnsi" w:cstheme="minorHAnsi"/>
                <w:b/>
                <w:bCs/>
                <w:color w:val="000000"/>
                <w:szCs w:val="20"/>
                <w:lang w:val="en-AU" w:eastAsia="en-AU" w:bidi="ar-SA"/>
              </w:rPr>
              <w:br/>
              <w:t>2015-16</w:t>
            </w:r>
          </w:p>
        </w:tc>
        <w:tc>
          <w:tcPr>
            <w:tcW w:w="1559" w:type="dxa"/>
            <w:shd w:val="clear" w:color="auto" w:fill="F2F2F2" w:themeFill="background1" w:themeFillShade="F2"/>
            <w:vAlign w:val="center"/>
            <w:hideMark/>
          </w:tcPr>
          <w:p w14:paraId="2FF1E75D" w14:textId="77777777" w:rsidR="0021135E" w:rsidRPr="006232C0" w:rsidRDefault="0021135E" w:rsidP="0021135E">
            <w:pPr>
              <w:jc w:val="center"/>
              <w:rPr>
                <w:rFonts w:asciiTheme="minorHAnsi" w:eastAsia="Times New Roman" w:hAnsiTheme="minorHAnsi" w:cstheme="minorHAnsi"/>
                <w:b/>
                <w:bCs/>
                <w:color w:val="000000"/>
                <w:szCs w:val="20"/>
                <w:lang w:val="en-AU" w:eastAsia="en-AU" w:bidi="ar-SA"/>
              </w:rPr>
            </w:pPr>
            <w:r w:rsidRPr="006232C0">
              <w:rPr>
                <w:rFonts w:asciiTheme="minorHAnsi" w:eastAsia="Times New Roman" w:hAnsiTheme="minorHAnsi" w:cstheme="minorHAnsi"/>
                <w:b/>
                <w:bCs/>
                <w:color w:val="000000"/>
                <w:szCs w:val="20"/>
                <w:lang w:val="en-AU" w:eastAsia="en-AU" w:bidi="ar-SA"/>
              </w:rPr>
              <w:t>11 sites</w:t>
            </w:r>
          </w:p>
        </w:tc>
        <w:tc>
          <w:tcPr>
            <w:tcW w:w="1134" w:type="dxa"/>
            <w:shd w:val="clear" w:color="auto" w:fill="F2F2F2" w:themeFill="background1" w:themeFillShade="F2"/>
            <w:noWrap/>
            <w:vAlign w:val="center"/>
            <w:hideMark/>
          </w:tcPr>
          <w:p w14:paraId="6E45A9E8" w14:textId="77777777" w:rsidR="0021135E" w:rsidRPr="006232C0" w:rsidRDefault="0021135E" w:rsidP="0021135E">
            <w:pPr>
              <w:jc w:val="center"/>
              <w:rPr>
                <w:rFonts w:asciiTheme="minorHAnsi" w:eastAsia="Times New Roman" w:hAnsiTheme="minorHAnsi" w:cstheme="minorHAnsi"/>
                <w:b/>
                <w:bCs/>
                <w:color w:val="000000"/>
                <w:szCs w:val="20"/>
                <w:lang w:val="en-AU" w:eastAsia="en-AU" w:bidi="ar-SA"/>
              </w:rPr>
            </w:pPr>
            <w:r w:rsidRPr="006232C0">
              <w:rPr>
                <w:rFonts w:asciiTheme="minorHAnsi" w:eastAsia="Times New Roman" w:hAnsiTheme="minorHAnsi" w:cstheme="minorHAnsi"/>
                <w:b/>
                <w:bCs/>
                <w:color w:val="000000"/>
                <w:szCs w:val="20"/>
                <w:lang w:val="en-AU" w:eastAsia="en-AU" w:bidi="ar-SA"/>
              </w:rPr>
              <w:t>9</w:t>
            </w:r>
            <w:r>
              <w:rPr>
                <w:rFonts w:asciiTheme="minorHAnsi" w:eastAsia="Times New Roman" w:hAnsiTheme="minorHAnsi" w:cstheme="minorHAnsi"/>
                <w:b/>
                <w:bCs/>
                <w:color w:val="000000"/>
                <w:szCs w:val="20"/>
                <w:lang w:val="en-AU" w:eastAsia="en-AU" w:bidi="ar-SA"/>
              </w:rPr>
              <w:t>3</w:t>
            </w:r>
          </w:p>
        </w:tc>
        <w:tc>
          <w:tcPr>
            <w:tcW w:w="1134" w:type="dxa"/>
            <w:shd w:val="clear" w:color="auto" w:fill="F2F2F2" w:themeFill="background1" w:themeFillShade="F2"/>
            <w:noWrap/>
            <w:vAlign w:val="center"/>
            <w:hideMark/>
          </w:tcPr>
          <w:p w14:paraId="0194224B" w14:textId="77777777" w:rsidR="0021135E" w:rsidRPr="006232C0" w:rsidRDefault="0021135E" w:rsidP="0021135E">
            <w:pPr>
              <w:jc w:val="center"/>
              <w:rPr>
                <w:rFonts w:asciiTheme="minorHAnsi" w:eastAsia="Times New Roman" w:hAnsiTheme="minorHAnsi" w:cstheme="minorHAnsi"/>
                <w:b/>
                <w:bCs/>
                <w:color w:val="000000"/>
                <w:szCs w:val="20"/>
                <w:lang w:val="en-AU" w:eastAsia="en-AU" w:bidi="ar-SA"/>
              </w:rPr>
            </w:pPr>
            <w:r w:rsidRPr="006232C0">
              <w:rPr>
                <w:rFonts w:asciiTheme="minorHAnsi" w:eastAsia="Times New Roman" w:hAnsiTheme="minorHAnsi" w:cstheme="minorHAnsi"/>
                <w:b/>
                <w:bCs/>
                <w:color w:val="000000"/>
                <w:szCs w:val="20"/>
                <w:lang w:val="en-AU" w:eastAsia="en-AU" w:bidi="ar-SA"/>
              </w:rPr>
              <w:t>6</w:t>
            </w:r>
            <w:r>
              <w:rPr>
                <w:rFonts w:asciiTheme="minorHAnsi" w:eastAsia="Times New Roman" w:hAnsiTheme="minorHAnsi" w:cstheme="minorHAnsi"/>
                <w:b/>
                <w:bCs/>
                <w:color w:val="000000"/>
                <w:szCs w:val="20"/>
                <w:lang w:val="en-AU" w:eastAsia="en-AU" w:bidi="ar-SA"/>
              </w:rPr>
              <w:t>8 (13)</w:t>
            </w:r>
          </w:p>
        </w:tc>
        <w:tc>
          <w:tcPr>
            <w:tcW w:w="5245" w:type="dxa"/>
            <w:shd w:val="clear" w:color="auto" w:fill="F2F2F2" w:themeFill="background1" w:themeFillShade="F2"/>
            <w:vAlign w:val="center"/>
            <w:hideMark/>
          </w:tcPr>
          <w:p w14:paraId="2AF45836" w14:textId="77777777" w:rsidR="0021135E" w:rsidRPr="006232C0" w:rsidRDefault="0021135E" w:rsidP="0021135E">
            <w:pPr>
              <w:jc w:val="left"/>
              <w:rPr>
                <w:rFonts w:asciiTheme="minorHAnsi" w:eastAsia="Times New Roman" w:hAnsiTheme="minorHAnsi" w:cstheme="minorHAnsi"/>
                <w:b/>
                <w:szCs w:val="20"/>
                <w:lang w:val="en-AU" w:eastAsia="en-AU" w:bidi="ar-SA"/>
              </w:rPr>
            </w:pPr>
            <w:r w:rsidRPr="006232C0">
              <w:rPr>
                <w:rFonts w:asciiTheme="minorHAnsi" w:eastAsia="Times New Roman" w:hAnsiTheme="minorHAnsi" w:cstheme="minorHAnsi"/>
                <w:b/>
                <w:szCs w:val="20"/>
                <w:lang w:val="en-AU" w:eastAsia="en-AU" w:bidi="ar-SA"/>
              </w:rPr>
              <w:t>7</w:t>
            </w:r>
            <w:r>
              <w:rPr>
                <w:rFonts w:asciiTheme="minorHAnsi" w:eastAsia="Times New Roman" w:hAnsiTheme="minorHAnsi" w:cstheme="minorHAnsi"/>
                <w:b/>
                <w:szCs w:val="20"/>
                <w:lang w:val="en-AU" w:eastAsia="en-AU" w:bidi="ar-SA"/>
              </w:rPr>
              <w:t>3</w:t>
            </w:r>
            <w:r w:rsidRPr="006232C0">
              <w:rPr>
                <w:rFonts w:asciiTheme="minorHAnsi" w:eastAsia="Times New Roman" w:hAnsiTheme="minorHAnsi" w:cstheme="minorHAnsi"/>
                <w:b/>
                <w:szCs w:val="20"/>
                <w:lang w:val="en-AU" w:eastAsia="en-AU" w:bidi="ar-SA"/>
              </w:rPr>
              <w:t>% return rate</w:t>
            </w:r>
          </w:p>
        </w:tc>
      </w:tr>
    </w:tbl>
    <w:p w14:paraId="51574CF3" w14:textId="77777777" w:rsidR="0021135E" w:rsidRPr="006232C0" w:rsidRDefault="0021135E" w:rsidP="0021135E">
      <w:pPr>
        <w:rPr>
          <w:b/>
          <w:sz w:val="12"/>
        </w:rPr>
      </w:pPr>
    </w:p>
    <w:tbl>
      <w:tblPr>
        <w:tblW w:w="10514" w:type="dxa"/>
        <w:tblInd w:w="118" w:type="dxa"/>
        <w:tblBorders>
          <w:top w:val="single" w:sz="4" w:space="0" w:color="auto"/>
          <w:bottom w:val="single" w:sz="4" w:space="0" w:color="auto"/>
        </w:tblBorders>
        <w:tblLook w:val="04A0" w:firstRow="1" w:lastRow="0" w:firstColumn="1" w:lastColumn="0" w:noHBand="0" w:noVBand="1"/>
      </w:tblPr>
      <w:tblGrid>
        <w:gridCol w:w="1442"/>
        <w:gridCol w:w="1559"/>
        <w:gridCol w:w="1134"/>
        <w:gridCol w:w="1134"/>
        <w:gridCol w:w="5245"/>
      </w:tblGrid>
      <w:tr w:rsidR="0021135E" w:rsidRPr="006232C0" w14:paraId="4CE70A73" w14:textId="77777777" w:rsidTr="00A3394C">
        <w:trPr>
          <w:trHeight w:val="647"/>
        </w:trPr>
        <w:tc>
          <w:tcPr>
            <w:tcW w:w="1442" w:type="dxa"/>
            <w:shd w:val="clear" w:color="000000" w:fill="F2F2F2"/>
            <w:vAlign w:val="center"/>
            <w:hideMark/>
          </w:tcPr>
          <w:p w14:paraId="1D2FD9FA" w14:textId="77777777" w:rsidR="0021135E" w:rsidRPr="006232C0" w:rsidRDefault="0021135E" w:rsidP="0021135E">
            <w:pPr>
              <w:jc w:val="center"/>
              <w:rPr>
                <w:rFonts w:asciiTheme="minorHAnsi" w:eastAsia="Times New Roman" w:hAnsiTheme="minorHAnsi" w:cstheme="minorHAnsi"/>
                <w:b/>
                <w:bCs/>
                <w:color w:val="000000"/>
                <w:szCs w:val="20"/>
                <w:lang w:val="en-AU" w:eastAsia="en-AU" w:bidi="ar-SA"/>
              </w:rPr>
            </w:pPr>
            <w:r w:rsidRPr="006232C0">
              <w:rPr>
                <w:rFonts w:asciiTheme="minorHAnsi" w:eastAsia="Times New Roman" w:hAnsiTheme="minorHAnsi" w:cstheme="minorHAnsi"/>
                <w:b/>
                <w:bCs/>
                <w:color w:val="000000"/>
                <w:szCs w:val="20"/>
                <w:lang w:val="en-AU" w:eastAsia="en-AU" w:bidi="ar-SA"/>
              </w:rPr>
              <w:t xml:space="preserve">TOTAL </w:t>
            </w:r>
            <w:r w:rsidRPr="006232C0">
              <w:rPr>
                <w:rFonts w:asciiTheme="minorHAnsi" w:eastAsia="Times New Roman" w:hAnsiTheme="minorHAnsi" w:cstheme="minorHAnsi"/>
                <w:b/>
                <w:bCs/>
                <w:color w:val="000000"/>
                <w:szCs w:val="20"/>
                <w:lang w:val="en-AU" w:eastAsia="en-AU" w:bidi="ar-SA"/>
              </w:rPr>
              <w:br/>
              <w:t>2014-15</w:t>
            </w:r>
          </w:p>
        </w:tc>
        <w:tc>
          <w:tcPr>
            <w:tcW w:w="1559" w:type="dxa"/>
            <w:shd w:val="clear" w:color="000000" w:fill="F2F2F2"/>
            <w:vAlign w:val="center"/>
            <w:hideMark/>
          </w:tcPr>
          <w:p w14:paraId="4FC9FB2D" w14:textId="77777777" w:rsidR="0021135E" w:rsidRPr="006232C0" w:rsidRDefault="0021135E" w:rsidP="0021135E">
            <w:pPr>
              <w:jc w:val="center"/>
              <w:rPr>
                <w:rFonts w:asciiTheme="minorHAnsi" w:eastAsia="Times New Roman" w:hAnsiTheme="minorHAnsi" w:cstheme="minorHAnsi"/>
                <w:b/>
                <w:bCs/>
                <w:color w:val="000000"/>
                <w:szCs w:val="20"/>
                <w:lang w:val="en-AU" w:eastAsia="en-AU" w:bidi="ar-SA"/>
              </w:rPr>
            </w:pPr>
            <w:r w:rsidRPr="006232C0">
              <w:rPr>
                <w:rFonts w:asciiTheme="minorHAnsi" w:eastAsia="Times New Roman" w:hAnsiTheme="minorHAnsi" w:cstheme="minorHAnsi"/>
                <w:b/>
                <w:bCs/>
                <w:color w:val="000000"/>
                <w:szCs w:val="20"/>
                <w:lang w:val="en-AU" w:eastAsia="en-AU" w:bidi="ar-SA"/>
              </w:rPr>
              <w:t>18 sites</w:t>
            </w:r>
          </w:p>
        </w:tc>
        <w:tc>
          <w:tcPr>
            <w:tcW w:w="1134" w:type="dxa"/>
            <w:shd w:val="clear" w:color="000000" w:fill="F2F2F2"/>
            <w:noWrap/>
            <w:vAlign w:val="center"/>
            <w:hideMark/>
          </w:tcPr>
          <w:p w14:paraId="12B5BF66" w14:textId="77777777" w:rsidR="0021135E" w:rsidRPr="006232C0" w:rsidRDefault="0021135E" w:rsidP="0021135E">
            <w:pPr>
              <w:jc w:val="center"/>
              <w:rPr>
                <w:rFonts w:asciiTheme="minorHAnsi" w:eastAsia="Times New Roman" w:hAnsiTheme="minorHAnsi" w:cstheme="minorHAnsi"/>
                <w:b/>
                <w:bCs/>
                <w:color w:val="000000"/>
                <w:szCs w:val="20"/>
                <w:lang w:val="en-AU" w:eastAsia="en-AU" w:bidi="ar-SA"/>
              </w:rPr>
            </w:pPr>
            <w:r w:rsidRPr="006232C0">
              <w:rPr>
                <w:rFonts w:asciiTheme="minorHAnsi" w:eastAsia="Times New Roman" w:hAnsiTheme="minorHAnsi" w:cstheme="minorHAnsi"/>
                <w:b/>
                <w:bCs/>
                <w:color w:val="000000"/>
                <w:szCs w:val="20"/>
                <w:lang w:val="en-AU" w:eastAsia="en-AU" w:bidi="ar-SA"/>
              </w:rPr>
              <w:t>114</w:t>
            </w:r>
          </w:p>
        </w:tc>
        <w:tc>
          <w:tcPr>
            <w:tcW w:w="1134" w:type="dxa"/>
            <w:shd w:val="clear" w:color="000000" w:fill="F2F2F2"/>
            <w:noWrap/>
            <w:vAlign w:val="center"/>
            <w:hideMark/>
          </w:tcPr>
          <w:p w14:paraId="617C5B8F" w14:textId="77777777" w:rsidR="0021135E" w:rsidRPr="006232C0" w:rsidRDefault="0021135E" w:rsidP="0021135E">
            <w:pPr>
              <w:jc w:val="center"/>
              <w:rPr>
                <w:rFonts w:asciiTheme="minorHAnsi" w:eastAsia="Times New Roman" w:hAnsiTheme="minorHAnsi" w:cstheme="minorHAnsi"/>
                <w:b/>
                <w:bCs/>
                <w:color w:val="000000"/>
                <w:szCs w:val="20"/>
                <w:lang w:val="en-AU" w:eastAsia="en-AU" w:bidi="ar-SA"/>
              </w:rPr>
            </w:pPr>
            <w:r w:rsidRPr="006232C0">
              <w:rPr>
                <w:rFonts w:asciiTheme="minorHAnsi" w:eastAsia="Times New Roman" w:hAnsiTheme="minorHAnsi" w:cstheme="minorHAnsi"/>
                <w:b/>
                <w:bCs/>
                <w:color w:val="000000"/>
                <w:szCs w:val="20"/>
                <w:lang w:val="en-AU" w:eastAsia="en-AU" w:bidi="ar-SA"/>
              </w:rPr>
              <w:t>95</w:t>
            </w:r>
          </w:p>
        </w:tc>
        <w:tc>
          <w:tcPr>
            <w:tcW w:w="5245" w:type="dxa"/>
            <w:shd w:val="clear" w:color="000000" w:fill="F2F2F2"/>
            <w:vAlign w:val="center"/>
            <w:hideMark/>
          </w:tcPr>
          <w:p w14:paraId="7AD15CEE" w14:textId="77777777" w:rsidR="0021135E" w:rsidRPr="006232C0" w:rsidRDefault="0021135E" w:rsidP="0021135E">
            <w:pPr>
              <w:jc w:val="left"/>
              <w:rPr>
                <w:rFonts w:asciiTheme="minorHAnsi" w:eastAsia="Times New Roman" w:hAnsiTheme="minorHAnsi" w:cstheme="minorHAnsi"/>
                <w:b/>
                <w:szCs w:val="20"/>
                <w:lang w:val="en-AU" w:eastAsia="en-AU" w:bidi="ar-SA"/>
              </w:rPr>
            </w:pPr>
            <w:r w:rsidRPr="006232C0">
              <w:rPr>
                <w:rFonts w:asciiTheme="minorHAnsi" w:eastAsia="Times New Roman" w:hAnsiTheme="minorHAnsi" w:cstheme="minorHAnsi"/>
                <w:b/>
                <w:szCs w:val="20"/>
                <w:lang w:val="en-AU" w:eastAsia="en-AU" w:bidi="ar-SA"/>
              </w:rPr>
              <w:t>83% return rate</w:t>
            </w:r>
          </w:p>
        </w:tc>
      </w:tr>
    </w:tbl>
    <w:p w14:paraId="5688BE82" w14:textId="77777777" w:rsidR="0021135E" w:rsidRDefault="0021135E" w:rsidP="0021135E">
      <w:pPr>
        <w:spacing w:line="276" w:lineRule="auto"/>
        <w:rPr>
          <w:lang w:val="en-AU" w:eastAsia="en-AU"/>
        </w:rPr>
      </w:pPr>
    </w:p>
    <w:p w14:paraId="19059628" w14:textId="77777777" w:rsidR="0021135E" w:rsidRDefault="0021135E">
      <w:pPr>
        <w:ind w:firstLine="357"/>
        <w:jc w:val="left"/>
        <w:sectPr w:rsidR="0021135E" w:rsidSect="00515CEF">
          <w:pgSz w:w="11906" w:h="16838" w:code="9"/>
          <w:pgMar w:top="720" w:right="720" w:bottom="720" w:left="567" w:header="709" w:footer="709" w:gutter="0"/>
          <w:cols w:space="708"/>
          <w:docGrid w:linePitch="360"/>
        </w:sectPr>
      </w:pPr>
    </w:p>
    <w:p w14:paraId="1864770C" w14:textId="77777777" w:rsidR="00CE1BA0" w:rsidRPr="00CE1BA0" w:rsidRDefault="00CE1BA0" w:rsidP="007E0DC5">
      <w:bookmarkStart w:id="807" w:name="_Toc502499818"/>
    </w:p>
    <w:p w14:paraId="157219D6" w14:textId="1D1EB638" w:rsidR="00BC136A" w:rsidRPr="00840E64" w:rsidRDefault="002A20D5" w:rsidP="002A20D5">
      <w:pPr>
        <w:pStyle w:val="Caption"/>
        <w:spacing w:after="120"/>
        <w:rPr>
          <w:b w:val="0"/>
        </w:rPr>
      </w:pPr>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2</w:t>
      </w:r>
      <w:r w:rsidR="00C91BF5">
        <w:fldChar w:fldCharType="end"/>
      </w:r>
      <w:bookmarkEnd w:id="805"/>
      <w:r w:rsidR="00840E64">
        <w:rPr>
          <w:b w:val="0"/>
        </w:rPr>
        <w:t>:</w:t>
      </w:r>
      <w:r w:rsidR="00BC136A" w:rsidRPr="00840E64">
        <w:rPr>
          <w:b w:val="0"/>
        </w:rPr>
        <w:t xml:space="preserve"> Low Isles, Wet Tropics region – </w:t>
      </w:r>
      <w:r>
        <w:rPr>
          <w:b w:val="0"/>
        </w:rPr>
        <w:t>Time integrated estimated c</w:t>
      </w:r>
      <w:r w:rsidR="00BC136A" w:rsidRPr="00840E64">
        <w:rPr>
          <w:b w:val="0"/>
        </w:rPr>
        <w:t>oncentration</w:t>
      </w:r>
      <w:r>
        <w:rPr>
          <w:b w:val="0"/>
        </w:rPr>
        <w:t>s</w:t>
      </w:r>
      <w:r w:rsidR="00BC136A" w:rsidRPr="00840E64">
        <w:rPr>
          <w:b w:val="0"/>
        </w:rPr>
        <w:t xml:space="preserve"> in water (ng L</w:t>
      </w:r>
      <w:r w:rsidR="00BC136A" w:rsidRPr="002A20D5">
        <w:rPr>
          <w:b w:val="0"/>
          <w:vertAlign w:val="superscript"/>
        </w:rPr>
        <w:t>-1</w:t>
      </w:r>
      <w:r w:rsidR="00BC136A" w:rsidRPr="00840E64">
        <w:rPr>
          <w:b w:val="0"/>
        </w:rPr>
        <w:t>)</w:t>
      </w:r>
      <w:bookmarkEnd w:id="807"/>
    </w:p>
    <w:p w14:paraId="157219D7" w14:textId="535C1091" w:rsidR="0059608E" w:rsidRPr="002A20D5" w:rsidRDefault="00B72232" w:rsidP="00015606">
      <w:pPr>
        <w:spacing w:line="276" w:lineRule="auto"/>
        <w:rPr>
          <w:lang w:val="en-AU" w:eastAsia="en-AU"/>
        </w:rPr>
      </w:pPr>
      <w:r w:rsidRPr="00B72232">
        <w:rPr>
          <w:noProof/>
          <w:lang w:val="en-AU" w:eastAsia="en-AU" w:bidi="ar-SA"/>
        </w:rPr>
        <w:drawing>
          <wp:inline distT="0" distB="0" distL="0" distR="0" wp14:anchorId="0718D7C3" wp14:editId="236F8E02">
            <wp:extent cx="9720000" cy="4403534"/>
            <wp:effectExtent l="0" t="0" r="0" b="0"/>
            <wp:docPr id="62" name="Picture 62" descr="Table F 2: Low Isles, Wet Tropics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9720000" cy="4403534"/>
                    </a:xfrm>
                    <a:prstGeom prst="rect">
                      <a:avLst/>
                    </a:prstGeom>
                    <a:noFill/>
                    <a:ln>
                      <a:noFill/>
                    </a:ln>
                  </pic:spPr>
                </pic:pic>
              </a:graphicData>
            </a:graphic>
          </wp:inline>
        </w:drawing>
      </w:r>
    </w:p>
    <w:p w14:paraId="157219D8" w14:textId="77777777" w:rsidR="0059608E" w:rsidRPr="004351DE" w:rsidRDefault="0059608E" w:rsidP="00015606">
      <w:pPr>
        <w:spacing w:line="276" w:lineRule="auto"/>
        <w:rPr>
          <w:i/>
          <w:sz w:val="18"/>
          <w:szCs w:val="18"/>
          <w:lang w:val="en-AU" w:eastAsia="en-AU"/>
        </w:rPr>
      </w:pPr>
    </w:p>
    <w:p w14:paraId="157219D9" w14:textId="77777777" w:rsidR="002A20D5" w:rsidRDefault="002A20D5">
      <w:pPr>
        <w:ind w:firstLine="357"/>
        <w:jc w:val="left"/>
        <w:rPr>
          <w:sz w:val="18"/>
          <w:szCs w:val="18"/>
          <w:lang w:val="en-AU" w:eastAsia="en-AU"/>
        </w:rPr>
      </w:pPr>
      <w:r>
        <w:rPr>
          <w:sz w:val="18"/>
          <w:szCs w:val="18"/>
          <w:lang w:val="en-AU" w:eastAsia="en-AU"/>
        </w:rPr>
        <w:br w:type="page"/>
      </w:r>
    </w:p>
    <w:p w14:paraId="157219DA" w14:textId="77B879F6" w:rsidR="002A20D5" w:rsidRPr="00840E64" w:rsidRDefault="002A20D5" w:rsidP="002A20D5">
      <w:pPr>
        <w:pStyle w:val="Caption"/>
        <w:spacing w:after="120"/>
        <w:rPr>
          <w:b w:val="0"/>
        </w:rPr>
      </w:pPr>
      <w:bookmarkStart w:id="808" w:name="_Toc502499819"/>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3</w:t>
      </w:r>
      <w:r w:rsidR="00C91BF5">
        <w:fldChar w:fldCharType="end"/>
      </w:r>
      <w:r>
        <w:rPr>
          <w:b w:val="0"/>
        </w:rPr>
        <w:t>:</w:t>
      </w:r>
      <w:r w:rsidRPr="00840E64">
        <w:rPr>
          <w:b w:val="0"/>
        </w:rPr>
        <w:t xml:space="preserve"> </w:t>
      </w:r>
      <w:r w:rsidR="00292DB9">
        <w:rPr>
          <w:b w:val="0"/>
        </w:rPr>
        <w:t>High Island</w:t>
      </w:r>
      <w:r w:rsidRPr="00840E64">
        <w:rPr>
          <w:b w:val="0"/>
        </w:rPr>
        <w:t xml:space="preserve">, Wet Tropics region – </w:t>
      </w:r>
      <w:r>
        <w:rPr>
          <w:b w:val="0"/>
        </w:rPr>
        <w:t>Time integrated estimated c</w:t>
      </w:r>
      <w:r w:rsidRPr="00840E64">
        <w:rPr>
          <w:b w:val="0"/>
        </w:rPr>
        <w:t>oncentration</w:t>
      </w:r>
      <w:r>
        <w:rPr>
          <w:b w:val="0"/>
        </w:rPr>
        <w:t>s</w:t>
      </w:r>
      <w:r w:rsidRPr="00840E64">
        <w:rPr>
          <w:b w:val="0"/>
        </w:rPr>
        <w:t xml:space="preserve"> in water (ng L</w:t>
      </w:r>
      <w:r w:rsidRPr="002A20D5">
        <w:rPr>
          <w:b w:val="0"/>
          <w:vertAlign w:val="superscript"/>
        </w:rPr>
        <w:t>-1</w:t>
      </w:r>
      <w:r w:rsidRPr="00840E64">
        <w:rPr>
          <w:b w:val="0"/>
        </w:rPr>
        <w:t>)</w:t>
      </w:r>
      <w:bookmarkEnd w:id="808"/>
    </w:p>
    <w:p w14:paraId="157219DB" w14:textId="2B6F50C0" w:rsidR="002A20D5" w:rsidRDefault="00B72232" w:rsidP="002A20D5">
      <w:pPr>
        <w:spacing w:line="276" w:lineRule="auto"/>
        <w:rPr>
          <w:lang w:val="en-AU" w:eastAsia="en-AU"/>
        </w:rPr>
      </w:pPr>
      <w:r w:rsidRPr="00B72232">
        <w:rPr>
          <w:noProof/>
          <w:lang w:val="en-AU" w:eastAsia="en-AU" w:bidi="ar-SA"/>
        </w:rPr>
        <w:drawing>
          <wp:inline distT="0" distB="0" distL="0" distR="0" wp14:anchorId="6E91827E" wp14:editId="4E4FEEE8">
            <wp:extent cx="9720000" cy="4403534"/>
            <wp:effectExtent l="0" t="0" r="0" b="0"/>
            <wp:docPr id="61" name="Picture 61" descr="Table F 3: High Island, Wet Tropics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9720000" cy="4403534"/>
                    </a:xfrm>
                    <a:prstGeom prst="rect">
                      <a:avLst/>
                    </a:prstGeom>
                    <a:noFill/>
                    <a:ln>
                      <a:noFill/>
                    </a:ln>
                  </pic:spPr>
                </pic:pic>
              </a:graphicData>
            </a:graphic>
          </wp:inline>
        </w:drawing>
      </w:r>
    </w:p>
    <w:p w14:paraId="157219DC" w14:textId="77777777" w:rsidR="0059608E" w:rsidRPr="00333736" w:rsidRDefault="0059608E" w:rsidP="00015606">
      <w:pPr>
        <w:spacing w:line="276" w:lineRule="auto"/>
        <w:ind w:firstLine="357"/>
        <w:jc w:val="left"/>
        <w:rPr>
          <w:sz w:val="18"/>
          <w:szCs w:val="18"/>
          <w:lang w:val="en-AU" w:eastAsia="en-AU"/>
        </w:rPr>
      </w:pPr>
      <w:r>
        <w:rPr>
          <w:sz w:val="18"/>
          <w:szCs w:val="18"/>
          <w:lang w:val="en-AU" w:eastAsia="en-AU"/>
        </w:rPr>
        <w:br w:type="page"/>
      </w:r>
    </w:p>
    <w:p w14:paraId="157219DD" w14:textId="02838389" w:rsidR="00BC70B2" w:rsidRPr="00840E64" w:rsidRDefault="002A20D5" w:rsidP="00292DB9">
      <w:pPr>
        <w:pStyle w:val="Caption"/>
        <w:keepNext/>
        <w:spacing w:after="120" w:line="276" w:lineRule="auto"/>
        <w:rPr>
          <w:b w:val="0"/>
        </w:rPr>
      </w:pPr>
      <w:bookmarkStart w:id="809" w:name="_Toc502499820"/>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4</w:t>
      </w:r>
      <w:r w:rsidR="00C91BF5">
        <w:fldChar w:fldCharType="end"/>
      </w:r>
      <w:r w:rsidR="00840E64">
        <w:rPr>
          <w:b w:val="0"/>
        </w:rPr>
        <w:t>:</w:t>
      </w:r>
      <w:r w:rsidR="00BC70B2" w:rsidRPr="00840E64">
        <w:rPr>
          <w:b w:val="0"/>
        </w:rPr>
        <w:t xml:space="preserve"> Dunk Island, Wet Tropics region – </w:t>
      </w:r>
      <w:r w:rsidR="00292DB9">
        <w:rPr>
          <w:b w:val="0"/>
        </w:rPr>
        <w:t>Time integrated estimated c</w:t>
      </w:r>
      <w:r w:rsidR="00292DB9" w:rsidRPr="00840E64">
        <w:rPr>
          <w:b w:val="0"/>
        </w:rPr>
        <w:t>oncentration</w:t>
      </w:r>
      <w:r w:rsidR="00292DB9">
        <w:rPr>
          <w:b w:val="0"/>
        </w:rPr>
        <w:t>s</w:t>
      </w:r>
      <w:r w:rsidR="00292DB9" w:rsidRPr="00840E64">
        <w:rPr>
          <w:b w:val="0"/>
        </w:rPr>
        <w:t xml:space="preserve"> in</w:t>
      </w:r>
      <w:r w:rsidR="00BC70B2" w:rsidRPr="00840E64">
        <w:rPr>
          <w:b w:val="0"/>
        </w:rPr>
        <w:t xml:space="preserve"> water (ng L</w:t>
      </w:r>
      <w:r w:rsidR="00223AA6" w:rsidRPr="00223AA6">
        <w:rPr>
          <w:b w:val="0"/>
          <w:vertAlign w:val="superscript"/>
        </w:rPr>
        <w:t>-1</w:t>
      </w:r>
      <w:r w:rsidR="00BC70B2" w:rsidRPr="00840E64">
        <w:rPr>
          <w:b w:val="0"/>
        </w:rPr>
        <w:t>)</w:t>
      </w:r>
      <w:bookmarkEnd w:id="809"/>
    </w:p>
    <w:p w14:paraId="157219DE" w14:textId="08C61B59" w:rsidR="00A95A14" w:rsidRPr="00A95A14" w:rsidRDefault="00B72232" w:rsidP="00015606">
      <w:pPr>
        <w:spacing w:line="276" w:lineRule="auto"/>
        <w:rPr>
          <w:lang w:val="en-AU" w:eastAsia="en-AU" w:bidi="ar-SA"/>
        </w:rPr>
      </w:pPr>
      <w:r w:rsidRPr="00B72232">
        <w:rPr>
          <w:noProof/>
          <w:lang w:val="en-AU" w:eastAsia="en-AU" w:bidi="ar-SA"/>
        </w:rPr>
        <w:drawing>
          <wp:inline distT="0" distB="0" distL="0" distR="0" wp14:anchorId="0ACF46E8" wp14:editId="27A2E5D7">
            <wp:extent cx="9720000" cy="4408337"/>
            <wp:effectExtent l="0" t="0" r="0" b="0"/>
            <wp:docPr id="55" name="Picture 55" descr="Table F 4: Dunk Island, Wet Tropics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9720000" cy="4408337"/>
                    </a:xfrm>
                    <a:prstGeom prst="rect">
                      <a:avLst/>
                    </a:prstGeom>
                    <a:noFill/>
                    <a:ln>
                      <a:noFill/>
                    </a:ln>
                  </pic:spPr>
                </pic:pic>
              </a:graphicData>
            </a:graphic>
          </wp:inline>
        </w:drawing>
      </w:r>
    </w:p>
    <w:p w14:paraId="157219DF" w14:textId="77777777" w:rsidR="0059608E" w:rsidRDefault="0059608E" w:rsidP="00015606">
      <w:pPr>
        <w:pStyle w:val="Caption"/>
        <w:spacing w:line="276" w:lineRule="auto"/>
      </w:pPr>
    </w:p>
    <w:p w14:paraId="157219E0" w14:textId="77777777" w:rsidR="0059608E" w:rsidRDefault="0059608E" w:rsidP="00015606">
      <w:pPr>
        <w:pStyle w:val="Caption"/>
        <w:spacing w:line="276" w:lineRule="auto"/>
      </w:pPr>
    </w:p>
    <w:p w14:paraId="157219E1" w14:textId="77777777" w:rsidR="0059608E" w:rsidRDefault="0059608E" w:rsidP="00015606">
      <w:pPr>
        <w:pStyle w:val="Caption"/>
        <w:spacing w:line="276" w:lineRule="auto"/>
      </w:pPr>
      <w:r>
        <w:br w:type="page"/>
      </w:r>
    </w:p>
    <w:p w14:paraId="157219E2" w14:textId="2E448163" w:rsidR="00BC70B2" w:rsidRPr="00840E64" w:rsidRDefault="00292DB9" w:rsidP="00292DB9">
      <w:pPr>
        <w:pStyle w:val="Caption"/>
        <w:spacing w:after="120"/>
        <w:rPr>
          <w:b w:val="0"/>
        </w:rPr>
      </w:pPr>
      <w:bookmarkStart w:id="810" w:name="_Toc502499821"/>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5</w:t>
      </w:r>
      <w:r w:rsidR="00C91BF5">
        <w:fldChar w:fldCharType="end"/>
      </w:r>
      <w:r w:rsidR="00840E64">
        <w:rPr>
          <w:b w:val="0"/>
        </w:rPr>
        <w:t>:</w:t>
      </w:r>
      <w:r w:rsidR="00BC70B2" w:rsidRPr="00840E64">
        <w:rPr>
          <w:b w:val="0"/>
        </w:rPr>
        <w:t xml:space="preserve"> Normanby Island, Wet Tropics region – </w:t>
      </w:r>
      <w:r>
        <w:rPr>
          <w:b w:val="0"/>
        </w:rPr>
        <w:t>Time integrated estimated c</w:t>
      </w:r>
      <w:r w:rsidRPr="00840E64">
        <w:rPr>
          <w:b w:val="0"/>
        </w:rPr>
        <w:t>oncentration</w:t>
      </w:r>
      <w:r>
        <w:rPr>
          <w:b w:val="0"/>
        </w:rPr>
        <w:t>s</w:t>
      </w:r>
      <w:r w:rsidRPr="00840E64">
        <w:rPr>
          <w:b w:val="0"/>
        </w:rPr>
        <w:t xml:space="preserve"> </w:t>
      </w:r>
      <w:r w:rsidR="00BC70B2" w:rsidRPr="00840E64">
        <w:rPr>
          <w:b w:val="0"/>
        </w:rPr>
        <w:t>in water (ng L</w:t>
      </w:r>
      <w:r w:rsidR="00223AA6" w:rsidRPr="00223AA6">
        <w:rPr>
          <w:b w:val="0"/>
          <w:vertAlign w:val="superscript"/>
        </w:rPr>
        <w:t>-1</w:t>
      </w:r>
      <w:r w:rsidR="00BC70B2" w:rsidRPr="00840E64">
        <w:rPr>
          <w:b w:val="0"/>
        </w:rPr>
        <w:t>)</w:t>
      </w:r>
      <w:bookmarkEnd w:id="810"/>
    </w:p>
    <w:p w14:paraId="157219E3" w14:textId="6C5F5A9D" w:rsidR="0059608E" w:rsidRDefault="00B72232" w:rsidP="00015606">
      <w:pPr>
        <w:pStyle w:val="Caption"/>
        <w:spacing w:line="276" w:lineRule="auto"/>
      </w:pPr>
      <w:r w:rsidRPr="00B72232">
        <w:rPr>
          <w:noProof/>
          <w:lang w:val="en-AU" w:eastAsia="en-AU" w:bidi="ar-SA"/>
        </w:rPr>
        <w:drawing>
          <wp:inline distT="0" distB="0" distL="0" distR="0" wp14:anchorId="1512894C" wp14:editId="0D4D89EC">
            <wp:extent cx="9720000" cy="4311390"/>
            <wp:effectExtent l="0" t="0" r="0" b="0"/>
            <wp:docPr id="54" name="Picture 54" descr="Table F 5: Normanby Island, Wet Tropics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9720000" cy="4311390"/>
                    </a:xfrm>
                    <a:prstGeom prst="rect">
                      <a:avLst/>
                    </a:prstGeom>
                    <a:noFill/>
                    <a:ln>
                      <a:noFill/>
                    </a:ln>
                  </pic:spPr>
                </pic:pic>
              </a:graphicData>
            </a:graphic>
          </wp:inline>
        </w:drawing>
      </w:r>
    </w:p>
    <w:p w14:paraId="157219E4" w14:textId="77777777" w:rsidR="0059608E" w:rsidRDefault="0059608E" w:rsidP="00015606">
      <w:pPr>
        <w:spacing w:line="276" w:lineRule="auto"/>
        <w:ind w:firstLine="357"/>
        <w:jc w:val="left"/>
        <w:rPr>
          <w:sz w:val="18"/>
          <w:szCs w:val="18"/>
          <w:lang w:val="en-AU" w:eastAsia="en-AU"/>
        </w:rPr>
      </w:pPr>
      <w:r>
        <w:rPr>
          <w:sz w:val="18"/>
          <w:szCs w:val="18"/>
          <w:lang w:val="en-AU" w:eastAsia="en-AU"/>
        </w:rPr>
        <w:br w:type="page"/>
      </w:r>
    </w:p>
    <w:p w14:paraId="157219E5" w14:textId="1D3EC8AE" w:rsidR="00A472EE" w:rsidRPr="00840E64" w:rsidRDefault="00292DB9" w:rsidP="00292DB9">
      <w:pPr>
        <w:pStyle w:val="Caption"/>
        <w:keepNext/>
        <w:spacing w:after="120"/>
        <w:rPr>
          <w:b w:val="0"/>
        </w:rPr>
      </w:pPr>
      <w:bookmarkStart w:id="811" w:name="_Ref480740506"/>
      <w:bookmarkStart w:id="812" w:name="_Toc502499822"/>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6</w:t>
      </w:r>
      <w:r w:rsidR="00C91BF5">
        <w:fldChar w:fldCharType="end"/>
      </w:r>
      <w:bookmarkEnd w:id="811"/>
      <w:r>
        <w:t>:</w:t>
      </w:r>
      <w:r w:rsidR="00A472EE" w:rsidRPr="00840E64">
        <w:rPr>
          <w:b w:val="0"/>
        </w:rPr>
        <w:t xml:space="preserve"> Lucinda, Wet Tropics region – </w:t>
      </w:r>
      <w:r>
        <w:rPr>
          <w:b w:val="0"/>
        </w:rPr>
        <w:t>Time integrated estimated c</w:t>
      </w:r>
      <w:r w:rsidRPr="00840E64">
        <w:rPr>
          <w:b w:val="0"/>
        </w:rPr>
        <w:t>oncentration</w:t>
      </w:r>
      <w:r>
        <w:rPr>
          <w:b w:val="0"/>
        </w:rPr>
        <w:t>s</w:t>
      </w:r>
      <w:r w:rsidRPr="00840E64">
        <w:rPr>
          <w:b w:val="0"/>
        </w:rPr>
        <w:t xml:space="preserve"> </w:t>
      </w:r>
      <w:r w:rsidR="00A472EE" w:rsidRPr="00840E64">
        <w:rPr>
          <w:b w:val="0"/>
        </w:rPr>
        <w:t>in water (ng L</w:t>
      </w:r>
      <w:r w:rsidR="00223AA6" w:rsidRPr="00223AA6">
        <w:rPr>
          <w:b w:val="0"/>
          <w:vertAlign w:val="superscript"/>
        </w:rPr>
        <w:t>-1</w:t>
      </w:r>
      <w:r w:rsidR="00A472EE" w:rsidRPr="00840E64">
        <w:rPr>
          <w:b w:val="0"/>
        </w:rPr>
        <w:t>)</w:t>
      </w:r>
      <w:bookmarkEnd w:id="812"/>
    </w:p>
    <w:p w14:paraId="157219E6" w14:textId="05ED940D" w:rsidR="0059608E" w:rsidRDefault="002A1471" w:rsidP="00015606">
      <w:pPr>
        <w:pStyle w:val="Caption"/>
        <w:spacing w:line="276" w:lineRule="auto"/>
      </w:pPr>
      <w:r w:rsidRPr="002A1471">
        <w:rPr>
          <w:noProof/>
          <w:lang w:val="en-AU" w:eastAsia="en-AU" w:bidi="ar-SA"/>
        </w:rPr>
        <w:drawing>
          <wp:inline distT="0" distB="0" distL="0" distR="0" wp14:anchorId="14BD0DBA" wp14:editId="5273A71F">
            <wp:extent cx="9720000" cy="4311390"/>
            <wp:effectExtent l="0" t="0" r="0" b="0"/>
            <wp:docPr id="51" name="Picture 51" descr="Table F 6: Lucinda, Wet Tropics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9720000" cy="4311390"/>
                    </a:xfrm>
                    <a:prstGeom prst="rect">
                      <a:avLst/>
                    </a:prstGeom>
                    <a:noFill/>
                    <a:ln>
                      <a:noFill/>
                    </a:ln>
                  </pic:spPr>
                </pic:pic>
              </a:graphicData>
            </a:graphic>
          </wp:inline>
        </w:drawing>
      </w:r>
    </w:p>
    <w:p w14:paraId="157219E7" w14:textId="77777777" w:rsidR="00292DB9" w:rsidRDefault="00292DB9" w:rsidP="00015606">
      <w:pPr>
        <w:spacing w:line="276" w:lineRule="auto"/>
        <w:rPr>
          <w:sz w:val="18"/>
          <w:szCs w:val="18"/>
        </w:rPr>
      </w:pPr>
    </w:p>
    <w:p w14:paraId="157219E8" w14:textId="77777777" w:rsidR="0059608E" w:rsidRDefault="0059608E" w:rsidP="00015606">
      <w:pPr>
        <w:spacing w:line="276" w:lineRule="auto"/>
        <w:rPr>
          <w:sz w:val="18"/>
          <w:szCs w:val="18"/>
        </w:rPr>
        <w:sectPr w:rsidR="0059608E" w:rsidSect="00515CEF">
          <w:pgSz w:w="16838" w:h="11906" w:orient="landscape" w:code="9"/>
          <w:pgMar w:top="567" w:right="720" w:bottom="720" w:left="720" w:header="709" w:footer="709" w:gutter="0"/>
          <w:cols w:space="708"/>
          <w:docGrid w:linePitch="360"/>
        </w:sectPr>
      </w:pPr>
    </w:p>
    <w:p w14:paraId="157219E9" w14:textId="77777777" w:rsidR="00322C1E" w:rsidRPr="00292DB9" w:rsidRDefault="004B1E49" w:rsidP="00015606">
      <w:pPr>
        <w:keepNext/>
        <w:spacing w:line="276" w:lineRule="auto"/>
        <w:jc w:val="center"/>
        <w:rPr>
          <w:highlight w:val="yellow"/>
        </w:rPr>
      </w:pPr>
      <w:r w:rsidRPr="004B1E49">
        <w:rPr>
          <w:noProof/>
          <w:lang w:val="en-AU" w:eastAsia="en-AU" w:bidi="ar-SA"/>
        </w:rPr>
        <w:drawing>
          <wp:inline distT="0" distB="0" distL="0" distR="0" wp14:anchorId="15721A98" wp14:editId="3CE02C8C">
            <wp:extent cx="6184026" cy="8964130"/>
            <wp:effectExtent l="0" t="0" r="0" b="0"/>
            <wp:docPr id="59" name="Picture 59" descr="Figure F 1: Timing and location of grab (top) and passive (bottom) samples collected on the Russell-Mulgrave River transect, Wet Tropics, between 2013 and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t="1247" b="1624"/>
                    <a:stretch/>
                  </pic:blipFill>
                  <pic:spPr bwMode="auto">
                    <a:xfrm>
                      <a:off x="0" y="0"/>
                      <a:ext cx="6188233" cy="8970229"/>
                    </a:xfrm>
                    <a:prstGeom prst="rect">
                      <a:avLst/>
                    </a:prstGeom>
                    <a:noFill/>
                    <a:ln>
                      <a:noFill/>
                    </a:ln>
                    <a:extLst>
                      <a:ext uri="{53640926-AAD7-44D8-BBD7-CCE9431645EC}">
                        <a14:shadowObscured xmlns:a14="http://schemas.microsoft.com/office/drawing/2010/main"/>
                      </a:ext>
                    </a:extLst>
                  </pic:spPr>
                </pic:pic>
              </a:graphicData>
            </a:graphic>
          </wp:inline>
        </w:drawing>
      </w:r>
    </w:p>
    <w:p w14:paraId="157219EA" w14:textId="77777777" w:rsidR="0059608E" w:rsidRPr="00840E64" w:rsidRDefault="004B1E49" w:rsidP="004B1E49">
      <w:pPr>
        <w:pStyle w:val="Caption"/>
        <w:rPr>
          <w:b w:val="0"/>
        </w:rPr>
      </w:pPr>
      <w:bookmarkStart w:id="813" w:name="_Ref480744798"/>
      <w:bookmarkStart w:id="814" w:name="_Toc502499835"/>
      <w:r>
        <w:t xml:space="preserve">Figure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1</w:t>
      </w:r>
      <w:r w:rsidR="00C91BF5">
        <w:fldChar w:fldCharType="end"/>
      </w:r>
      <w:bookmarkEnd w:id="813"/>
      <w:r w:rsidR="00840E64" w:rsidRPr="004B1E49">
        <w:rPr>
          <w:b w:val="0"/>
        </w:rPr>
        <w:t>:</w:t>
      </w:r>
      <w:r w:rsidR="00322C1E" w:rsidRPr="004B1E49">
        <w:rPr>
          <w:b w:val="0"/>
        </w:rPr>
        <w:t xml:space="preserve"> Timing and location of grab (top) and passive (bottom) samples collected on the Russell-Mulgrave River transect, Wet Tropics, between 2013</w:t>
      </w:r>
      <w:r w:rsidR="00220439">
        <w:rPr>
          <w:b w:val="0"/>
        </w:rPr>
        <w:t xml:space="preserve"> and </w:t>
      </w:r>
      <w:r w:rsidR="00322C1E" w:rsidRPr="004B1E49">
        <w:rPr>
          <w:b w:val="0"/>
        </w:rPr>
        <w:t>201</w:t>
      </w:r>
      <w:r w:rsidR="00220439">
        <w:rPr>
          <w:b w:val="0"/>
        </w:rPr>
        <w:t>6</w:t>
      </w:r>
      <w:bookmarkEnd w:id="814"/>
    </w:p>
    <w:p w14:paraId="157219EC" w14:textId="77777777" w:rsidR="00322C1E" w:rsidRDefault="00223AA6" w:rsidP="00223AA6">
      <w:pPr>
        <w:pStyle w:val="Caption"/>
        <w:keepNext/>
        <w:spacing w:after="120" w:line="276" w:lineRule="auto"/>
        <w:jc w:val="center"/>
      </w:pPr>
      <w:r w:rsidRPr="00223AA6">
        <w:rPr>
          <w:noProof/>
          <w:lang w:val="en-AU" w:eastAsia="en-AU" w:bidi="ar-SA"/>
        </w:rPr>
        <w:drawing>
          <wp:inline distT="0" distB="0" distL="0" distR="0" wp14:anchorId="15721A9A" wp14:editId="26697DBF">
            <wp:extent cx="6048000" cy="8939812"/>
            <wp:effectExtent l="0" t="0" r="0" b="0"/>
            <wp:docPr id="60" name="Picture 60" descr="Figure F 2: Timing and location of grab (top) and passive (bottom) samples collected on the Tully River transect, Wet Tropics, between 2010 and 20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t="1598" b="959"/>
                    <a:stretch/>
                  </pic:blipFill>
                  <pic:spPr bwMode="auto">
                    <a:xfrm>
                      <a:off x="0" y="0"/>
                      <a:ext cx="6048000" cy="8939812"/>
                    </a:xfrm>
                    <a:prstGeom prst="rect">
                      <a:avLst/>
                    </a:prstGeom>
                    <a:noFill/>
                    <a:ln>
                      <a:noFill/>
                    </a:ln>
                    <a:extLst>
                      <a:ext uri="{53640926-AAD7-44D8-BBD7-CCE9431645EC}">
                        <a14:shadowObscured xmlns:a14="http://schemas.microsoft.com/office/drawing/2010/main"/>
                      </a:ext>
                    </a:extLst>
                  </pic:spPr>
                </pic:pic>
              </a:graphicData>
            </a:graphic>
          </wp:inline>
        </w:drawing>
      </w:r>
    </w:p>
    <w:p w14:paraId="157219ED" w14:textId="77777777" w:rsidR="0059608E" w:rsidRPr="00840E64" w:rsidRDefault="00223AA6" w:rsidP="00223AA6">
      <w:pPr>
        <w:pStyle w:val="Caption"/>
        <w:rPr>
          <w:b w:val="0"/>
        </w:rPr>
        <w:sectPr w:rsidR="0059608E" w:rsidRPr="00840E64" w:rsidSect="00515CEF">
          <w:pgSz w:w="11906" w:h="16838" w:code="9"/>
          <w:pgMar w:top="720" w:right="567" w:bottom="720" w:left="720" w:header="709" w:footer="709" w:gutter="0"/>
          <w:cols w:space="708"/>
          <w:docGrid w:linePitch="360"/>
        </w:sectPr>
      </w:pPr>
      <w:bookmarkStart w:id="815" w:name="_Ref480747573"/>
      <w:bookmarkStart w:id="816" w:name="_Toc502499836"/>
      <w:r>
        <w:t xml:space="preserve">Figure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2</w:t>
      </w:r>
      <w:r w:rsidR="00C91BF5">
        <w:fldChar w:fldCharType="end"/>
      </w:r>
      <w:bookmarkEnd w:id="815"/>
      <w:r>
        <w:t xml:space="preserve">: </w:t>
      </w:r>
      <w:r w:rsidR="00322C1E" w:rsidRPr="00840E64">
        <w:rPr>
          <w:b w:val="0"/>
        </w:rPr>
        <w:t xml:space="preserve">Timing and location of grab (top) and passive (bottom) samples collected on the </w:t>
      </w:r>
      <w:r w:rsidR="001F6E6F" w:rsidRPr="00840E64">
        <w:rPr>
          <w:b w:val="0"/>
        </w:rPr>
        <w:t>Tully</w:t>
      </w:r>
      <w:r w:rsidR="00322C1E" w:rsidRPr="00840E64">
        <w:rPr>
          <w:b w:val="0"/>
        </w:rPr>
        <w:t xml:space="preserve"> River transect, Wet Tropics, between 201</w:t>
      </w:r>
      <w:r w:rsidR="001F6E6F" w:rsidRPr="00840E64">
        <w:rPr>
          <w:b w:val="0"/>
        </w:rPr>
        <w:t>0</w:t>
      </w:r>
      <w:r>
        <w:rPr>
          <w:b w:val="0"/>
        </w:rPr>
        <w:t xml:space="preserve"> and 2016</w:t>
      </w:r>
      <w:bookmarkEnd w:id="816"/>
    </w:p>
    <w:p w14:paraId="157219EE" w14:textId="334C7A64" w:rsidR="003F2CEF" w:rsidRPr="00840E64" w:rsidRDefault="00223AA6" w:rsidP="00223AA6">
      <w:pPr>
        <w:pStyle w:val="Caption"/>
        <w:spacing w:after="120"/>
        <w:rPr>
          <w:b w:val="0"/>
        </w:rPr>
      </w:pPr>
      <w:bookmarkStart w:id="817" w:name="_Ref480736059"/>
      <w:bookmarkStart w:id="818" w:name="_Toc502499823"/>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7</w:t>
      </w:r>
      <w:r w:rsidR="00C91BF5">
        <w:fldChar w:fldCharType="end"/>
      </w:r>
      <w:bookmarkEnd w:id="817"/>
      <w:r>
        <w:t xml:space="preserve">: </w:t>
      </w:r>
      <w:r w:rsidR="003F2CEF" w:rsidRPr="00840E64">
        <w:rPr>
          <w:b w:val="0"/>
        </w:rPr>
        <w:t>Barratta Creek, Burde</w:t>
      </w:r>
      <w:r w:rsidR="00C31EEA" w:rsidRPr="00840E64">
        <w:rPr>
          <w:b w:val="0"/>
        </w:rPr>
        <w:t>k</w:t>
      </w:r>
      <w:r w:rsidR="003F2CEF" w:rsidRPr="00840E64">
        <w:rPr>
          <w:b w:val="0"/>
        </w:rPr>
        <w:t xml:space="preserve">in Region – </w:t>
      </w:r>
      <w:r w:rsidR="00292DB9">
        <w:rPr>
          <w:b w:val="0"/>
        </w:rPr>
        <w:t>Time integrated estimated c</w:t>
      </w:r>
      <w:r w:rsidR="00292DB9" w:rsidRPr="00840E64">
        <w:rPr>
          <w:b w:val="0"/>
        </w:rPr>
        <w:t>oncentration</w:t>
      </w:r>
      <w:r w:rsidR="00292DB9">
        <w:rPr>
          <w:b w:val="0"/>
        </w:rPr>
        <w:t>s</w:t>
      </w:r>
      <w:r w:rsidR="00292DB9" w:rsidRPr="00840E64">
        <w:rPr>
          <w:b w:val="0"/>
        </w:rPr>
        <w:t xml:space="preserve"> </w:t>
      </w:r>
      <w:r w:rsidR="003F2CEF" w:rsidRPr="00840E64">
        <w:rPr>
          <w:b w:val="0"/>
        </w:rPr>
        <w:t>in water (ng L</w:t>
      </w:r>
      <w:r w:rsidR="003F2CEF" w:rsidRPr="00223AA6">
        <w:rPr>
          <w:b w:val="0"/>
          <w:vertAlign w:val="superscript"/>
        </w:rPr>
        <w:t>-1</w:t>
      </w:r>
      <w:r w:rsidR="003F2CEF" w:rsidRPr="00840E64">
        <w:rPr>
          <w:b w:val="0"/>
        </w:rPr>
        <w:t>)</w:t>
      </w:r>
      <w:bookmarkEnd w:id="818"/>
    </w:p>
    <w:p w14:paraId="157219EF" w14:textId="79C3B1EB" w:rsidR="00466E31" w:rsidRDefault="00B72232" w:rsidP="00015606">
      <w:pPr>
        <w:spacing w:line="276" w:lineRule="auto"/>
        <w:rPr>
          <w:noProof/>
          <w:lang w:val="en-AU" w:eastAsia="en-AU" w:bidi="ar-SA"/>
        </w:rPr>
      </w:pPr>
      <w:r w:rsidRPr="00B72232">
        <w:rPr>
          <w:noProof/>
          <w:lang w:val="en-AU" w:eastAsia="en-AU" w:bidi="ar-SA"/>
        </w:rPr>
        <w:drawing>
          <wp:inline distT="0" distB="0" distL="0" distR="0" wp14:anchorId="66E2DD3D" wp14:editId="095F7BEA">
            <wp:extent cx="9720000" cy="3922885"/>
            <wp:effectExtent l="0" t="0" r="0" b="1905"/>
            <wp:docPr id="7205" name="Picture 7205" descr="Table F 7: Barratta Creek, Burdekin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9720000" cy="3922885"/>
                    </a:xfrm>
                    <a:prstGeom prst="rect">
                      <a:avLst/>
                    </a:prstGeom>
                    <a:noFill/>
                    <a:ln>
                      <a:noFill/>
                    </a:ln>
                  </pic:spPr>
                </pic:pic>
              </a:graphicData>
            </a:graphic>
          </wp:inline>
        </w:drawing>
      </w:r>
    </w:p>
    <w:p w14:paraId="157219F0" w14:textId="77777777" w:rsidR="0059608E" w:rsidRDefault="0059608E" w:rsidP="00015606">
      <w:pPr>
        <w:spacing w:line="276" w:lineRule="auto"/>
        <w:ind w:firstLine="357"/>
        <w:jc w:val="left"/>
        <w:rPr>
          <w:sz w:val="18"/>
          <w:szCs w:val="18"/>
          <w:lang w:val="en-AU" w:eastAsia="en-AU"/>
        </w:rPr>
      </w:pPr>
    </w:p>
    <w:p w14:paraId="157219F1" w14:textId="77777777" w:rsidR="00223AA6" w:rsidRDefault="00223AA6">
      <w:pPr>
        <w:ind w:firstLine="357"/>
        <w:jc w:val="left"/>
        <w:rPr>
          <w:bCs/>
          <w:sz w:val="18"/>
          <w:szCs w:val="18"/>
        </w:rPr>
      </w:pPr>
      <w:r>
        <w:rPr>
          <w:b/>
        </w:rPr>
        <w:br w:type="page"/>
      </w:r>
    </w:p>
    <w:p w14:paraId="157219F2" w14:textId="45E41938" w:rsidR="008E1687" w:rsidRPr="00840E64" w:rsidRDefault="00223AA6" w:rsidP="00223AA6">
      <w:pPr>
        <w:pStyle w:val="Caption"/>
        <w:spacing w:after="120"/>
        <w:rPr>
          <w:b w:val="0"/>
        </w:rPr>
      </w:pPr>
      <w:bookmarkStart w:id="819" w:name="_Ref480910600"/>
      <w:bookmarkStart w:id="820" w:name="_Toc502499824"/>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8</w:t>
      </w:r>
      <w:r w:rsidR="00C91BF5">
        <w:fldChar w:fldCharType="end"/>
      </w:r>
      <w:bookmarkEnd w:id="819"/>
      <w:r w:rsidR="00840E64">
        <w:rPr>
          <w:b w:val="0"/>
        </w:rPr>
        <w:t>:</w:t>
      </w:r>
      <w:r w:rsidR="008E1687" w:rsidRPr="00840E64">
        <w:rPr>
          <w:b w:val="0"/>
        </w:rPr>
        <w:t xml:space="preserve"> Repulse Bay, Mackay Whitsunday region – </w:t>
      </w:r>
      <w:r w:rsidR="00292DB9">
        <w:rPr>
          <w:b w:val="0"/>
        </w:rPr>
        <w:t>Time integrated estimated c</w:t>
      </w:r>
      <w:r w:rsidR="00292DB9" w:rsidRPr="00840E64">
        <w:rPr>
          <w:b w:val="0"/>
        </w:rPr>
        <w:t>oncentration</w:t>
      </w:r>
      <w:r w:rsidR="00292DB9">
        <w:rPr>
          <w:b w:val="0"/>
        </w:rPr>
        <w:t>s</w:t>
      </w:r>
      <w:r w:rsidR="00292DB9" w:rsidRPr="00840E64">
        <w:rPr>
          <w:b w:val="0"/>
        </w:rPr>
        <w:t xml:space="preserve"> </w:t>
      </w:r>
      <w:r w:rsidR="008E1687" w:rsidRPr="00840E64">
        <w:rPr>
          <w:b w:val="0"/>
        </w:rPr>
        <w:t>in water (ng L</w:t>
      </w:r>
      <w:r w:rsidRPr="00223AA6">
        <w:rPr>
          <w:b w:val="0"/>
          <w:vertAlign w:val="superscript"/>
        </w:rPr>
        <w:t>-1</w:t>
      </w:r>
      <w:r w:rsidR="008E1687" w:rsidRPr="00840E64">
        <w:rPr>
          <w:b w:val="0"/>
        </w:rPr>
        <w:t>)</w:t>
      </w:r>
      <w:bookmarkEnd w:id="820"/>
    </w:p>
    <w:p w14:paraId="157219F3" w14:textId="68F0ADC6" w:rsidR="0059608E" w:rsidRDefault="00B72232" w:rsidP="00015606">
      <w:pPr>
        <w:spacing w:line="276" w:lineRule="auto"/>
        <w:jc w:val="left"/>
        <w:rPr>
          <w:sz w:val="16"/>
          <w:szCs w:val="18"/>
          <w:vertAlign w:val="superscript"/>
          <w:lang w:val="en-AU" w:eastAsia="en-AU"/>
        </w:rPr>
      </w:pPr>
      <w:r w:rsidRPr="00B72232">
        <w:rPr>
          <w:noProof/>
          <w:lang w:val="en-AU" w:eastAsia="en-AU" w:bidi="ar-SA"/>
        </w:rPr>
        <w:drawing>
          <wp:inline distT="0" distB="0" distL="0" distR="0" wp14:anchorId="31B347B9" wp14:editId="6472A9B9">
            <wp:extent cx="9720000" cy="3917996"/>
            <wp:effectExtent l="0" t="0" r="0" b="6350"/>
            <wp:docPr id="7206" name="Picture 7206" descr="Table F 8: Repulse Bay, Mackay Whitsunday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9720000" cy="3917996"/>
                    </a:xfrm>
                    <a:prstGeom prst="rect">
                      <a:avLst/>
                    </a:prstGeom>
                    <a:noFill/>
                    <a:ln>
                      <a:noFill/>
                    </a:ln>
                  </pic:spPr>
                </pic:pic>
              </a:graphicData>
            </a:graphic>
          </wp:inline>
        </w:drawing>
      </w:r>
    </w:p>
    <w:p w14:paraId="157219F4" w14:textId="77777777" w:rsidR="00015606" w:rsidRDefault="00015606" w:rsidP="00015606">
      <w:pPr>
        <w:spacing w:line="276" w:lineRule="auto"/>
        <w:rPr>
          <w:sz w:val="18"/>
          <w:szCs w:val="18"/>
          <w:lang w:val="en-AU" w:eastAsia="en-AU"/>
        </w:rPr>
      </w:pPr>
    </w:p>
    <w:p w14:paraId="157219F5" w14:textId="77777777" w:rsidR="00223AA6" w:rsidRDefault="00223AA6">
      <w:pPr>
        <w:ind w:firstLine="357"/>
        <w:jc w:val="left"/>
        <w:rPr>
          <w:b/>
          <w:bCs/>
          <w:sz w:val="18"/>
          <w:szCs w:val="18"/>
        </w:rPr>
      </w:pPr>
      <w:r>
        <w:br w:type="page"/>
      </w:r>
    </w:p>
    <w:p w14:paraId="157219F6" w14:textId="01B57EC8" w:rsidR="008E1687" w:rsidRPr="00840E64" w:rsidRDefault="00223AA6" w:rsidP="00223AA6">
      <w:pPr>
        <w:pStyle w:val="Caption"/>
        <w:keepNext/>
        <w:spacing w:after="120"/>
        <w:rPr>
          <w:b w:val="0"/>
        </w:rPr>
      </w:pPr>
      <w:bookmarkStart w:id="821" w:name="_Ref480728187"/>
      <w:bookmarkStart w:id="822" w:name="_Toc502499825"/>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9</w:t>
      </w:r>
      <w:r w:rsidR="00C91BF5">
        <w:fldChar w:fldCharType="end"/>
      </w:r>
      <w:bookmarkEnd w:id="821"/>
      <w:r>
        <w:rPr>
          <w:b w:val="0"/>
        </w:rPr>
        <w:t xml:space="preserve">: </w:t>
      </w:r>
      <w:r w:rsidR="008E1687" w:rsidRPr="00840E64">
        <w:rPr>
          <w:b w:val="0"/>
        </w:rPr>
        <w:t>Round</w:t>
      </w:r>
      <w:r w:rsidR="00AE5617">
        <w:rPr>
          <w:b w:val="0"/>
        </w:rPr>
        <w:t xml:space="preserve"> </w:t>
      </w:r>
      <w:r w:rsidR="008E1687" w:rsidRPr="00840E64">
        <w:rPr>
          <w:b w:val="0"/>
        </w:rPr>
        <w:t>Top</w:t>
      </w:r>
      <w:r w:rsidR="00AE5617">
        <w:rPr>
          <w:b w:val="0"/>
        </w:rPr>
        <w:t xml:space="preserve"> Island</w:t>
      </w:r>
      <w:r w:rsidR="008E1687" w:rsidRPr="00840E64">
        <w:rPr>
          <w:b w:val="0"/>
        </w:rPr>
        <w:t xml:space="preserve">, Mackay Whitsunday region – </w:t>
      </w:r>
      <w:r w:rsidR="00292DB9">
        <w:rPr>
          <w:b w:val="0"/>
        </w:rPr>
        <w:t>Time integrated estimated c</w:t>
      </w:r>
      <w:r w:rsidR="00292DB9" w:rsidRPr="00840E64">
        <w:rPr>
          <w:b w:val="0"/>
        </w:rPr>
        <w:t>oncentration</w:t>
      </w:r>
      <w:r w:rsidR="00292DB9">
        <w:rPr>
          <w:b w:val="0"/>
        </w:rPr>
        <w:t>s</w:t>
      </w:r>
      <w:r w:rsidR="00292DB9" w:rsidRPr="00840E64">
        <w:rPr>
          <w:b w:val="0"/>
        </w:rPr>
        <w:t xml:space="preserve"> </w:t>
      </w:r>
      <w:r w:rsidR="008E1687" w:rsidRPr="00840E64">
        <w:rPr>
          <w:b w:val="0"/>
        </w:rPr>
        <w:t>in water (ng L</w:t>
      </w:r>
      <w:r w:rsidRPr="00223AA6">
        <w:rPr>
          <w:b w:val="0"/>
          <w:vertAlign w:val="superscript"/>
        </w:rPr>
        <w:t>-1</w:t>
      </w:r>
      <w:r w:rsidR="008E1687" w:rsidRPr="00840E64">
        <w:rPr>
          <w:b w:val="0"/>
        </w:rPr>
        <w:t>)</w:t>
      </w:r>
      <w:bookmarkEnd w:id="822"/>
    </w:p>
    <w:p w14:paraId="157219F7" w14:textId="1E1FB0BD" w:rsidR="0059608E" w:rsidRDefault="00B72232" w:rsidP="00015606">
      <w:pPr>
        <w:spacing w:line="276" w:lineRule="auto"/>
        <w:rPr>
          <w:sz w:val="18"/>
          <w:szCs w:val="18"/>
          <w:lang w:val="en-AU" w:eastAsia="en-AU"/>
        </w:rPr>
      </w:pPr>
      <w:r w:rsidRPr="00B72232">
        <w:rPr>
          <w:noProof/>
          <w:lang w:val="en-AU" w:eastAsia="en-AU" w:bidi="ar-SA"/>
        </w:rPr>
        <w:drawing>
          <wp:inline distT="0" distB="0" distL="0" distR="0" wp14:anchorId="63461A01" wp14:editId="1DB3436F">
            <wp:extent cx="9720000" cy="3920687"/>
            <wp:effectExtent l="0" t="0" r="0" b="3810"/>
            <wp:docPr id="7210" name="Picture 7210" descr="Table F 9: Round Top Island, Mackay Whitsunday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9720000" cy="3920687"/>
                    </a:xfrm>
                    <a:prstGeom prst="rect">
                      <a:avLst/>
                    </a:prstGeom>
                    <a:noFill/>
                    <a:ln>
                      <a:noFill/>
                    </a:ln>
                  </pic:spPr>
                </pic:pic>
              </a:graphicData>
            </a:graphic>
          </wp:inline>
        </w:drawing>
      </w:r>
    </w:p>
    <w:p w14:paraId="157219F8" w14:textId="77777777" w:rsidR="0059608E" w:rsidRPr="00B67279" w:rsidRDefault="0059608E" w:rsidP="00015606">
      <w:pPr>
        <w:spacing w:line="276" w:lineRule="auto"/>
        <w:jc w:val="left"/>
        <w:rPr>
          <w:sz w:val="16"/>
          <w:szCs w:val="18"/>
          <w:lang w:val="en-AU" w:eastAsia="en-AU"/>
        </w:rPr>
      </w:pPr>
    </w:p>
    <w:p w14:paraId="157219F9" w14:textId="77777777" w:rsidR="00F66FFC" w:rsidRDefault="00F66FFC">
      <w:pPr>
        <w:ind w:firstLine="357"/>
        <w:jc w:val="left"/>
        <w:rPr>
          <w:b/>
          <w:bCs/>
          <w:sz w:val="18"/>
          <w:szCs w:val="18"/>
        </w:rPr>
      </w:pPr>
      <w:r>
        <w:br w:type="page"/>
      </w:r>
    </w:p>
    <w:p w14:paraId="157219FA" w14:textId="6E97B88C" w:rsidR="00750276" w:rsidRPr="00840E64" w:rsidRDefault="00F66FFC" w:rsidP="00F66FFC">
      <w:pPr>
        <w:pStyle w:val="Caption"/>
        <w:spacing w:after="120"/>
        <w:rPr>
          <w:b w:val="0"/>
        </w:rPr>
      </w:pPr>
      <w:bookmarkStart w:id="823" w:name="_Toc502499826"/>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10</w:t>
      </w:r>
      <w:r w:rsidR="00C91BF5">
        <w:fldChar w:fldCharType="end"/>
      </w:r>
      <w:r w:rsidR="00840E64">
        <w:rPr>
          <w:b w:val="0"/>
        </w:rPr>
        <w:t>:</w:t>
      </w:r>
      <w:r w:rsidR="00750276" w:rsidRPr="00840E64">
        <w:rPr>
          <w:b w:val="0"/>
        </w:rPr>
        <w:t xml:space="preserve"> Sarina Inlet, Mackay Whitsunday region – </w:t>
      </w:r>
      <w:r w:rsidR="00292DB9">
        <w:rPr>
          <w:b w:val="0"/>
        </w:rPr>
        <w:t>Time integrated estimated c</w:t>
      </w:r>
      <w:r w:rsidR="00292DB9" w:rsidRPr="00840E64">
        <w:rPr>
          <w:b w:val="0"/>
        </w:rPr>
        <w:t>oncentration</w:t>
      </w:r>
      <w:r w:rsidR="00292DB9">
        <w:rPr>
          <w:b w:val="0"/>
        </w:rPr>
        <w:t>s</w:t>
      </w:r>
      <w:r w:rsidR="00292DB9" w:rsidRPr="00840E64">
        <w:rPr>
          <w:b w:val="0"/>
        </w:rPr>
        <w:t xml:space="preserve"> </w:t>
      </w:r>
      <w:r w:rsidR="00750276" w:rsidRPr="00840E64">
        <w:rPr>
          <w:b w:val="0"/>
        </w:rPr>
        <w:t>in water (ng L</w:t>
      </w:r>
      <w:r w:rsidR="00223AA6" w:rsidRPr="00223AA6">
        <w:rPr>
          <w:b w:val="0"/>
          <w:vertAlign w:val="superscript"/>
        </w:rPr>
        <w:t>-1</w:t>
      </w:r>
      <w:r w:rsidR="00750276" w:rsidRPr="00840E64">
        <w:rPr>
          <w:b w:val="0"/>
        </w:rPr>
        <w:t>)</w:t>
      </w:r>
      <w:bookmarkEnd w:id="823"/>
    </w:p>
    <w:p w14:paraId="157219FB" w14:textId="2DEE6BA3" w:rsidR="0059608E" w:rsidRPr="003E4FD4" w:rsidRDefault="002A1471" w:rsidP="00015606">
      <w:pPr>
        <w:spacing w:line="276" w:lineRule="auto"/>
      </w:pPr>
      <w:r w:rsidRPr="002A1471">
        <w:rPr>
          <w:noProof/>
          <w:lang w:val="en-AU" w:eastAsia="en-AU" w:bidi="ar-SA"/>
        </w:rPr>
        <w:drawing>
          <wp:inline distT="0" distB="0" distL="0" distR="0" wp14:anchorId="2E87F975" wp14:editId="7331E9C4">
            <wp:extent cx="9720000" cy="4190124"/>
            <wp:effectExtent l="0" t="0" r="0" b="1270"/>
            <wp:docPr id="44" name="Picture 44" descr="Table F 10: Sarina Inlet, Mackay Whitsunday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9720000" cy="4190124"/>
                    </a:xfrm>
                    <a:prstGeom prst="rect">
                      <a:avLst/>
                    </a:prstGeom>
                    <a:noFill/>
                    <a:ln>
                      <a:noFill/>
                    </a:ln>
                  </pic:spPr>
                </pic:pic>
              </a:graphicData>
            </a:graphic>
          </wp:inline>
        </w:drawing>
      </w:r>
    </w:p>
    <w:p w14:paraId="157219FC" w14:textId="77777777" w:rsidR="00F66FFC" w:rsidRDefault="00F66FFC">
      <w:pPr>
        <w:ind w:firstLine="357"/>
        <w:jc w:val="left"/>
        <w:rPr>
          <w:b/>
          <w:bCs/>
          <w:sz w:val="18"/>
          <w:szCs w:val="18"/>
        </w:rPr>
      </w:pPr>
      <w:r>
        <w:br w:type="page"/>
      </w:r>
    </w:p>
    <w:p w14:paraId="157219FD" w14:textId="7E605985" w:rsidR="00750276" w:rsidRPr="00840E64" w:rsidRDefault="00F66FFC" w:rsidP="00F66FFC">
      <w:pPr>
        <w:pStyle w:val="Caption"/>
        <w:spacing w:after="120"/>
        <w:rPr>
          <w:b w:val="0"/>
        </w:rPr>
      </w:pPr>
      <w:bookmarkStart w:id="824" w:name="_Ref480910605"/>
      <w:bookmarkStart w:id="825" w:name="_Toc502499827"/>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11</w:t>
      </w:r>
      <w:r w:rsidR="00C91BF5">
        <w:fldChar w:fldCharType="end"/>
      </w:r>
      <w:bookmarkEnd w:id="824"/>
      <w:r w:rsidR="00840E64">
        <w:rPr>
          <w:b w:val="0"/>
        </w:rPr>
        <w:t>:</w:t>
      </w:r>
      <w:r w:rsidR="00750276" w:rsidRPr="00840E64">
        <w:rPr>
          <w:b w:val="0"/>
        </w:rPr>
        <w:t xml:space="preserve"> Sandy Creek, Mackay Whitsunday region – </w:t>
      </w:r>
      <w:r w:rsidR="00292DB9">
        <w:rPr>
          <w:b w:val="0"/>
        </w:rPr>
        <w:t>Time integrated estimated c</w:t>
      </w:r>
      <w:r w:rsidR="00292DB9" w:rsidRPr="00840E64">
        <w:rPr>
          <w:b w:val="0"/>
        </w:rPr>
        <w:t>oncentration</w:t>
      </w:r>
      <w:r w:rsidR="00292DB9">
        <w:rPr>
          <w:b w:val="0"/>
        </w:rPr>
        <w:t>s</w:t>
      </w:r>
      <w:r w:rsidR="00292DB9" w:rsidRPr="00840E64">
        <w:rPr>
          <w:b w:val="0"/>
        </w:rPr>
        <w:t xml:space="preserve"> </w:t>
      </w:r>
      <w:r w:rsidR="00750276" w:rsidRPr="00840E64">
        <w:rPr>
          <w:b w:val="0"/>
        </w:rPr>
        <w:t>in water (ng L</w:t>
      </w:r>
      <w:r w:rsidR="00223AA6" w:rsidRPr="00223AA6">
        <w:rPr>
          <w:b w:val="0"/>
          <w:vertAlign w:val="superscript"/>
        </w:rPr>
        <w:t>-1</w:t>
      </w:r>
      <w:r w:rsidR="00750276" w:rsidRPr="00840E64">
        <w:rPr>
          <w:b w:val="0"/>
        </w:rPr>
        <w:t>)</w:t>
      </w:r>
      <w:bookmarkEnd w:id="825"/>
    </w:p>
    <w:p w14:paraId="157219FF" w14:textId="34006451" w:rsidR="0059608E" w:rsidRDefault="00FB093B" w:rsidP="00015606">
      <w:pPr>
        <w:spacing w:line="276" w:lineRule="auto"/>
        <w:rPr>
          <w:sz w:val="18"/>
          <w:szCs w:val="18"/>
          <w:lang w:val="en-AU" w:eastAsia="en-AU"/>
        </w:rPr>
      </w:pPr>
      <w:r w:rsidRPr="00FB093B">
        <w:rPr>
          <w:noProof/>
          <w:lang w:val="en-AU" w:eastAsia="en-AU" w:bidi="ar-SA"/>
        </w:rPr>
        <w:drawing>
          <wp:inline distT="0" distB="0" distL="0" distR="0" wp14:anchorId="22C5611C" wp14:editId="268DC794">
            <wp:extent cx="9720000" cy="3920687"/>
            <wp:effectExtent l="0" t="0" r="0" b="3810"/>
            <wp:docPr id="7216" name="Picture 7216" descr="Table F 11: Sandy Creek, Mackay Whitsunday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9720000" cy="3920687"/>
                    </a:xfrm>
                    <a:prstGeom prst="rect">
                      <a:avLst/>
                    </a:prstGeom>
                    <a:noFill/>
                    <a:ln>
                      <a:noFill/>
                    </a:ln>
                  </pic:spPr>
                </pic:pic>
              </a:graphicData>
            </a:graphic>
          </wp:inline>
        </w:drawing>
      </w:r>
      <w:r w:rsidR="0059608E">
        <w:rPr>
          <w:sz w:val="16"/>
          <w:szCs w:val="18"/>
          <w:lang w:val="en-AU" w:eastAsia="en-AU"/>
        </w:rPr>
        <w:br w:type="page"/>
      </w:r>
    </w:p>
    <w:p w14:paraId="15721A00" w14:textId="51B283F7" w:rsidR="00750276" w:rsidRPr="00840E64" w:rsidRDefault="00F66FFC" w:rsidP="00F66FFC">
      <w:pPr>
        <w:pStyle w:val="Caption"/>
        <w:spacing w:after="120"/>
        <w:rPr>
          <w:b w:val="0"/>
        </w:rPr>
      </w:pPr>
      <w:bookmarkStart w:id="826" w:name="_Ref480725602"/>
      <w:bookmarkStart w:id="827" w:name="_Toc502499828"/>
      <w:r>
        <w:t xml:space="preserve">Table </w:t>
      </w:r>
      <w:r w:rsidR="00C91BF5">
        <w:fldChar w:fldCharType="begin"/>
      </w:r>
      <w:r w:rsidR="008C60F9">
        <w:instrText xml:space="preserve"> STYLEREF 7 \s </w:instrText>
      </w:r>
      <w:r w:rsidR="00C91BF5">
        <w:fldChar w:fldCharType="separate"/>
      </w:r>
      <w:r w:rsidR="00D12276">
        <w:rPr>
          <w:noProof/>
        </w:rPr>
        <w:t>F</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12</w:t>
      </w:r>
      <w:r w:rsidR="00C91BF5">
        <w:fldChar w:fldCharType="end"/>
      </w:r>
      <w:bookmarkEnd w:id="826"/>
      <w:r w:rsidR="00840E64">
        <w:rPr>
          <w:b w:val="0"/>
        </w:rPr>
        <w:t>:</w:t>
      </w:r>
      <w:r w:rsidR="00750276" w:rsidRPr="00840E64">
        <w:rPr>
          <w:b w:val="0"/>
        </w:rPr>
        <w:t xml:space="preserve"> North Keppel Island, Fitzroy Region – </w:t>
      </w:r>
      <w:r w:rsidR="00292DB9">
        <w:rPr>
          <w:b w:val="0"/>
        </w:rPr>
        <w:t>Time integrated estimated c</w:t>
      </w:r>
      <w:r w:rsidR="00292DB9" w:rsidRPr="00840E64">
        <w:rPr>
          <w:b w:val="0"/>
        </w:rPr>
        <w:t>oncentration</w:t>
      </w:r>
      <w:r w:rsidR="00292DB9">
        <w:rPr>
          <w:b w:val="0"/>
        </w:rPr>
        <w:t>s</w:t>
      </w:r>
      <w:r w:rsidR="00292DB9" w:rsidRPr="00840E64">
        <w:rPr>
          <w:b w:val="0"/>
        </w:rPr>
        <w:t xml:space="preserve"> </w:t>
      </w:r>
      <w:r w:rsidR="00750276" w:rsidRPr="00840E64">
        <w:rPr>
          <w:b w:val="0"/>
        </w:rPr>
        <w:t>in water (ng L</w:t>
      </w:r>
      <w:r w:rsidR="00223AA6" w:rsidRPr="00223AA6">
        <w:rPr>
          <w:b w:val="0"/>
          <w:vertAlign w:val="superscript"/>
        </w:rPr>
        <w:t>-1</w:t>
      </w:r>
      <w:r w:rsidR="00750276" w:rsidRPr="00840E64">
        <w:rPr>
          <w:b w:val="0"/>
        </w:rPr>
        <w:t>)</w:t>
      </w:r>
      <w:bookmarkEnd w:id="827"/>
    </w:p>
    <w:p w14:paraId="15721A01" w14:textId="324BC4D0" w:rsidR="0059608E" w:rsidRDefault="000958C8" w:rsidP="00015606">
      <w:pPr>
        <w:spacing w:line="276" w:lineRule="auto"/>
      </w:pPr>
      <w:r w:rsidRPr="000958C8">
        <w:rPr>
          <w:noProof/>
          <w:lang w:val="en-AU" w:eastAsia="en-AU" w:bidi="ar-SA"/>
        </w:rPr>
        <w:drawing>
          <wp:inline distT="0" distB="0" distL="0" distR="0" wp14:anchorId="526E791C" wp14:editId="00695475">
            <wp:extent cx="9720000" cy="4311390"/>
            <wp:effectExtent l="0" t="0" r="0" b="0"/>
            <wp:docPr id="37" name="Picture 37" descr="Table F 12: North Keppel Island, Fitzroy Region – Time integrated estimated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9720000" cy="4311390"/>
                    </a:xfrm>
                    <a:prstGeom prst="rect">
                      <a:avLst/>
                    </a:prstGeom>
                    <a:noFill/>
                    <a:ln>
                      <a:noFill/>
                    </a:ln>
                  </pic:spPr>
                </pic:pic>
              </a:graphicData>
            </a:graphic>
          </wp:inline>
        </w:drawing>
      </w:r>
    </w:p>
    <w:p w14:paraId="15721A02" w14:textId="77777777" w:rsidR="00F66FFC" w:rsidRDefault="00F66FFC">
      <w:pPr>
        <w:ind w:firstLine="357"/>
        <w:jc w:val="left"/>
        <w:rPr>
          <w:rFonts w:eastAsiaTheme="majorEastAsia" w:cstheme="majorBidi"/>
          <w:b/>
          <w:bCs/>
          <w:sz w:val="28"/>
          <w:szCs w:val="20"/>
          <w:lang w:val="en-AU" w:bidi="ar-SA"/>
        </w:rPr>
      </w:pPr>
      <w:bookmarkStart w:id="828" w:name="_Toc461457790"/>
      <w:r>
        <w:br w:type="page"/>
      </w:r>
    </w:p>
    <w:p w14:paraId="15721A03" w14:textId="77777777" w:rsidR="0059608E" w:rsidRPr="00C42431" w:rsidRDefault="00494403" w:rsidP="002B1A9C">
      <w:pPr>
        <w:pStyle w:val="Heading7"/>
      </w:pPr>
      <w:bookmarkStart w:id="829" w:name="_Ref480726378"/>
      <w:bookmarkStart w:id="830" w:name="_Ref480746628"/>
      <w:bookmarkStart w:id="831" w:name="_Toc502500033"/>
      <w:r>
        <w:t>Terrestrial run-off assessment results</w:t>
      </w:r>
      <w:bookmarkEnd w:id="828"/>
      <w:bookmarkEnd w:id="829"/>
      <w:bookmarkEnd w:id="830"/>
      <w:bookmarkEnd w:id="831"/>
    </w:p>
    <w:p w14:paraId="15721A04" w14:textId="4C9212D0" w:rsidR="00804582" w:rsidRPr="00840E64" w:rsidRDefault="004529D0" w:rsidP="004529D0">
      <w:pPr>
        <w:pStyle w:val="Caption"/>
        <w:spacing w:after="120"/>
        <w:rPr>
          <w:b w:val="0"/>
        </w:rPr>
      </w:pPr>
      <w:bookmarkStart w:id="832" w:name="_Ref480726395"/>
      <w:bookmarkStart w:id="833" w:name="_Toc502499829"/>
      <w:r>
        <w:t xml:space="preserve">Table </w:t>
      </w:r>
      <w:r w:rsidR="00C91BF5">
        <w:fldChar w:fldCharType="begin"/>
      </w:r>
      <w:r w:rsidR="008C60F9">
        <w:instrText xml:space="preserve"> STYLEREF 7 \s </w:instrText>
      </w:r>
      <w:r w:rsidR="00C91BF5">
        <w:fldChar w:fldCharType="separate"/>
      </w:r>
      <w:r w:rsidR="00D12276">
        <w:rPr>
          <w:noProof/>
        </w:rPr>
        <w:t>G</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D12276">
        <w:rPr>
          <w:noProof/>
        </w:rPr>
        <w:t>1</w:t>
      </w:r>
      <w:r w:rsidR="00C91BF5">
        <w:fldChar w:fldCharType="end"/>
      </w:r>
      <w:bookmarkEnd w:id="832"/>
      <w:r w:rsidR="00840E64">
        <w:rPr>
          <w:b w:val="0"/>
        </w:rPr>
        <w:t>:</w:t>
      </w:r>
      <w:r w:rsidR="00804582" w:rsidRPr="00840E64">
        <w:rPr>
          <w:b w:val="0"/>
        </w:rPr>
        <w:t xml:space="preserve"> Concentrations in water (ng L</w:t>
      </w:r>
      <w:r w:rsidR="00804582" w:rsidRPr="00943C17">
        <w:rPr>
          <w:b w:val="0"/>
          <w:vertAlign w:val="superscript"/>
        </w:rPr>
        <w:t>-1</w:t>
      </w:r>
      <w:r w:rsidR="00804582" w:rsidRPr="00840E64">
        <w:rPr>
          <w:b w:val="0"/>
        </w:rPr>
        <w:t xml:space="preserve">) measured at various locations </w:t>
      </w:r>
      <w:r w:rsidR="00943C17">
        <w:rPr>
          <w:b w:val="0"/>
        </w:rPr>
        <w:t>offshore and in river mouths (along transects)</w:t>
      </w:r>
      <w:r w:rsidR="00804582" w:rsidRPr="00840E64">
        <w:rPr>
          <w:b w:val="0"/>
        </w:rPr>
        <w:t xml:space="preserve"> using </w:t>
      </w:r>
      <w:r w:rsidR="008166C1">
        <w:rPr>
          <w:b w:val="0"/>
        </w:rPr>
        <w:t>250 mL</w:t>
      </w:r>
      <w:r w:rsidR="00804582" w:rsidRPr="00840E64">
        <w:rPr>
          <w:b w:val="0"/>
        </w:rPr>
        <w:t xml:space="preserve"> grab samples during the wet season</w:t>
      </w:r>
      <w:bookmarkEnd w:id="833"/>
    </w:p>
    <w:p w14:paraId="15721A05" w14:textId="2D27E6AE" w:rsidR="0059608E" w:rsidRDefault="008166C1" w:rsidP="000C0939">
      <w:pPr>
        <w:spacing w:line="276" w:lineRule="auto"/>
        <w:jc w:val="left"/>
        <w:rPr>
          <w:sz w:val="18"/>
          <w:szCs w:val="18"/>
        </w:rPr>
      </w:pPr>
      <w:r w:rsidRPr="008166C1">
        <w:rPr>
          <w:noProof/>
          <w:lang w:val="en-AU" w:eastAsia="en-AU" w:bidi="ar-SA"/>
        </w:rPr>
        <w:drawing>
          <wp:inline distT="0" distB="0" distL="0" distR="0" wp14:anchorId="75B34EEC" wp14:editId="727E1F58">
            <wp:extent cx="9720000" cy="4781555"/>
            <wp:effectExtent l="0" t="0" r="0" b="0"/>
            <wp:docPr id="2" name="Picture 2" descr="Table G 1: Concentrations in water (ng L-1) measured at various locations offshore and in river mouths (along transects) using 1 L grab samples during the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9720000" cy="4781555"/>
                    </a:xfrm>
                    <a:prstGeom prst="rect">
                      <a:avLst/>
                    </a:prstGeom>
                    <a:noFill/>
                    <a:ln>
                      <a:noFill/>
                    </a:ln>
                  </pic:spPr>
                </pic:pic>
              </a:graphicData>
            </a:graphic>
          </wp:inline>
        </w:drawing>
      </w:r>
    </w:p>
    <w:p w14:paraId="15721A06" w14:textId="77777777" w:rsidR="0059608E" w:rsidRDefault="0059608E" w:rsidP="00015606">
      <w:pPr>
        <w:spacing w:line="276" w:lineRule="auto"/>
        <w:ind w:firstLine="357"/>
        <w:jc w:val="left"/>
        <w:rPr>
          <w:sz w:val="18"/>
          <w:szCs w:val="18"/>
        </w:rPr>
      </w:pPr>
      <w:r>
        <w:rPr>
          <w:sz w:val="18"/>
          <w:szCs w:val="18"/>
        </w:rPr>
        <w:br w:type="page"/>
      </w:r>
    </w:p>
    <w:p w14:paraId="15721A07" w14:textId="77777777" w:rsidR="0059608E" w:rsidRDefault="0059608E" w:rsidP="00015606">
      <w:pPr>
        <w:spacing w:line="276" w:lineRule="auto"/>
        <w:ind w:firstLine="357"/>
        <w:jc w:val="left"/>
        <w:rPr>
          <w:sz w:val="18"/>
          <w:szCs w:val="18"/>
        </w:rPr>
        <w:sectPr w:rsidR="0059608E" w:rsidSect="00515CEF">
          <w:pgSz w:w="16838" w:h="11906" w:orient="landscape" w:code="9"/>
          <w:pgMar w:top="567" w:right="720" w:bottom="720" w:left="720" w:header="709" w:footer="709" w:gutter="0"/>
          <w:cols w:space="708"/>
          <w:docGrid w:linePitch="360"/>
        </w:sectPr>
      </w:pPr>
    </w:p>
    <w:p w14:paraId="15721A08" w14:textId="15737D30" w:rsidR="0059608E" w:rsidRDefault="00EC0782" w:rsidP="00C60B74">
      <w:pPr>
        <w:pStyle w:val="Heading7"/>
        <w:ind w:left="1985" w:hanging="1985"/>
      </w:pPr>
      <w:bookmarkStart w:id="834" w:name="_Toc461457791"/>
      <w:bookmarkStart w:id="835" w:name="_Ref480728553"/>
      <w:bookmarkStart w:id="836" w:name="_Ref480739657"/>
      <w:bookmarkStart w:id="837" w:name="_Ref480740036"/>
      <w:bookmarkStart w:id="838" w:name="_Ref480752562"/>
      <w:bookmarkStart w:id="839" w:name="_Ref480752570"/>
      <w:bookmarkStart w:id="840" w:name="_Ref502034119"/>
      <w:bookmarkStart w:id="841" w:name="_Ref502045028"/>
      <w:bookmarkStart w:id="842" w:name="_Toc502500034"/>
      <w:r>
        <w:t>Mean flow rates,</w:t>
      </w:r>
      <w:r w:rsidR="00804582">
        <w:t xml:space="preserve"> </w:t>
      </w:r>
      <w:r>
        <w:t>PSII-</w:t>
      </w:r>
      <w:r w:rsidR="009D307F">
        <w:t>HEq</w:t>
      </w:r>
      <w:r>
        <w:t xml:space="preserve"> of passive samplers and plume colour class of major rivers</w:t>
      </w:r>
      <w:bookmarkEnd w:id="834"/>
      <w:bookmarkEnd w:id="835"/>
      <w:bookmarkEnd w:id="836"/>
      <w:bookmarkEnd w:id="837"/>
      <w:bookmarkEnd w:id="838"/>
      <w:bookmarkEnd w:id="839"/>
      <w:bookmarkEnd w:id="840"/>
      <w:bookmarkEnd w:id="841"/>
      <w:bookmarkEnd w:id="842"/>
    </w:p>
    <w:p w14:paraId="15721A09" w14:textId="77777777" w:rsidR="00840E64" w:rsidRDefault="00B70FEF" w:rsidP="00840E64">
      <w:pPr>
        <w:rPr>
          <w:lang w:val="en-AU" w:eastAsia="en-AU"/>
        </w:rPr>
      </w:pPr>
      <w:r w:rsidRPr="00B70FEF">
        <w:rPr>
          <w:noProof/>
          <w:lang w:val="en-AU" w:eastAsia="en-AU" w:bidi="ar-SA"/>
        </w:rPr>
        <w:drawing>
          <wp:inline distT="0" distB="0" distL="0" distR="0" wp14:anchorId="15721AAA" wp14:editId="758F4E1A">
            <wp:extent cx="6516000" cy="8150617"/>
            <wp:effectExtent l="0" t="0" r="0" b="3175"/>
            <wp:docPr id="7225" name="Picture 7225" descr="Figure H 1: Temporal trends in PSII-HEq with respect to (top graph) river flow rate influencing passive sampler site at Low Isles in the Wet Tropics region since 2005 and (bottom graph) flood plume colour class for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b="2144"/>
                    <a:stretch/>
                  </pic:blipFill>
                  <pic:spPr bwMode="auto">
                    <a:xfrm>
                      <a:off x="0" y="0"/>
                      <a:ext cx="6516000" cy="8150617"/>
                    </a:xfrm>
                    <a:prstGeom prst="rect">
                      <a:avLst/>
                    </a:prstGeom>
                    <a:noFill/>
                    <a:ln>
                      <a:noFill/>
                    </a:ln>
                    <a:extLst>
                      <a:ext uri="{53640926-AAD7-44D8-BBD7-CCE9431645EC}">
                        <a14:shadowObscured xmlns:a14="http://schemas.microsoft.com/office/drawing/2010/main"/>
                      </a:ext>
                    </a:extLst>
                  </pic:spPr>
                </pic:pic>
              </a:graphicData>
            </a:graphic>
          </wp:inline>
        </w:drawing>
      </w:r>
    </w:p>
    <w:p w14:paraId="15721A0A" w14:textId="1ED6E2E1" w:rsidR="008A4B4F" w:rsidRPr="00840E64" w:rsidRDefault="000C0939" w:rsidP="000C0939">
      <w:pPr>
        <w:pStyle w:val="Caption"/>
        <w:rPr>
          <w:b w:val="0"/>
        </w:rPr>
      </w:pPr>
      <w:bookmarkStart w:id="843" w:name="_Ref480740015"/>
      <w:bookmarkStart w:id="844" w:name="_Toc502499837"/>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1</w:t>
      </w:r>
      <w:r w:rsidR="00C91BF5">
        <w:fldChar w:fldCharType="end"/>
      </w:r>
      <w:bookmarkEnd w:id="843"/>
      <w:r w:rsidR="008A4B4F">
        <w:rPr>
          <w:b w:val="0"/>
        </w:rPr>
        <w:t>:</w:t>
      </w:r>
      <w:r w:rsidR="008A4B4F" w:rsidRPr="00840E64">
        <w:rPr>
          <w:b w:val="0"/>
        </w:rPr>
        <w:t xml:space="preserve"> Temporal trends in PSII-</w:t>
      </w:r>
      <w:r w:rsidR="009D307F">
        <w:rPr>
          <w:b w:val="0"/>
        </w:rPr>
        <w:t>HEq</w:t>
      </w:r>
      <w:r w:rsidR="008A4B4F" w:rsidRPr="00840E64">
        <w:rPr>
          <w:b w:val="0"/>
        </w:rPr>
        <w:t xml:space="preserve"> with respect to </w:t>
      </w:r>
      <w:r w:rsidR="000A467A">
        <w:rPr>
          <w:b w:val="0"/>
        </w:rPr>
        <w:t xml:space="preserve">(top graph) </w:t>
      </w:r>
      <w:r w:rsidR="00833F32" w:rsidRPr="00840E64">
        <w:rPr>
          <w:b w:val="0"/>
        </w:rPr>
        <w:t xml:space="preserve">river </w:t>
      </w:r>
      <w:r w:rsidR="008A4B4F" w:rsidRPr="00840E64">
        <w:rPr>
          <w:b w:val="0"/>
        </w:rPr>
        <w:t xml:space="preserve">flow rate influencing passive sampler site at Low Isles in the Wet Tropics region since </w:t>
      </w:r>
      <w:r w:rsidR="00833F32">
        <w:rPr>
          <w:b w:val="0"/>
        </w:rPr>
        <w:t>2005 and (bottom graph) flood plume colour class for 2015-16</w:t>
      </w:r>
      <w:r w:rsidR="008A4B4F">
        <w:rPr>
          <w:b w:val="0"/>
        </w:rPr>
        <w:t xml:space="preserve">. </w:t>
      </w:r>
      <w:bookmarkStart w:id="845" w:name="OLE_LINK6"/>
      <w:r w:rsidR="008A4B4F" w:rsidRPr="006116EF">
        <w:rPr>
          <w:b w:val="0"/>
        </w:rPr>
        <w:t>Flow data provided by Department of Environment and Resource Management, Stream Gauging Network</w:t>
      </w:r>
      <w:r w:rsidR="00833F32">
        <w:rPr>
          <w:b w:val="0"/>
        </w:rPr>
        <w:t>.</w:t>
      </w:r>
      <w:r w:rsidR="008A4B4F">
        <w:rPr>
          <w:b w:val="0"/>
        </w:rPr>
        <w:t xml:space="preserve"> Colour class data provided by Dieter Tracey (JCU)</w:t>
      </w:r>
      <w:bookmarkEnd w:id="844"/>
    </w:p>
    <w:bookmarkEnd w:id="845"/>
    <w:p w14:paraId="15721A0B" w14:textId="77777777" w:rsidR="0028187A" w:rsidRDefault="0028187A" w:rsidP="0028187A">
      <w:pPr>
        <w:pStyle w:val="Caption"/>
      </w:pPr>
    </w:p>
    <w:p w14:paraId="15721A0C" w14:textId="179E7564" w:rsidR="00AC2D94" w:rsidRDefault="00833F32" w:rsidP="0028187A">
      <w:pPr>
        <w:pStyle w:val="Caption"/>
      </w:pPr>
      <w:r w:rsidRPr="00833F32">
        <w:rPr>
          <w:noProof/>
          <w:lang w:val="en-AU" w:eastAsia="en-AU" w:bidi="ar-SA"/>
        </w:rPr>
        <w:drawing>
          <wp:inline distT="0" distB="0" distL="0" distR="0" wp14:anchorId="680E6D37" wp14:editId="0E44A16C">
            <wp:extent cx="6743700" cy="8373281"/>
            <wp:effectExtent l="0" t="0" r="0" b="0"/>
            <wp:docPr id="11" name="Picture 11" descr="Figure H 2: Temporal trends in PSII-HEq with respect to (top graph) river flow rate influencing passive sampler site at High Island in the Wet Tropics region since 2006 and (bottom graph) flood plume colour class for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743700" cy="8373281"/>
                    </a:xfrm>
                    <a:prstGeom prst="rect">
                      <a:avLst/>
                    </a:prstGeom>
                    <a:noFill/>
                    <a:ln>
                      <a:noFill/>
                    </a:ln>
                  </pic:spPr>
                </pic:pic>
              </a:graphicData>
            </a:graphic>
          </wp:inline>
        </w:drawing>
      </w:r>
    </w:p>
    <w:p w14:paraId="15721A0D" w14:textId="7E332B17" w:rsidR="00833F32" w:rsidRPr="00840E64" w:rsidRDefault="0028187A" w:rsidP="00833F32">
      <w:pPr>
        <w:pStyle w:val="Caption"/>
        <w:rPr>
          <w:b w:val="0"/>
        </w:rPr>
      </w:pPr>
      <w:bookmarkStart w:id="846" w:name="_Toc502499838"/>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2</w:t>
      </w:r>
      <w:r w:rsidR="00C91BF5">
        <w:fldChar w:fldCharType="end"/>
      </w:r>
      <w:r>
        <w:rPr>
          <w:b w:val="0"/>
        </w:rPr>
        <w:t>:</w:t>
      </w:r>
      <w:r w:rsidRPr="00840E64">
        <w:rPr>
          <w:b w:val="0"/>
        </w:rPr>
        <w:t xml:space="preserve"> </w:t>
      </w:r>
      <w:r w:rsidR="00833F32" w:rsidRPr="00840E64">
        <w:rPr>
          <w:b w:val="0"/>
        </w:rPr>
        <w:t>Temporal trends in PSII-</w:t>
      </w:r>
      <w:r w:rsidR="00833F32">
        <w:rPr>
          <w:b w:val="0"/>
        </w:rPr>
        <w:t>HEq</w:t>
      </w:r>
      <w:r w:rsidR="00833F32" w:rsidRPr="00840E64">
        <w:rPr>
          <w:b w:val="0"/>
        </w:rPr>
        <w:t xml:space="preserve"> with respect to </w:t>
      </w:r>
      <w:r w:rsidR="00833F32">
        <w:rPr>
          <w:b w:val="0"/>
        </w:rPr>
        <w:t xml:space="preserve">(top graph) </w:t>
      </w:r>
      <w:r w:rsidR="00833F32" w:rsidRPr="00840E64">
        <w:rPr>
          <w:b w:val="0"/>
        </w:rPr>
        <w:t xml:space="preserve">river flow rate influencing passive sampler site at </w:t>
      </w:r>
      <w:r w:rsidR="00833F32">
        <w:rPr>
          <w:b w:val="0"/>
        </w:rPr>
        <w:t>High Island</w:t>
      </w:r>
      <w:r w:rsidR="00833F32" w:rsidRPr="00840E64">
        <w:rPr>
          <w:b w:val="0"/>
        </w:rPr>
        <w:t xml:space="preserve"> in the Wet Tropics region since </w:t>
      </w:r>
      <w:r w:rsidR="00833F32">
        <w:rPr>
          <w:b w:val="0"/>
        </w:rPr>
        <w:t xml:space="preserve">2006 and (bottom graph) flood plume colour class for 2015-16. </w:t>
      </w:r>
      <w:r w:rsidR="00833F32" w:rsidRPr="006116EF">
        <w:rPr>
          <w:b w:val="0"/>
        </w:rPr>
        <w:t>Flow data provided by Department of Environment and Resource Management, Stream Gauging Network</w:t>
      </w:r>
      <w:r w:rsidR="00833F32">
        <w:rPr>
          <w:b w:val="0"/>
        </w:rPr>
        <w:t>. No monitoring data were available 2009-2015. Colour class data provided by Dieter Tracey (JCU)</w:t>
      </w:r>
      <w:bookmarkEnd w:id="846"/>
    </w:p>
    <w:p w14:paraId="15721A0E" w14:textId="4BA93D2B" w:rsidR="0028187A" w:rsidRPr="00840E64" w:rsidRDefault="0028187A" w:rsidP="0028187A">
      <w:pPr>
        <w:pStyle w:val="Caption"/>
        <w:rPr>
          <w:b w:val="0"/>
        </w:rPr>
      </w:pPr>
    </w:p>
    <w:p w14:paraId="15721A0F" w14:textId="77777777" w:rsidR="0028187A" w:rsidRDefault="0028187A" w:rsidP="0028187A">
      <w:pPr>
        <w:rPr>
          <w:lang w:val="en-AU" w:eastAsia="en-AU"/>
        </w:rPr>
      </w:pPr>
    </w:p>
    <w:p w14:paraId="15721A10" w14:textId="77777777" w:rsidR="0059608E" w:rsidRPr="00840E64" w:rsidRDefault="0059608E" w:rsidP="00840E64">
      <w:pPr>
        <w:pStyle w:val="Caption"/>
        <w:keepNext/>
        <w:spacing w:line="276" w:lineRule="auto"/>
        <w:rPr>
          <w:b w:val="0"/>
        </w:rPr>
        <w:sectPr w:rsidR="0059608E" w:rsidRPr="00840E64" w:rsidSect="00070AE2">
          <w:pgSz w:w="11907" w:h="16840" w:code="9"/>
          <w:pgMar w:top="851" w:right="720" w:bottom="720" w:left="567" w:header="709" w:footer="709" w:gutter="0"/>
          <w:cols w:space="708"/>
          <w:docGrid w:linePitch="360"/>
        </w:sectPr>
      </w:pPr>
    </w:p>
    <w:p w14:paraId="15721A11" w14:textId="77777777" w:rsidR="006C2C7F" w:rsidRDefault="00B70FEF" w:rsidP="00015606">
      <w:pPr>
        <w:keepNext/>
        <w:tabs>
          <w:tab w:val="left" w:pos="567"/>
        </w:tabs>
        <w:spacing w:line="276" w:lineRule="auto"/>
      </w:pPr>
      <w:r w:rsidRPr="00B70FEF">
        <w:rPr>
          <w:noProof/>
          <w:lang w:val="en-AU" w:eastAsia="en-AU" w:bidi="ar-SA"/>
        </w:rPr>
        <w:drawing>
          <wp:inline distT="0" distB="0" distL="0" distR="0" wp14:anchorId="15721AAE" wp14:editId="0E273BFB">
            <wp:extent cx="6768000" cy="8352495"/>
            <wp:effectExtent l="0" t="0" r="0" b="0"/>
            <wp:docPr id="7222" name="Picture 7222" descr="Figure H 3: Temporal trends in PSII-HEq with respect to (top graph) river flow rate influencing passive sampler site at Dunk Island in the Wet Tropics region since 2007 and (bottom graph) flood plume colour class for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rotWithShape="1">
                    <a:blip r:embed="rId86" cstate="print">
                      <a:extLst>
                        <a:ext uri="{28A0092B-C50C-407E-A947-70E740481C1C}">
                          <a14:useLocalDpi xmlns:a14="http://schemas.microsoft.com/office/drawing/2010/main" val="0"/>
                        </a:ext>
                      </a:extLst>
                    </a:blip>
                    <a:srcRect r="2616"/>
                    <a:stretch/>
                  </pic:blipFill>
                  <pic:spPr bwMode="auto">
                    <a:xfrm>
                      <a:off x="0" y="0"/>
                      <a:ext cx="6768000" cy="8352495"/>
                    </a:xfrm>
                    <a:prstGeom prst="rect">
                      <a:avLst/>
                    </a:prstGeom>
                    <a:noFill/>
                    <a:ln>
                      <a:noFill/>
                    </a:ln>
                    <a:extLst>
                      <a:ext uri="{53640926-AAD7-44D8-BBD7-CCE9431645EC}">
                        <a14:shadowObscured xmlns:a14="http://schemas.microsoft.com/office/drawing/2010/main"/>
                      </a:ext>
                    </a:extLst>
                  </pic:spPr>
                </pic:pic>
              </a:graphicData>
            </a:graphic>
          </wp:inline>
        </w:drawing>
      </w:r>
    </w:p>
    <w:p w14:paraId="15721A12" w14:textId="385AF4AD" w:rsidR="0059608E" w:rsidRPr="00840E64" w:rsidRDefault="000C0939" w:rsidP="00840E64">
      <w:pPr>
        <w:pStyle w:val="Caption"/>
        <w:keepNext/>
        <w:spacing w:line="276" w:lineRule="auto"/>
        <w:rPr>
          <w:b w:val="0"/>
        </w:rPr>
      </w:pPr>
      <w:bookmarkStart w:id="847" w:name="_Toc502499839"/>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3</w:t>
      </w:r>
      <w:r w:rsidR="00C91BF5">
        <w:fldChar w:fldCharType="end"/>
      </w:r>
      <w:r w:rsidR="00840E64">
        <w:rPr>
          <w:b w:val="0"/>
        </w:rPr>
        <w:t>:</w:t>
      </w:r>
      <w:r w:rsidR="006C2C7F" w:rsidRPr="00840E64">
        <w:rPr>
          <w:b w:val="0"/>
        </w:rPr>
        <w:t xml:space="preserve"> </w:t>
      </w:r>
      <w:r w:rsidR="00833F32" w:rsidRPr="00840E64">
        <w:rPr>
          <w:b w:val="0"/>
        </w:rPr>
        <w:t>Temporal trends in PSII-</w:t>
      </w:r>
      <w:r w:rsidR="00833F32">
        <w:rPr>
          <w:b w:val="0"/>
        </w:rPr>
        <w:t>HEq</w:t>
      </w:r>
      <w:r w:rsidR="00833F32" w:rsidRPr="00840E64">
        <w:rPr>
          <w:b w:val="0"/>
        </w:rPr>
        <w:t xml:space="preserve"> with respect to </w:t>
      </w:r>
      <w:r w:rsidR="00833F32">
        <w:rPr>
          <w:b w:val="0"/>
        </w:rPr>
        <w:t xml:space="preserve">(top graph) </w:t>
      </w:r>
      <w:r w:rsidR="00833F32" w:rsidRPr="00840E64">
        <w:rPr>
          <w:b w:val="0"/>
        </w:rPr>
        <w:t xml:space="preserve">river flow rate influencing passive sampler site at </w:t>
      </w:r>
      <w:r w:rsidR="00833F32">
        <w:rPr>
          <w:b w:val="0"/>
        </w:rPr>
        <w:t>Dunk Island</w:t>
      </w:r>
      <w:r w:rsidR="00833F32" w:rsidRPr="00840E64">
        <w:rPr>
          <w:b w:val="0"/>
        </w:rPr>
        <w:t xml:space="preserve"> in the Wet Tropics region since </w:t>
      </w:r>
      <w:r w:rsidR="00833F32">
        <w:rPr>
          <w:b w:val="0"/>
        </w:rPr>
        <w:t xml:space="preserve">2007 and (bottom graph) flood plume colour class for 2015-16. </w:t>
      </w:r>
      <w:r w:rsidR="00833F32" w:rsidRPr="006116EF">
        <w:rPr>
          <w:b w:val="0"/>
        </w:rPr>
        <w:t>Flow data provided by Department of Environment and Resource Management, Stream Gauging Network</w:t>
      </w:r>
      <w:r w:rsidR="00833F32">
        <w:rPr>
          <w:b w:val="0"/>
        </w:rPr>
        <w:t>. Colour class data provided by Dieter Tracey (JCU).</w:t>
      </w:r>
      <w:bookmarkEnd w:id="847"/>
    </w:p>
    <w:p w14:paraId="15721A13" w14:textId="77777777" w:rsidR="00613561" w:rsidRDefault="00B70FEF" w:rsidP="00015606">
      <w:pPr>
        <w:keepNext/>
        <w:spacing w:line="276" w:lineRule="auto"/>
        <w:jc w:val="center"/>
      </w:pPr>
      <w:r w:rsidRPr="00B70FEF">
        <w:rPr>
          <w:noProof/>
          <w:lang w:val="en-AU" w:eastAsia="en-AU" w:bidi="ar-SA"/>
        </w:rPr>
        <w:drawing>
          <wp:inline distT="0" distB="0" distL="0" distR="0" wp14:anchorId="15721AB0" wp14:editId="51FA4A69">
            <wp:extent cx="6650182" cy="8384524"/>
            <wp:effectExtent l="0" t="0" r="0" b="0"/>
            <wp:docPr id="7223" name="Picture 7223" descr="Figure H 4: Temporal trends in PSII-HEq with respect to (top graph) river flow rate influencing passive sampler site at Normanby Island in the Wet Tropics region since 2005 and (bottom graph) flood plume colour class for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t="1429" r="1739" b="2868"/>
                    <a:stretch/>
                  </pic:blipFill>
                  <pic:spPr bwMode="auto">
                    <a:xfrm>
                      <a:off x="0" y="0"/>
                      <a:ext cx="6650349" cy="8384735"/>
                    </a:xfrm>
                    <a:prstGeom prst="rect">
                      <a:avLst/>
                    </a:prstGeom>
                    <a:noFill/>
                    <a:ln>
                      <a:noFill/>
                    </a:ln>
                    <a:extLst>
                      <a:ext uri="{53640926-AAD7-44D8-BBD7-CCE9431645EC}">
                        <a14:shadowObscured xmlns:a14="http://schemas.microsoft.com/office/drawing/2010/main"/>
                      </a:ext>
                    </a:extLst>
                  </pic:spPr>
                </pic:pic>
              </a:graphicData>
            </a:graphic>
          </wp:inline>
        </w:drawing>
      </w:r>
    </w:p>
    <w:p w14:paraId="15721A14" w14:textId="48445016" w:rsidR="0059608E" w:rsidRPr="00840E64" w:rsidRDefault="000C0939" w:rsidP="00840E64">
      <w:pPr>
        <w:pStyle w:val="Caption"/>
        <w:keepNext/>
        <w:spacing w:line="276" w:lineRule="auto"/>
        <w:rPr>
          <w:b w:val="0"/>
        </w:rPr>
      </w:pPr>
      <w:bookmarkStart w:id="848" w:name="_Toc502499840"/>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4</w:t>
      </w:r>
      <w:r w:rsidR="00C91BF5">
        <w:fldChar w:fldCharType="end"/>
      </w:r>
      <w:r w:rsidR="00840E64">
        <w:rPr>
          <w:b w:val="0"/>
        </w:rPr>
        <w:t>:</w:t>
      </w:r>
      <w:r w:rsidR="00613561" w:rsidRPr="00840E64">
        <w:rPr>
          <w:b w:val="0"/>
        </w:rPr>
        <w:t xml:space="preserve"> </w:t>
      </w:r>
      <w:r w:rsidR="00833F32" w:rsidRPr="00833F32">
        <w:rPr>
          <w:b w:val="0"/>
        </w:rPr>
        <w:t xml:space="preserve">Temporal trends in PSII-HEq with respect to (top graph) river flow rate influencing passive sampler site at </w:t>
      </w:r>
      <w:r w:rsidR="00833F32">
        <w:rPr>
          <w:b w:val="0"/>
        </w:rPr>
        <w:t>Normanby Island</w:t>
      </w:r>
      <w:r w:rsidR="00833F32" w:rsidRPr="00833F32">
        <w:rPr>
          <w:b w:val="0"/>
        </w:rPr>
        <w:t xml:space="preserve"> in the Wet Tropics region since 2005 and (bottom graph) flood plume colour class for 2015-16. Flow data provided by Department of Environment and Resource Management, Stream Gauging Network. Colour class data provided by Dieter Tracey (JCU)</w:t>
      </w:r>
      <w:bookmarkEnd w:id="848"/>
    </w:p>
    <w:p w14:paraId="15721A15" w14:textId="77777777" w:rsidR="0059608E" w:rsidRPr="00840E64" w:rsidRDefault="0059608E" w:rsidP="00840E64">
      <w:pPr>
        <w:pStyle w:val="Caption"/>
        <w:keepNext/>
        <w:spacing w:line="276" w:lineRule="auto"/>
        <w:rPr>
          <w:b w:val="0"/>
        </w:rPr>
        <w:sectPr w:rsidR="0059608E" w:rsidRPr="00840E64" w:rsidSect="006130D4">
          <w:type w:val="continuous"/>
          <w:pgSz w:w="11907" w:h="16840" w:code="9"/>
          <w:pgMar w:top="720" w:right="720" w:bottom="720" w:left="567" w:header="709" w:footer="709" w:gutter="0"/>
          <w:cols w:space="708"/>
          <w:docGrid w:linePitch="360"/>
        </w:sectPr>
      </w:pPr>
    </w:p>
    <w:p w14:paraId="15721A16" w14:textId="77777777" w:rsidR="003115C8" w:rsidRDefault="000A66D4" w:rsidP="00015606">
      <w:pPr>
        <w:keepNext/>
        <w:spacing w:line="276" w:lineRule="auto"/>
        <w:jc w:val="center"/>
      </w:pPr>
      <w:bookmarkStart w:id="849" w:name="OLE_LINK12"/>
      <w:r w:rsidRPr="00B70FEF">
        <w:rPr>
          <w:noProof/>
          <w:lang w:val="en-AU" w:eastAsia="en-AU" w:bidi="ar-SA"/>
        </w:rPr>
        <w:drawing>
          <wp:inline distT="0" distB="0" distL="0" distR="0" wp14:anchorId="15721AB2" wp14:editId="5697047C">
            <wp:extent cx="6696000" cy="8642562"/>
            <wp:effectExtent l="0" t="0" r="0" b="0"/>
            <wp:docPr id="7224" name="Picture 7224" descr="Figure H 5: Temporal trends in PSII-HEq with respect to (top graph) river flow rate influencing passive sampler site at Lucinda in the Wet Tropics region since 2005 and (bottom graph) flood plume colour class for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r="2921"/>
                    <a:stretch/>
                  </pic:blipFill>
                  <pic:spPr bwMode="auto">
                    <a:xfrm>
                      <a:off x="0" y="0"/>
                      <a:ext cx="6696000" cy="8642562"/>
                    </a:xfrm>
                    <a:prstGeom prst="rect">
                      <a:avLst/>
                    </a:prstGeom>
                    <a:noFill/>
                    <a:ln>
                      <a:noFill/>
                    </a:ln>
                    <a:extLst>
                      <a:ext uri="{53640926-AAD7-44D8-BBD7-CCE9431645EC}">
                        <a14:shadowObscured xmlns:a14="http://schemas.microsoft.com/office/drawing/2010/main"/>
                      </a:ext>
                    </a:extLst>
                  </pic:spPr>
                </pic:pic>
              </a:graphicData>
            </a:graphic>
          </wp:inline>
        </w:drawing>
      </w:r>
    </w:p>
    <w:p w14:paraId="15721A17" w14:textId="43E3859B" w:rsidR="0059608E" w:rsidRPr="00840E64" w:rsidRDefault="000C0939" w:rsidP="00840E64">
      <w:pPr>
        <w:pStyle w:val="Caption"/>
        <w:keepNext/>
        <w:spacing w:line="276" w:lineRule="auto"/>
        <w:rPr>
          <w:b w:val="0"/>
        </w:rPr>
      </w:pPr>
      <w:bookmarkStart w:id="850" w:name="_Ref480740022"/>
      <w:bookmarkStart w:id="851" w:name="_Toc502499841"/>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5</w:t>
      </w:r>
      <w:r w:rsidR="00C91BF5">
        <w:fldChar w:fldCharType="end"/>
      </w:r>
      <w:bookmarkEnd w:id="850"/>
      <w:r w:rsidR="00840E64">
        <w:rPr>
          <w:b w:val="0"/>
        </w:rPr>
        <w:t>:</w:t>
      </w:r>
      <w:r w:rsidR="003115C8" w:rsidRPr="00840E64">
        <w:rPr>
          <w:b w:val="0"/>
        </w:rPr>
        <w:t xml:space="preserve"> </w:t>
      </w:r>
      <w:r w:rsidR="00833F32" w:rsidRPr="00840E64">
        <w:rPr>
          <w:b w:val="0"/>
        </w:rPr>
        <w:t>Temporal trends in PSII-</w:t>
      </w:r>
      <w:r w:rsidR="00833F32">
        <w:rPr>
          <w:b w:val="0"/>
        </w:rPr>
        <w:t>HEq</w:t>
      </w:r>
      <w:r w:rsidR="00833F32" w:rsidRPr="00840E64">
        <w:rPr>
          <w:b w:val="0"/>
        </w:rPr>
        <w:t xml:space="preserve"> with respect to </w:t>
      </w:r>
      <w:r w:rsidR="00833F32">
        <w:rPr>
          <w:b w:val="0"/>
        </w:rPr>
        <w:t xml:space="preserve">(top graph) </w:t>
      </w:r>
      <w:r w:rsidR="00833F32" w:rsidRPr="00840E64">
        <w:rPr>
          <w:b w:val="0"/>
        </w:rPr>
        <w:t xml:space="preserve">river flow rate influencing passive sampler site at </w:t>
      </w:r>
      <w:r w:rsidR="00AE5617" w:rsidRPr="00840E64">
        <w:rPr>
          <w:b w:val="0"/>
        </w:rPr>
        <w:t xml:space="preserve">Lucinda </w:t>
      </w:r>
      <w:r w:rsidR="00833F32" w:rsidRPr="00840E64">
        <w:rPr>
          <w:b w:val="0"/>
        </w:rPr>
        <w:t xml:space="preserve">in the </w:t>
      </w:r>
      <w:r w:rsidR="00AE5617">
        <w:rPr>
          <w:b w:val="0"/>
        </w:rPr>
        <w:t>Wet Tropics</w:t>
      </w:r>
      <w:r w:rsidR="00AE5617" w:rsidRPr="00840E64">
        <w:rPr>
          <w:b w:val="0"/>
        </w:rPr>
        <w:t xml:space="preserve"> </w:t>
      </w:r>
      <w:r w:rsidR="00833F32" w:rsidRPr="00840E64">
        <w:rPr>
          <w:b w:val="0"/>
        </w:rPr>
        <w:t xml:space="preserve">region since </w:t>
      </w:r>
      <w:r w:rsidR="00833F32">
        <w:rPr>
          <w:b w:val="0"/>
        </w:rPr>
        <w:t xml:space="preserve">2005 and (bottom graph) flood plume colour class for 2015-16. </w:t>
      </w:r>
      <w:r w:rsidR="00833F32" w:rsidRPr="006116EF">
        <w:rPr>
          <w:b w:val="0"/>
        </w:rPr>
        <w:t>Flow data provided by Department of Environment and Resource Management, Stream Gauging Network</w:t>
      </w:r>
      <w:r w:rsidR="00833F32">
        <w:rPr>
          <w:b w:val="0"/>
        </w:rPr>
        <w:t>. Colour class data provided by Dieter Tracey (JCU)</w:t>
      </w:r>
      <w:r w:rsidR="00AE5617">
        <w:rPr>
          <w:b w:val="0"/>
        </w:rPr>
        <w:t>.</w:t>
      </w:r>
      <w:bookmarkEnd w:id="851"/>
    </w:p>
    <w:p w14:paraId="15721A18" w14:textId="77777777" w:rsidR="0059608E" w:rsidRPr="00840E64" w:rsidRDefault="0059608E" w:rsidP="00840E64">
      <w:pPr>
        <w:pStyle w:val="Caption"/>
        <w:keepNext/>
        <w:spacing w:line="276" w:lineRule="auto"/>
        <w:rPr>
          <w:b w:val="0"/>
        </w:rPr>
        <w:sectPr w:rsidR="0059608E" w:rsidRPr="00840E64" w:rsidSect="006130D4">
          <w:pgSz w:w="11907" w:h="16840" w:code="9"/>
          <w:pgMar w:top="720" w:right="720" w:bottom="720" w:left="567" w:header="709" w:footer="709" w:gutter="0"/>
          <w:cols w:space="708"/>
          <w:docGrid w:linePitch="360"/>
        </w:sectPr>
      </w:pPr>
    </w:p>
    <w:p w14:paraId="15721A19" w14:textId="77777777" w:rsidR="00042332" w:rsidRDefault="000A66D4" w:rsidP="00015606">
      <w:pPr>
        <w:keepNext/>
        <w:spacing w:line="276" w:lineRule="auto"/>
      </w:pPr>
      <w:r w:rsidRPr="000A66D4">
        <w:rPr>
          <w:noProof/>
          <w:lang w:val="en-AU" w:eastAsia="en-AU" w:bidi="ar-SA"/>
        </w:rPr>
        <w:drawing>
          <wp:inline distT="0" distB="0" distL="0" distR="0" wp14:anchorId="15721AB4" wp14:editId="51C919CF">
            <wp:extent cx="6516000" cy="8511363"/>
            <wp:effectExtent l="0" t="0" r="0" b="0"/>
            <wp:docPr id="7226" name="Picture 7226" descr="Figure H 6: Temporal trends in PSII-HEq with respect to (top graph) river flow rate influencing passive sampler site at Barratta Creek mouth in the Burdekin region since 2005 and (bottom graph) flood plume colour class for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r="4065"/>
                    <a:stretch/>
                  </pic:blipFill>
                  <pic:spPr bwMode="auto">
                    <a:xfrm>
                      <a:off x="0" y="0"/>
                      <a:ext cx="6516000" cy="8511363"/>
                    </a:xfrm>
                    <a:prstGeom prst="rect">
                      <a:avLst/>
                    </a:prstGeom>
                    <a:noFill/>
                    <a:ln>
                      <a:noFill/>
                    </a:ln>
                    <a:extLst>
                      <a:ext uri="{53640926-AAD7-44D8-BBD7-CCE9431645EC}">
                        <a14:shadowObscured xmlns:a14="http://schemas.microsoft.com/office/drawing/2010/main"/>
                      </a:ext>
                    </a:extLst>
                  </pic:spPr>
                </pic:pic>
              </a:graphicData>
            </a:graphic>
          </wp:inline>
        </w:drawing>
      </w:r>
    </w:p>
    <w:p w14:paraId="15721A1A" w14:textId="78F345C2" w:rsidR="0059608E" w:rsidRPr="00836530" w:rsidRDefault="000C0939" w:rsidP="00836530">
      <w:pPr>
        <w:pStyle w:val="Caption"/>
        <w:keepNext/>
        <w:spacing w:line="276" w:lineRule="auto"/>
        <w:rPr>
          <w:b w:val="0"/>
        </w:rPr>
      </w:pPr>
      <w:bookmarkStart w:id="852" w:name="_Ref480735415"/>
      <w:bookmarkStart w:id="853" w:name="_Toc502499842"/>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6</w:t>
      </w:r>
      <w:r w:rsidR="00C91BF5">
        <w:fldChar w:fldCharType="end"/>
      </w:r>
      <w:bookmarkEnd w:id="852"/>
      <w:r w:rsidR="00836530">
        <w:rPr>
          <w:b w:val="0"/>
        </w:rPr>
        <w:t>:</w:t>
      </w:r>
      <w:r w:rsidR="00042332" w:rsidRPr="00836530">
        <w:rPr>
          <w:b w:val="0"/>
        </w:rPr>
        <w:t xml:space="preserve"> </w:t>
      </w:r>
      <w:r w:rsidR="00AE5617" w:rsidRPr="00840E64">
        <w:rPr>
          <w:b w:val="0"/>
        </w:rPr>
        <w:t>Temporal trends in PSII-</w:t>
      </w:r>
      <w:r w:rsidR="00AE5617">
        <w:rPr>
          <w:b w:val="0"/>
        </w:rPr>
        <w:t>HEq</w:t>
      </w:r>
      <w:r w:rsidR="00AE5617" w:rsidRPr="00840E64">
        <w:rPr>
          <w:b w:val="0"/>
        </w:rPr>
        <w:t xml:space="preserve"> with respect to </w:t>
      </w:r>
      <w:r w:rsidR="00AE5617">
        <w:rPr>
          <w:b w:val="0"/>
        </w:rPr>
        <w:t xml:space="preserve">(top graph) </w:t>
      </w:r>
      <w:r w:rsidR="00AE5617" w:rsidRPr="00840E64">
        <w:rPr>
          <w:b w:val="0"/>
        </w:rPr>
        <w:t xml:space="preserve">river flow rate influencing passive sampler site at </w:t>
      </w:r>
      <w:r w:rsidR="00AE5617" w:rsidRPr="00836530">
        <w:rPr>
          <w:b w:val="0"/>
        </w:rPr>
        <w:t>Barratta Creek mouth</w:t>
      </w:r>
      <w:r w:rsidR="00AE5617" w:rsidRPr="00840E64">
        <w:rPr>
          <w:b w:val="0"/>
        </w:rPr>
        <w:t xml:space="preserve"> in the Burdekin region since </w:t>
      </w:r>
      <w:r w:rsidR="00AE5617">
        <w:rPr>
          <w:b w:val="0"/>
        </w:rPr>
        <w:t xml:space="preserve">2005 and (bottom graph) flood plume colour class for 2015-16. </w:t>
      </w:r>
      <w:r w:rsidR="00AE5617" w:rsidRPr="006116EF">
        <w:rPr>
          <w:b w:val="0"/>
        </w:rPr>
        <w:t>Flow data provided by Department of Environment and Resource Management, Stream Gauging Network</w:t>
      </w:r>
      <w:r w:rsidR="00AE5617">
        <w:rPr>
          <w:b w:val="0"/>
        </w:rPr>
        <w:t>. Colour class data provided by Dieter Tracey (JCU).</w:t>
      </w:r>
      <w:bookmarkEnd w:id="853"/>
    </w:p>
    <w:p w14:paraId="15721A1B" w14:textId="77777777" w:rsidR="00E672AE" w:rsidRDefault="00E672AE" w:rsidP="00015606">
      <w:pPr>
        <w:keepNext/>
        <w:spacing w:line="276" w:lineRule="auto"/>
      </w:pPr>
    </w:p>
    <w:p w14:paraId="15721A1C" w14:textId="77777777" w:rsidR="000A66D4" w:rsidRDefault="000A66D4" w:rsidP="00836530">
      <w:pPr>
        <w:pStyle w:val="Caption"/>
        <w:keepNext/>
        <w:spacing w:line="276" w:lineRule="auto"/>
      </w:pPr>
    </w:p>
    <w:p w14:paraId="15721A1D" w14:textId="77777777" w:rsidR="000A66D4" w:rsidRDefault="000A66D4" w:rsidP="00836530">
      <w:pPr>
        <w:pStyle w:val="Caption"/>
        <w:keepNext/>
        <w:spacing w:line="276" w:lineRule="auto"/>
      </w:pPr>
      <w:r w:rsidRPr="000A66D4">
        <w:rPr>
          <w:noProof/>
          <w:lang w:val="en-AU" w:eastAsia="en-AU" w:bidi="ar-SA"/>
        </w:rPr>
        <w:drawing>
          <wp:inline distT="0" distB="0" distL="0" distR="0" wp14:anchorId="15721AB6" wp14:editId="74373DBC">
            <wp:extent cx="6682153" cy="8477243"/>
            <wp:effectExtent l="0" t="0" r="0" b="0"/>
            <wp:docPr id="7227" name="Picture 7227" descr="Figure H 7: Temporal trends in PSII-HEq with respect to (top graph) river flow rate influencing passive sampler site at Repulse Bay in the Mackay Whitsunday region since 2005 and (bottom graph) flood plume colour class for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rotWithShape="1">
                    <a:blip r:embed="rId90" cstate="print">
                      <a:extLst>
                        <a:ext uri="{28A0092B-C50C-407E-A947-70E740481C1C}">
                          <a14:useLocalDpi xmlns:a14="http://schemas.microsoft.com/office/drawing/2010/main" val="0"/>
                        </a:ext>
                      </a:extLst>
                    </a:blip>
                    <a:srcRect r="3200"/>
                    <a:stretch/>
                  </pic:blipFill>
                  <pic:spPr bwMode="auto">
                    <a:xfrm>
                      <a:off x="0" y="0"/>
                      <a:ext cx="6689670" cy="8486780"/>
                    </a:xfrm>
                    <a:prstGeom prst="rect">
                      <a:avLst/>
                    </a:prstGeom>
                    <a:noFill/>
                    <a:ln>
                      <a:noFill/>
                    </a:ln>
                    <a:extLst>
                      <a:ext uri="{53640926-AAD7-44D8-BBD7-CCE9431645EC}">
                        <a14:shadowObscured xmlns:a14="http://schemas.microsoft.com/office/drawing/2010/main"/>
                      </a:ext>
                    </a:extLst>
                  </pic:spPr>
                </pic:pic>
              </a:graphicData>
            </a:graphic>
          </wp:inline>
        </w:drawing>
      </w:r>
    </w:p>
    <w:p w14:paraId="102DC5EB" w14:textId="3A0CCC9B" w:rsidR="00AE5617" w:rsidRDefault="000C0939" w:rsidP="00AE5617">
      <w:pPr>
        <w:pStyle w:val="Caption"/>
        <w:keepNext/>
        <w:spacing w:line="276" w:lineRule="auto"/>
        <w:rPr>
          <w:b w:val="0"/>
        </w:rPr>
      </w:pPr>
      <w:bookmarkStart w:id="854" w:name="_Ref480752529"/>
      <w:bookmarkStart w:id="855" w:name="_Toc502499843"/>
      <w:bookmarkStart w:id="856" w:name="_Toc480722979"/>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7</w:t>
      </w:r>
      <w:r w:rsidR="00C91BF5">
        <w:fldChar w:fldCharType="end"/>
      </w:r>
      <w:bookmarkEnd w:id="854"/>
      <w:r w:rsidR="00836530">
        <w:rPr>
          <w:b w:val="0"/>
        </w:rPr>
        <w:t>:</w:t>
      </w:r>
      <w:r w:rsidR="00E672AE" w:rsidRPr="00836530">
        <w:rPr>
          <w:b w:val="0"/>
        </w:rPr>
        <w:t xml:space="preserve"> </w:t>
      </w:r>
      <w:r w:rsidR="00AE5617" w:rsidRPr="00840E64">
        <w:rPr>
          <w:b w:val="0"/>
        </w:rPr>
        <w:t>Temporal trends in PSII-</w:t>
      </w:r>
      <w:r w:rsidR="00AE5617">
        <w:rPr>
          <w:b w:val="0"/>
        </w:rPr>
        <w:t>HEq</w:t>
      </w:r>
      <w:r w:rsidR="00AE5617" w:rsidRPr="00840E64">
        <w:rPr>
          <w:b w:val="0"/>
        </w:rPr>
        <w:t xml:space="preserve"> with respect to </w:t>
      </w:r>
      <w:r w:rsidR="00AE5617">
        <w:rPr>
          <w:b w:val="0"/>
        </w:rPr>
        <w:t xml:space="preserve">(top graph) </w:t>
      </w:r>
      <w:r w:rsidR="00AE5617" w:rsidRPr="00840E64">
        <w:rPr>
          <w:b w:val="0"/>
        </w:rPr>
        <w:t xml:space="preserve">river flow rate influencing passive sampler site at </w:t>
      </w:r>
      <w:r w:rsidR="00AE5617" w:rsidRPr="00836530">
        <w:rPr>
          <w:b w:val="0"/>
        </w:rPr>
        <w:t xml:space="preserve">Repulse Bay </w:t>
      </w:r>
      <w:r w:rsidR="00AE5617" w:rsidRPr="00840E64">
        <w:rPr>
          <w:b w:val="0"/>
        </w:rPr>
        <w:t xml:space="preserve">in the </w:t>
      </w:r>
      <w:r w:rsidR="00AE5617" w:rsidRPr="00836530">
        <w:rPr>
          <w:b w:val="0"/>
        </w:rPr>
        <w:t>Mackay Whitsunday</w:t>
      </w:r>
      <w:r w:rsidR="00AE5617" w:rsidRPr="00840E64">
        <w:rPr>
          <w:b w:val="0"/>
        </w:rPr>
        <w:t xml:space="preserve"> region since </w:t>
      </w:r>
      <w:r w:rsidR="00AE5617">
        <w:rPr>
          <w:b w:val="0"/>
        </w:rPr>
        <w:t xml:space="preserve">2005 and (bottom graph) flood plume colour class for 2015-16. </w:t>
      </w:r>
      <w:r w:rsidR="00AE5617" w:rsidRPr="006116EF">
        <w:rPr>
          <w:b w:val="0"/>
        </w:rPr>
        <w:t xml:space="preserve">Flow data provided by </w:t>
      </w:r>
      <w:r w:rsidR="00AE5617">
        <w:rPr>
          <w:b w:val="0"/>
        </w:rPr>
        <w:t>D</w:t>
      </w:r>
      <w:r w:rsidR="00AE5617" w:rsidRPr="006116EF">
        <w:rPr>
          <w:b w:val="0"/>
        </w:rPr>
        <w:t>epartment of Environment and Resource Management, Stream Gauging Network</w:t>
      </w:r>
      <w:r w:rsidR="00AE5617">
        <w:rPr>
          <w:b w:val="0"/>
        </w:rPr>
        <w:t>. Colour class data provided by Dieter Tracey (JCU).</w:t>
      </w:r>
      <w:bookmarkEnd w:id="855"/>
    </w:p>
    <w:p w14:paraId="18123518" w14:textId="77777777" w:rsidR="00AE5617" w:rsidRPr="00AE5617" w:rsidRDefault="00AE5617" w:rsidP="00AE5617"/>
    <w:bookmarkEnd w:id="856"/>
    <w:p w14:paraId="15721A21" w14:textId="0D62F043" w:rsidR="000B182C" w:rsidRDefault="00AE5617" w:rsidP="00836530">
      <w:pPr>
        <w:pStyle w:val="Caption"/>
        <w:keepNext/>
        <w:spacing w:line="276" w:lineRule="auto"/>
      </w:pPr>
      <w:r w:rsidRPr="00AE5617">
        <w:rPr>
          <w:noProof/>
          <w:lang w:val="en-AU" w:eastAsia="en-AU" w:bidi="ar-SA"/>
        </w:rPr>
        <w:drawing>
          <wp:inline distT="0" distB="0" distL="0" distR="0" wp14:anchorId="51A64608" wp14:editId="58161E2A">
            <wp:extent cx="6743700" cy="8385551"/>
            <wp:effectExtent l="0" t="0" r="0" b="0"/>
            <wp:docPr id="12" name="Picture 12" descr="Figure H 8: Temporal trends in PSII-HEq with respect to (top graph) river flow rate influencing passive sampler site at Round Top Island in the Mackay Whitsunday region since 2005 and (bottom graph) flood plume colour class for 2015-16. Flow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6743700" cy="8385551"/>
                    </a:xfrm>
                    <a:prstGeom prst="rect">
                      <a:avLst/>
                    </a:prstGeom>
                    <a:noFill/>
                    <a:ln>
                      <a:noFill/>
                    </a:ln>
                  </pic:spPr>
                </pic:pic>
              </a:graphicData>
            </a:graphic>
          </wp:inline>
        </w:drawing>
      </w:r>
    </w:p>
    <w:p w14:paraId="1A20D8A2" w14:textId="290DCF8D" w:rsidR="00AE5617" w:rsidRDefault="000C0939" w:rsidP="00836530">
      <w:pPr>
        <w:pStyle w:val="Caption"/>
        <w:keepNext/>
        <w:spacing w:line="276" w:lineRule="auto"/>
        <w:rPr>
          <w:b w:val="0"/>
        </w:rPr>
      </w:pPr>
      <w:bookmarkStart w:id="857" w:name="_Toc502499844"/>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8</w:t>
      </w:r>
      <w:r w:rsidR="00C91BF5">
        <w:fldChar w:fldCharType="end"/>
      </w:r>
      <w:r w:rsidR="00836530">
        <w:rPr>
          <w:b w:val="0"/>
        </w:rPr>
        <w:t>:</w:t>
      </w:r>
      <w:r w:rsidR="00E672AE" w:rsidRPr="00836530">
        <w:rPr>
          <w:b w:val="0"/>
        </w:rPr>
        <w:t xml:space="preserve"> </w:t>
      </w:r>
      <w:r w:rsidR="00AE5617" w:rsidRPr="00840E64">
        <w:rPr>
          <w:b w:val="0"/>
        </w:rPr>
        <w:t>Temporal trends in PSII-</w:t>
      </w:r>
      <w:r w:rsidR="00AE5617">
        <w:rPr>
          <w:b w:val="0"/>
        </w:rPr>
        <w:t>HEq</w:t>
      </w:r>
      <w:r w:rsidR="00AE5617" w:rsidRPr="00840E64">
        <w:rPr>
          <w:b w:val="0"/>
        </w:rPr>
        <w:t xml:space="preserve"> with respect to </w:t>
      </w:r>
      <w:r w:rsidR="00AE5617">
        <w:rPr>
          <w:b w:val="0"/>
        </w:rPr>
        <w:t xml:space="preserve">(top graph) </w:t>
      </w:r>
      <w:r w:rsidR="00AE5617" w:rsidRPr="00840E64">
        <w:rPr>
          <w:b w:val="0"/>
        </w:rPr>
        <w:t xml:space="preserve">river flow rate influencing passive sampler site at </w:t>
      </w:r>
      <w:r w:rsidR="00AE5617">
        <w:rPr>
          <w:b w:val="0"/>
        </w:rPr>
        <w:t>Round Top Island</w:t>
      </w:r>
      <w:r w:rsidR="00AE5617" w:rsidRPr="00836530">
        <w:rPr>
          <w:b w:val="0"/>
        </w:rPr>
        <w:t xml:space="preserve"> </w:t>
      </w:r>
      <w:r w:rsidR="00AE5617" w:rsidRPr="00840E64">
        <w:rPr>
          <w:b w:val="0"/>
        </w:rPr>
        <w:t xml:space="preserve">in the </w:t>
      </w:r>
      <w:r w:rsidR="00AE5617" w:rsidRPr="00836530">
        <w:rPr>
          <w:b w:val="0"/>
        </w:rPr>
        <w:t>Mackay Whitsunday</w:t>
      </w:r>
      <w:r w:rsidR="00AE5617" w:rsidRPr="00840E64">
        <w:rPr>
          <w:b w:val="0"/>
        </w:rPr>
        <w:t xml:space="preserve"> region since </w:t>
      </w:r>
      <w:r w:rsidR="00AE5617">
        <w:rPr>
          <w:b w:val="0"/>
        </w:rPr>
        <w:t xml:space="preserve">2005 and (bottom graph) flood plume colour class for 2015-16. </w:t>
      </w:r>
      <w:r w:rsidR="00AE5617" w:rsidRPr="006116EF">
        <w:rPr>
          <w:b w:val="0"/>
        </w:rPr>
        <w:t xml:space="preserve">Flow data provided by </w:t>
      </w:r>
      <w:r w:rsidR="00AE5617">
        <w:rPr>
          <w:b w:val="0"/>
        </w:rPr>
        <w:t>D</w:t>
      </w:r>
      <w:r w:rsidR="00AE5617" w:rsidRPr="006116EF">
        <w:rPr>
          <w:b w:val="0"/>
        </w:rPr>
        <w:t>epartment of Environment and Resource Management, Stream Gauging Network</w:t>
      </w:r>
      <w:r w:rsidR="00AE5617">
        <w:rPr>
          <w:b w:val="0"/>
        </w:rPr>
        <w:t>. Colour class data provided by Dieter Tracey (JCU).</w:t>
      </w:r>
      <w:bookmarkEnd w:id="857"/>
    </w:p>
    <w:p w14:paraId="11E02C6B" w14:textId="77777777" w:rsidR="00AE5617" w:rsidRPr="00AE5617" w:rsidRDefault="00AE5617" w:rsidP="00AE5617"/>
    <w:p w14:paraId="15721A25" w14:textId="3522FBC1" w:rsidR="000B182C" w:rsidRDefault="000B182C" w:rsidP="00836530">
      <w:pPr>
        <w:pStyle w:val="Caption"/>
        <w:keepNext/>
        <w:spacing w:line="276" w:lineRule="auto"/>
      </w:pPr>
      <w:r w:rsidRPr="000B182C">
        <w:rPr>
          <w:noProof/>
          <w:lang w:val="en-AU" w:eastAsia="en-AU" w:bidi="ar-SA"/>
        </w:rPr>
        <w:drawing>
          <wp:inline distT="0" distB="0" distL="0" distR="0" wp14:anchorId="15721ABA" wp14:editId="66DE4A5B">
            <wp:extent cx="6588000" cy="8517571"/>
            <wp:effectExtent l="0" t="0" r="0" b="0"/>
            <wp:docPr id="7229" name="Picture 7229" descr="Figure H 9: Temporal trends in PSII-HEq with respect to (top graph) river flow rate influencing passive sampler site at Sandy Creek in the Mackay Whitsunday region since 2005 and (bottom graph) flood plume colour class for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r="2488" b="2252"/>
                    <a:stretch/>
                  </pic:blipFill>
                  <pic:spPr bwMode="auto">
                    <a:xfrm>
                      <a:off x="0" y="0"/>
                      <a:ext cx="6588000" cy="8517571"/>
                    </a:xfrm>
                    <a:prstGeom prst="rect">
                      <a:avLst/>
                    </a:prstGeom>
                    <a:noFill/>
                    <a:ln>
                      <a:noFill/>
                    </a:ln>
                    <a:extLst>
                      <a:ext uri="{53640926-AAD7-44D8-BBD7-CCE9431645EC}">
                        <a14:shadowObscured xmlns:a14="http://schemas.microsoft.com/office/drawing/2010/main"/>
                      </a:ext>
                    </a:extLst>
                  </pic:spPr>
                </pic:pic>
              </a:graphicData>
            </a:graphic>
          </wp:inline>
        </w:drawing>
      </w:r>
    </w:p>
    <w:p w14:paraId="15721A26" w14:textId="4CDBA92A" w:rsidR="0059608E" w:rsidRDefault="000C0939" w:rsidP="00836530">
      <w:pPr>
        <w:pStyle w:val="Caption"/>
        <w:keepNext/>
        <w:spacing w:line="276" w:lineRule="auto"/>
        <w:rPr>
          <w:b w:val="0"/>
        </w:rPr>
      </w:pPr>
      <w:bookmarkStart w:id="858" w:name="_Toc502499845"/>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9</w:t>
      </w:r>
      <w:r w:rsidR="00C91BF5">
        <w:fldChar w:fldCharType="end"/>
      </w:r>
      <w:r w:rsidR="00836530">
        <w:rPr>
          <w:b w:val="0"/>
        </w:rPr>
        <w:t>:</w:t>
      </w:r>
      <w:r w:rsidR="00E672AE" w:rsidRPr="00836530">
        <w:rPr>
          <w:b w:val="0"/>
        </w:rPr>
        <w:t xml:space="preserve"> </w:t>
      </w:r>
      <w:r w:rsidR="00AE5617" w:rsidRPr="00840E64">
        <w:rPr>
          <w:b w:val="0"/>
        </w:rPr>
        <w:t>Temporal trends in PSII-</w:t>
      </w:r>
      <w:r w:rsidR="00AE5617">
        <w:rPr>
          <w:b w:val="0"/>
        </w:rPr>
        <w:t>HEq</w:t>
      </w:r>
      <w:r w:rsidR="00AE5617" w:rsidRPr="00840E64">
        <w:rPr>
          <w:b w:val="0"/>
        </w:rPr>
        <w:t xml:space="preserve"> with respect to </w:t>
      </w:r>
      <w:r w:rsidR="00AE5617">
        <w:rPr>
          <w:b w:val="0"/>
        </w:rPr>
        <w:t xml:space="preserve">(top graph) </w:t>
      </w:r>
      <w:r w:rsidR="00AE5617" w:rsidRPr="00840E64">
        <w:rPr>
          <w:b w:val="0"/>
        </w:rPr>
        <w:t xml:space="preserve">river flow rate influencing passive sampler site at </w:t>
      </w:r>
      <w:r w:rsidR="00AE5617" w:rsidRPr="00836530">
        <w:rPr>
          <w:b w:val="0"/>
        </w:rPr>
        <w:t xml:space="preserve">Sandy Creek </w:t>
      </w:r>
      <w:r w:rsidR="00AE5617" w:rsidRPr="00840E64">
        <w:rPr>
          <w:b w:val="0"/>
        </w:rPr>
        <w:t xml:space="preserve">in the </w:t>
      </w:r>
      <w:r w:rsidR="00AE5617" w:rsidRPr="00836530">
        <w:rPr>
          <w:b w:val="0"/>
        </w:rPr>
        <w:t>Mackay Whitsunday</w:t>
      </w:r>
      <w:r w:rsidR="00AE5617" w:rsidRPr="00840E64">
        <w:rPr>
          <w:b w:val="0"/>
        </w:rPr>
        <w:t xml:space="preserve"> region since </w:t>
      </w:r>
      <w:r w:rsidR="00AE5617">
        <w:rPr>
          <w:b w:val="0"/>
        </w:rPr>
        <w:t xml:space="preserve">2005 and (bottom graph) flood plume colour class for 2015-16. </w:t>
      </w:r>
      <w:r w:rsidR="00AE5617" w:rsidRPr="006116EF">
        <w:rPr>
          <w:b w:val="0"/>
        </w:rPr>
        <w:t xml:space="preserve">Flow data provided by </w:t>
      </w:r>
      <w:r w:rsidR="00AE5617">
        <w:rPr>
          <w:b w:val="0"/>
        </w:rPr>
        <w:t>D</w:t>
      </w:r>
      <w:r w:rsidR="00AE5617" w:rsidRPr="006116EF">
        <w:rPr>
          <w:b w:val="0"/>
        </w:rPr>
        <w:t>epartment of Environment and Resource Management, Stream Gauging Network</w:t>
      </w:r>
      <w:r w:rsidR="00AE5617">
        <w:rPr>
          <w:b w:val="0"/>
        </w:rPr>
        <w:t>. Colour class data provided by Dieter Tracey (JCU).</w:t>
      </w:r>
      <w:bookmarkEnd w:id="858"/>
    </w:p>
    <w:p w14:paraId="21F584A1" w14:textId="77777777" w:rsidR="00AE5617" w:rsidRPr="00AE5617" w:rsidRDefault="00AE5617" w:rsidP="00AE5617"/>
    <w:p w14:paraId="15721A27" w14:textId="77777777" w:rsidR="00E672AE" w:rsidRDefault="00281B45" w:rsidP="00015606">
      <w:pPr>
        <w:keepNext/>
        <w:spacing w:line="276" w:lineRule="auto"/>
      </w:pPr>
      <w:r w:rsidRPr="00281B45">
        <w:rPr>
          <w:noProof/>
          <w:lang w:val="en-AU" w:eastAsia="en-AU" w:bidi="ar-SA"/>
        </w:rPr>
        <w:drawing>
          <wp:inline distT="0" distB="0" distL="0" distR="0" wp14:anchorId="15721ABC" wp14:editId="72334609">
            <wp:extent cx="6659245" cy="8466437"/>
            <wp:effectExtent l="0" t="0" r="8255" b="0"/>
            <wp:docPr id="7230" name="Picture 7230" descr="Figure H 10: Temporal trends in PSII-HEq with respect to (top graph) river flow rate influencing passive sampler site at Sarina Inlet in the Mackay Whitsunday region since 2005 and (bottom graph) flood plume colour class for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t="1227" r="3398" b="274"/>
                    <a:stretch/>
                  </pic:blipFill>
                  <pic:spPr bwMode="auto">
                    <a:xfrm>
                      <a:off x="0" y="0"/>
                      <a:ext cx="6660000" cy="8467397"/>
                    </a:xfrm>
                    <a:prstGeom prst="rect">
                      <a:avLst/>
                    </a:prstGeom>
                    <a:noFill/>
                    <a:ln>
                      <a:noFill/>
                    </a:ln>
                    <a:extLst>
                      <a:ext uri="{53640926-AAD7-44D8-BBD7-CCE9431645EC}">
                        <a14:shadowObscured xmlns:a14="http://schemas.microsoft.com/office/drawing/2010/main"/>
                      </a:ext>
                    </a:extLst>
                  </pic:spPr>
                </pic:pic>
              </a:graphicData>
            </a:graphic>
          </wp:inline>
        </w:drawing>
      </w:r>
    </w:p>
    <w:p w14:paraId="15721A28" w14:textId="2AF94756" w:rsidR="0059608E" w:rsidRPr="00836530" w:rsidRDefault="000C0939" w:rsidP="00836530">
      <w:pPr>
        <w:pStyle w:val="Caption"/>
        <w:keepNext/>
        <w:spacing w:line="276" w:lineRule="auto"/>
        <w:rPr>
          <w:b w:val="0"/>
        </w:rPr>
      </w:pPr>
      <w:bookmarkStart w:id="859" w:name="_Ref480752535"/>
      <w:bookmarkStart w:id="860" w:name="_Toc502499846"/>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10</w:t>
      </w:r>
      <w:r w:rsidR="00C91BF5">
        <w:fldChar w:fldCharType="end"/>
      </w:r>
      <w:bookmarkEnd w:id="859"/>
      <w:r w:rsidR="00836530">
        <w:rPr>
          <w:b w:val="0"/>
        </w:rPr>
        <w:t>:</w:t>
      </w:r>
      <w:r w:rsidR="00E672AE" w:rsidRPr="00836530">
        <w:rPr>
          <w:b w:val="0"/>
        </w:rPr>
        <w:t xml:space="preserve"> </w:t>
      </w:r>
      <w:r w:rsidR="00AE5617" w:rsidRPr="00840E64">
        <w:rPr>
          <w:b w:val="0"/>
        </w:rPr>
        <w:t>Temporal trends in PSII-</w:t>
      </w:r>
      <w:r w:rsidR="00AE5617">
        <w:rPr>
          <w:b w:val="0"/>
        </w:rPr>
        <w:t>HEq</w:t>
      </w:r>
      <w:r w:rsidR="00AE5617" w:rsidRPr="00840E64">
        <w:rPr>
          <w:b w:val="0"/>
        </w:rPr>
        <w:t xml:space="preserve"> with respect to </w:t>
      </w:r>
      <w:r w:rsidR="00AE5617">
        <w:rPr>
          <w:b w:val="0"/>
        </w:rPr>
        <w:t xml:space="preserve">(top graph) </w:t>
      </w:r>
      <w:r w:rsidR="00AE5617" w:rsidRPr="00840E64">
        <w:rPr>
          <w:b w:val="0"/>
        </w:rPr>
        <w:t xml:space="preserve">river flow rate influencing passive sampler site at </w:t>
      </w:r>
      <w:r w:rsidR="00AE5617" w:rsidRPr="00836530">
        <w:rPr>
          <w:b w:val="0"/>
        </w:rPr>
        <w:t xml:space="preserve">Sarina Inlet </w:t>
      </w:r>
      <w:r w:rsidR="00AE5617" w:rsidRPr="00840E64">
        <w:rPr>
          <w:b w:val="0"/>
        </w:rPr>
        <w:t xml:space="preserve">in the </w:t>
      </w:r>
      <w:r w:rsidR="00AE5617" w:rsidRPr="00836530">
        <w:rPr>
          <w:b w:val="0"/>
        </w:rPr>
        <w:t>Mackay Whitsunday</w:t>
      </w:r>
      <w:r w:rsidR="00AE5617" w:rsidRPr="00840E64">
        <w:rPr>
          <w:b w:val="0"/>
        </w:rPr>
        <w:t xml:space="preserve"> region since </w:t>
      </w:r>
      <w:r w:rsidR="00AE5617">
        <w:rPr>
          <w:b w:val="0"/>
        </w:rPr>
        <w:t xml:space="preserve">2005 and (bottom graph) flood plume colour class for 2015-16. </w:t>
      </w:r>
      <w:r w:rsidR="00AE5617" w:rsidRPr="006116EF">
        <w:rPr>
          <w:b w:val="0"/>
        </w:rPr>
        <w:t xml:space="preserve">Flow data provided by </w:t>
      </w:r>
      <w:r w:rsidR="00AE5617">
        <w:rPr>
          <w:b w:val="0"/>
        </w:rPr>
        <w:t>D</w:t>
      </w:r>
      <w:r w:rsidR="00AE5617" w:rsidRPr="006116EF">
        <w:rPr>
          <w:b w:val="0"/>
        </w:rPr>
        <w:t>epartment of Environment and Resource Management, Stream Gauging Network</w:t>
      </w:r>
      <w:r w:rsidR="00AE5617">
        <w:rPr>
          <w:b w:val="0"/>
        </w:rPr>
        <w:t>. Colour class data provided by Dieter Tracey (JCU).</w:t>
      </w:r>
      <w:bookmarkEnd w:id="860"/>
    </w:p>
    <w:p w14:paraId="15721A29" w14:textId="77777777" w:rsidR="0059608E" w:rsidRDefault="0059608E" w:rsidP="00015606">
      <w:pPr>
        <w:spacing w:line="276" w:lineRule="auto"/>
      </w:pPr>
    </w:p>
    <w:p w14:paraId="15721A2A" w14:textId="77777777" w:rsidR="007B75A5" w:rsidRDefault="00281B45" w:rsidP="00015606">
      <w:pPr>
        <w:keepNext/>
        <w:spacing w:line="276" w:lineRule="auto"/>
        <w:jc w:val="center"/>
      </w:pPr>
      <w:r w:rsidRPr="00281B45">
        <w:rPr>
          <w:noProof/>
          <w:lang w:val="en-AU" w:eastAsia="en-AU" w:bidi="ar-SA"/>
        </w:rPr>
        <w:drawing>
          <wp:inline distT="0" distB="0" distL="0" distR="0" wp14:anchorId="15721ABE" wp14:editId="264C9553">
            <wp:extent cx="6660000" cy="8301241"/>
            <wp:effectExtent l="0" t="0" r="7620" b="0"/>
            <wp:docPr id="7231" name="Picture 7231" descr="Figure H 11: Temporal trends in PSII-HEq with respect to (top graph) river flow rate influencing passive sampler site at North Keppel Island in the Fitzroy region since 2005 and (bottom graph) flood plume colour class for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r="3537"/>
                    <a:stretch/>
                  </pic:blipFill>
                  <pic:spPr bwMode="auto">
                    <a:xfrm>
                      <a:off x="0" y="0"/>
                      <a:ext cx="6660000" cy="8301241"/>
                    </a:xfrm>
                    <a:prstGeom prst="rect">
                      <a:avLst/>
                    </a:prstGeom>
                    <a:noFill/>
                    <a:ln>
                      <a:noFill/>
                    </a:ln>
                    <a:extLst>
                      <a:ext uri="{53640926-AAD7-44D8-BBD7-CCE9431645EC}">
                        <a14:shadowObscured xmlns:a14="http://schemas.microsoft.com/office/drawing/2010/main"/>
                      </a:ext>
                    </a:extLst>
                  </pic:spPr>
                </pic:pic>
              </a:graphicData>
            </a:graphic>
          </wp:inline>
        </w:drawing>
      </w:r>
    </w:p>
    <w:p w14:paraId="15721A2B" w14:textId="42F81195" w:rsidR="0059608E" w:rsidRPr="00836530" w:rsidRDefault="000C0939" w:rsidP="00836530">
      <w:pPr>
        <w:pStyle w:val="Caption"/>
        <w:keepNext/>
        <w:spacing w:line="276" w:lineRule="auto"/>
        <w:rPr>
          <w:b w:val="0"/>
        </w:rPr>
      </w:pPr>
      <w:bookmarkStart w:id="861" w:name="_Ref480728581"/>
      <w:bookmarkStart w:id="862" w:name="_Toc502499847"/>
      <w:r>
        <w:t xml:space="preserve">Figure </w:t>
      </w:r>
      <w:r w:rsidR="00C91BF5">
        <w:fldChar w:fldCharType="begin"/>
      </w:r>
      <w:r w:rsidR="008C60F9">
        <w:instrText xml:space="preserve"> STYLEREF 7 \s </w:instrText>
      </w:r>
      <w:r w:rsidR="00C91BF5">
        <w:fldChar w:fldCharType="separate"/>
      </w:r>
      <w:r w:rsidR="00D1227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11</w:t>
      </w:r>
      <w:r w:rsidR="00C91BF5">
        <w:fldChar w:fldCharType="end"/>
      </w:r>
      <w:bookmarkEnd w:id="861"/>
      <w:r w:rsidR="00836530">
        <w:rPr>
          <w:b w:val="0"/>
        </w:rPr>
        <w:t>:</w:t>
      </w:r>
      <w:r w:rsidR="007B75A5" w:rsidRPr="00836530">
        <w:rPr>
          <w:b w:val="0"/>
        </w:rPr>
        <w:t xml:space="preserve"> </w:t>
      </w:r>
      <w:r w:rsidR="00AE5617" w:rsidRPr="00840E64">
        <w:rPr>
          <w:b w:val="0"/>
        </w:rPr>
        <w:t>Temporal trends in PSII-</w:t>
      </w:r>
      <w:r w:rsidR="00AE5617">
        <w:rPr>
          <w:b w:val="0"/>
        </w:rPr>
        <w:t>HEq</w:t>
      </w:r>
      <w:r w:rsidR="00AE5617" w:rsidRPr="00840E64">
        <w:rPr>
          <w:b w:val="0"/>
        </w:rPr>
        <w:t xml:space="preserve"> with respect to </w:t>
      </w:r>
      <w:r w:rsidR="00AE5617">
        <w:rPr>
          <w:b w:val="0"/>
        </w:rPr>
        <w:t xml:space="preserve">(top graph) </w:t>
      </w:r>
      <w:r w:rsidR="00AE5617" w:rsidRPr="00840E64">
        <w:rPr>
          <w:b w:val="0"/>
        </w:rPr>
        <w:t xml:space="preserve">river flow rate influencing passive sampler site at </w:t>
      </w:r>
      <w:r w:rsidR="00AE5617" w:rsidRPr="00836530">
        <w:rPr>
          <w:b w:val="0"/>
        </w:rPr>
        <w:t xml:space="preserve">North Keppel Island </w:t>
      </w:r>
      <w:r w:rsidR="00AE5617" w:rsidRPr="00840E64">
        <w:rPr>
          <w:b w:val="0"/>
        </w:rPr>
        <w:t xml:space="preserve">in the </w:t>
      </w:r>
      <w:r w:rsidR="00AE5617" w:rsidRPr="00836530">
        <w:rPr>
          <w:b w:val="0"/>
        </w:rPr>
        <w:t xml:space="preserve">Fitzroy </w:t>
      </w:r>
      <w:r w:rsidR="00AE5617" w:rsidRPr="00840E64">
        <w:rPr>
          <w:b w:val="0"/>
        </w:rPr>
        <w:t xml:space="preserve">region since </w:t>
      </w:r>
      <w:r w:rsidR="00AE5617">
        <w:rPr>
          <w:b w:val="0"/>
        </w:rPr>
        <w:t xml:space="preserve">2005 and (bottom graph) flood plume colour class for 2015-16. </w:t>
      </w:r>
      <w:r w:rsidR="00AE5617" w:rsidRPr="006116EF">
        <w:rPr>
          <w:b w:val="0"/>
        </w:rPr>
        <w:t xml:space="preserve">Flow data provided by </w:t>
      </w:r>
      <w:r w:rsidR="00AE5617">
        <w:rPr>
          <w:b w:val="0"/>
        </w:rPr>
        <w:t>D</w:t>
      </w:r>
      <w:r w:rsidR="00AE5617" w:rsidRPr="006116EF">
        <w:rPr>
          <w:b w:val="0"/>
        </w:rPr>
        <w:t>epartment of Environment and Resource Management, Stream Gauging Network</w:t>
      </w:r>
      <w:r w:rsidR="00AE5617">
        <w:rPr>
          <w:b w:val="0"/>
        </w:rPr>
        <w:t>. Colour class data provided by Dieter Tracey (JCU).</w:t>
      </w:r>
      <w:bookmarkEnd w:id="862"/>
    </w:p>
    <w:p w14:paraId="15721A2C" w14:textId="77777777" w:rsidR="0059608E" w:rsidRPr="00836530" w:rsidRDefault="0059608E" w:rsidP="00836530">
      <w:pPr>
        <w:pStyle w:val="Caption"/>
        <w:keepNext/>
        <w:spacing w:line="276" w:lineRule="auto"/>
        <w:rPr>
          <w:b w:val="0"/>
        </w:rPr>
        <w:sectPr w:rsidR="0059608E" w:rsidRPr="00836530" w:rsidSect="006130D4">
          <w:type w:val="continuous"/>
          <w:pgSz w:w="11907" w:h="16840" w:code="9"/>
          <w:pgMar w:top="720" w:right="720" w:bottom="720" w:left="567" w:header="709" w:footer="709" w:gutter="0"/>
          <w:cols w:space="708"/>
          <w:docGrid w:linePitch="360"/>
        </w:sectPr>
      </w:pPr>
    </w:p>
    <w:p w14:paraId="15721A2D" w14:textId="77777777" w:rsidR="00ED1DB8" w:rsidRDefault="00ED1DB8">
      <w:pPr>
        <w:ind w:firstLine="357"/>
        <w:jc w:val="left"/>
        <w:rPr>
          <w:rFonts w:eastAsiaTheme="majorEastAsia" w:cstheme="majorBidi"/>
          <w:b/>
          <w:bCs/>
          <w:sz w:val="28"/>
          <w:szCs w:val="20"/>
          <w:lang w:val="en-AU" w:bidi="ar-SA"/>
        </w:rPr>
      </w:pPr>
      <w:bookmarkStart w:id="863" w:name="_Toc461457792"/>
      <w:bookmarkEnd w:id="849"/>
      <w:r>
        <w:br w:type="page"/>
      </w:r>
    </w:p>
    <w:p w14:paraId="15721A2E" w14:textId="4FB2AEAC" w:rsidR="0059608E" w:rsidRDefault="00EC0782" w:rsidP="00C60B74">
      <w:pPr>
        <w:pStyle w:val="Heading7"/>
        <w:spacing w:before="0" w:after="240"/>
        <w:ind w:left="1843" w:hanging="1843"/>
      </w:pPr>
      <w:bookmarkStart w:id="864" w:name="_Ref480728528"/>
      <w:bookmarkStart w:id="865" w:name="_Ref480739727"/>
      <w:bookmarkStart w:id="866" w:name="_Ref480741812"/>
      <w:bookmarkStart w:id="867" w:name="_Ref480752451"/>
      <w:bookmarkStart w:id="868" w:name="_Toc502500035"/>
      <w:r>
        <w:t xml:space="preserve">Historical concentration profiles at </w:t>
      </w:r>
      <w:r w:rsidR="00185EFD">
        <w:t>fixed</w:t>
      </w:r>
      <w:r>
        <w:t xml:space="preserve"> monitoring sites</w:t>
      </w:r>
      <w:bookmarkStart w:id="869" w:name="_Toc335640741"/>
      <w:bookmarkStart w:id="870" w:name="_Toc335643351"/>
      <w:bookmarkEnd w:id="863"/>
      <w:bookmarkEnd w:id="864"/>
      <w:bookmarkEnd w:id="865"/>
      <w:bookmarkEnd w:id="866"/>
      <w:bookmarkEnd w:id="867"/>
      <w:bookmarkEnd w:id="868"/>
      <w:bookmarkEnd w:id="869"/>
      <w:bookmarkEnd w:id="870"/>
    </w:p>
    <w:p w14:paraId="15721A2F" w14:textId="77777777" w:rsidR="007B75A5" w:rsidRDefault="002156FE" w:rsidP="00015606">
      <w:pPr>
        <w:keepNext/>
        <w:spacing w:line="276" w:lineRule="auto"/>
        <w:jc w:val="center"/>
      </w:pPr>
      <w:r w:rsidRPr="002156FE">
        <w:rPr>
          <w:noProof/>
          <w:lang w:val="en-AU" w:eastAsia="en-AU" w:bidi="ar-SA"/>
        </w:rPr>
        <w:drawing>
          <wp:inline distT="0" distB="0" distL="0" distR="0" wp14:anchorId="15721AC0" wp14:editId="70E4D0E6">
            <wp:extent cx="6228000" cy="8653240"/>
            <wp:effectExtent l="0" t="0" r="0" b="0"/>
            <wp:docPr id="7207" name="Picture 7207" descr="Figure I 1: Temporal concentration profiles of individual herbicides at Low Isles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rotWithShape="1">
                    <a:blip r:embed="rId95" cstate="print">
                      <a:extLst>
                        <a:ext uri="{28A0092B-C50C-407E-A947-70E740481C1C}">
                          <a14:useLocalDpi xmlns:a14="http://schemas.microsoft.com/office/drawing/2010/main" val="0"/>
                        </a:ext>
                      </a:extLst>
                    </a:blip>
                    <a:srcRect t="1705" b="2220"/>
                    <a:stretch/>
                  </pic:blipFill>
                  <pic:spPr bwMode="auto">
                    <a:xfrm>
                      <a:off x="0" y="0"/>
                      <a:ext cx="6228000" cy="8653240"/>
                    </a:xfrm>
                    <a:prstGeom prst="rect">
                      <a:avLst/>
                    </a:prstGeom>
                    <a:noFill/>
                    <a:ln>
                      <a:noFill/>
                    </a:ln>
                    <a:extLst>
                      <a:ext uri="{53640926-AAD7-44D8-BBD7-CCE9431645EC}">
                        <a14:shadowObscured xmlns:a14="http://schemas.microsoft.com/office/drawing/2010/main"/>
                      </a:ext>
                    </a:extLst>
                  </pic:spPr>
                </pic:pic>
              </a:graphicData>
            </a:graphic>
          </wp:inline>
        </w:drawing>
      </w:r>
    </w:p>
    <w:p w14:paraId="15721A30" w14:textId="77777777" w:rsidR="0059608E" w:rsidRPr="00836530" w:rsidRDefault="0028187A" w:rsidP="00836530">
      <w:pPr>
        <w:pStyle w:val="Caption"/>
        <w:keepNext/>
        <w:spacing w:line="276" w:lineRule="auto"/>
        <w:rPr>
          <w:b w:val="0"/>
        </w:rPr>
      </w:pPr>
      <w:bookmarkStart w:id="871" w:name="_Ref480739744"/>
      <w:bookmarkStart w:id="872" w:name="_Ref480741824"/>
      <w:bookmarkStart w:id="873" w:name="_Toc502499848"/>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1</w:t>
      </w:r>
      <w:r w:rsidR="00C91BF5">
        <w:fldChar w:fldCharType="end"/>
      </w:r>
      <w:bookmarkEnd w:id="871"/>
      <w:r w:rsidR="00836530">
        <w:rPr>
          <w:b w:val="0"/>
        </w:rPr>
        <w:t>:</w:t>
      </w:r>
      <w:r w:rsidR="007B75A5" w:rsidRPr="00836530">
        <w:rPr>
          <w:b w:val="0"/>
        </w:rPr>
        <w:t xml:space="preserve"> Temporal concentration profiles of individual herbicides at Low Isles in the Wet Tropics region</w:t>
      </w:r>
      <w:bookmarkEnd w:id="872"/>
      <w:bookmarkEnd w:id="873"/>
    </w:p>
    <w:p w14:paraId="15721A31" w14:textId="77777777" w:rsidR="0028187A" w:rsidRDefault="0028187A">
      <w:pPr>
        <w:ind w:firstLine="357"/>
        <w:jc w:val="left"/>
        <w:rPr>
          <w:b/>
          <w:bCs/>
          <w:sz w:val="18"/>
          <w:szCs w:val="18"/>
        </w:rPr>
      </w:pPr>
      <w:r>
        <w:br w:type="page"/>
      </w:r>
    </w:p>
    <w:p w14:paraId="15721A32" w14:textId="77777777" w:rsidR="0059608E" w:rsidRDefault="002156FE" w:rsidP="00015606">
      <w:pPr>
        <w:pStyle w:val="Caption"/>
        <w:spacing w:line="276" w:lineRule="auto"/>
        <w:jc w:val="center"/>
      </w:pPr>
      <w:r w:rsidRPr="002156FE">
        <w:rPr>
          <w:noProof/>
          <w:lang w:val="en-AU" w:eastAsia="en-AU" w:bidi="ar-SA"/>
        </w:rPr>
        <w:drawing>
          <wp:inline distT="0" distB="0" distL="0" distR="0" wp14:anchorId="15721AC2" wp14:editId="62A4A195">
            <wp:extent cx="6228000" cy="8955039"/>
            <wp:effectExtent l="0" t="0" r="0" b="0"/>
            <wp:docPr id="7208" name="Picture 7208" descr="Figure I 2: Temporal concentration profiles of individual herbicides at High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t="1571" b="1936"/>
                    <a:stretch/>
                  </pic:blipFill>
                  <pic:spPr bwMode="auto">
                    <a:xfrm>
                      <a:off x="0" y="0"/>
                      <a:ext cx="6228000" cy="8955039"/>
                    </a:xfrm>
                    <a:prstGeom prst="rect">
                      <a:avLst/>
                    </a:prstGeom>
                    <a:noFill/>
                    <a:ln>
                      <a:noFill/>
                    </a:ln>
                    <a:extLst>
                      <a:ext uri="{53640926-AAD7-44D8-BBD7-CCE9431645EC}">
                        <a14:shadowObscured xmlns:a14="http://schemas.microsoft.com/office/drawing/2010/main"/>
                      </a:ext>
                    </a:extLst>
                  </pic:spPr>
                </pic:pic>
              </a:graphicData>
            </a:graphic>
          </wp:inline>
        </w:drawing>
      </w:r>
    </w:p>
    <w:p w14:paraId="15721A33" w14:textId="77777777" w:rsidR="0028187A" w:rsidRPr="00836530" w:rsidRDefault="0028187A" w:rsidP="0028187A">
      <w:pPr>
        <w:pStyle w:val="Caption"/>
        <w:keepNext/>
        <w:spacing w:line="276" w:lineRule="auto"/>
        <w:rPr>
          <w:b w:val="0"/>
        </w:rPr>
      </w:pPr>
      <w:bookmarkStart w:id="874" w:name="_Toc502499849"/>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2</w:t>
      </w:r>
      <w:r w:rsidR="00C91BF5">
        <w:fldChar w:fldCharType="end"/>
      </w:r>
      <w:r>
        <w:rPr>
          <w:b w:val="0"/>
        </w:rPr>
        <w:t>:</w:t>
      </w:r>
      <w:r w:rsidRPr="00836530">
        <w:rPr>
          <w:b w:val="0"/>
        </w:rPr>
        <w:t xml:space="preserve"> Temporal concentration profiles of individual herbicides at </w:t>
      </w:r>
      <w:r>
        <w:rPr>
          <w:b w:val="0"/>
        </w:rPr>
        <w:t>High Island</w:t>
      </w:r>
      <w:r w:rsidRPr="00836530">
        <w:rPr>
          <w:b w:val="0"/>
        </w:rPr>
        <w:t xml:space="preserve"> in the Wet Tropics region</w:t>
      </w:r>
      <w:bookmarkEnd w:id="874"/>
    </w:p>
    <w:p w14:paraId="15721A34" w14:textId="77777777" w:rsidR="0028187A" w:rsidRPr="0028187A" w:rsidRDefault="0028187A" w:rsidP="0028187A"/>
    <w:p w14:paraId="15721A35" w14:textId="77777777" w:rsidR="00996637" w:rsidRDefault="002156FE" w:rsidP="00015606">
      <w:pPr>
        <w:keepNext/>
        <w:spacing w:line="276" w:lineRule="auto"/>
        <w:jc w:val="center"/>
      </w:pPr>
      <w:r w:rsidRPr="002156FE">
        <w:rPr>
          <w:noProof/>
          <w:lang w:val="en-AU" w:eastAsia="en-AU" w:bidi="ar-SA"/>
        </w:rPr>
        <w:drawing>
          <wp:inline distT="0" distB="0" distL="0" distR="0" wp14:anchorId="15721AC4" wp14:editId="5724C9F8">
            <wp:extent cx="6552000" cy="9080450"/>
            <wp:effectExtent l="0" t="0" r="0" b="6985"/>
            <wp:docPr id="7209" name="Picture 7209" descr="Figure I 3: Temporal concentration profiles of individual herbicides at Dunk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rotWithShape="1">
                    <a:blip r:embed="rId97" cstate="print">
                      <a:extLst>
                        <a:ext uri="{28A0092B-C50C-407E-A947-70E740481C1C}">
                          <a14:useLocalDpi xmlns:a14="http://schemas.microsoft.com/office/drawing/2010/main" val="0"/>
                        </a:ext>
                      </a:extLst>
                    </a:blip>
                    <a:srcRect t="1710" b="2151"/>
                    <a:stretch/>
                  </pic:blipFill>
                  <pic:spPr bwMode="auto">
                    <a:xfrm>
                      <a:off x="0" y="0"/>
                      <a:ext cx="6552000" cy="9080450"/>
                    </a:xfrm>
                    <a:prstGeom prst="rect">
                      <a:avLst/>
                    </a:prstGeom>
                    <a:noFill/>
                    <a:ln>
                      <a:noFill/>
                    </a:ln>
                    <a:extLst>
                      <a:ext uri="{53640926-AAD7-44D8-BBD7-CCE9431645EC}">
                        <a14:shadowObscured xmlns:a14="http://schemas.microsoft.com/office/drawing/2010/main"/>
                      </a:ext>
                    </a:extLst>
                  </pic:spPr>
                </pic:pic>
              </a:graphicData>
            </a:graphic>
          </wp:inline>
        </w:drawing>
      </w:r>
    </w:p>
    <w:p w14:paraId="15721A36" w14:textId="77777777" w:rsidR="0059608E" w:rsidRPr="00836530" w:rsidRDefault="0028187A" w:rsidP="00836530">
      <w:pPr>
        <w:pStyle w:val="Caption"/>
        <w:keepNext/>
        <w:spacing w:line="276" w:lineRule="auto"/>
        <w:rPr>
          <w:b w:val="0"/>
        </w:rPr>
      </w:pPr>
      <w:bookmarkStart w:id="875" w:name="_Toc502499850"/>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3</w:t>
      </w:r>
      <w:r w:rsidR="00C91BF5">
        <w:fldChar w:fldCharType="end"/>
      </w:r>
      <w:r w:rsidR="00836530">
        <w:rPr>
          <w:b w:val="0"/>
        </w:rPr>
        <w:t>:</w:t>
      </w:r>
      <w:r w:rsidR="00996637" w:rsidRPr="00836530">
        <w:rPr>
          <w:b w:val="0"/>
        </w:rPr>
        <w:t xml:space="preserve"> Temporal concentration profiles of individual herbicides at Dunk Island in the Wet Tropics region</w:t>
      </w:r>
      <w:bookmarkEnd w:id="875"/>
    </w:p>
    <w:p w14:paraId="15721A37" w14:textId="77777777" w:rsidR="00996637" w:rsidRDefault="00B04AE7" w:rsidP="00015606">
      <w:pPr>
        <w:keepNext/>
        <w:spacing w:line="276" w:lineRule="auto"/>
      </w:pPr>
      <w:r w:rsidRPr="00B04AE7">
        <w:rPr>
          <w:noProof/>
          <w:lang w:val="en-AU" w:eastAsia="en-AU" w:bidi="ar-SA"/>
        </w:rPr>
        <w:drawing>
          <wp:inline distT="0" distB="0" distL="0" distR="0" wp14:anchorId="15721AC6" wp14:editId="5D8BD2C2">
            <wp:extent cx="6552000" cy="8960594"/>
            <wp:effectExtent l="0" t="0" r="0" b="0"/>
            <wp:docPr id="7211" name="Picture 7211" descr="Figure I 4: Temporal concentration profiles of individual herbicides at Normanby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rotWithShape="1">
                    <a:blip r:embed="rId98" cstate="print">
                      <a:extLst>
                        <a:ext uri="{28A0092B-C50C-407E-A947-70E740481C1C}">
                          <a14:useLocalDpi xmlns:a14="http://schemas.microsoft.com/office/drawing/2010/main" val="0"/>
                        </a:ext>
                      </a:extLst>
                    </a:blip>
                    <a:srcRect t="1783" b="6176"/>
                    <a:stretch/>
                  </pic:blipFill>
                  <pic:spPr bwMode="auto">
                    <a:xfrm>
                      <a:off x="0" y="0"/>
                      <a:ext cx="6552000" cy="8960594"/>
                    </a:xfrm>
                    <a:prstGeom prst="rect">
                      <a:avLst/>
                    </a:prstGeom>
                    <a:noFill/>
                    <a:ln>
                      <a:noFill/>
                    </a:ln>
                    <a:extLst>
                      <a:ext uri="{53640926-AAD7-44D8-BBD7-CCE9431645EC}">
                        <a14:shadowObscured xmlns:a14="http://schemas.microsoft.com/office/drawing/2010/main"/>
                      </a:ext>
                    </a:extLst>
                  </pic:spPr>
                </pic:pic>
              </a:graphicData>
            </a:graphic>
          </wp:inline>
        </w:drawing>
      </w:r>
    </w:p>
    <w:p w14:paraId="15721A38" w14:textId="77777777" w:rsidR="0059608E" w:rsidRPr="00836530" w:rsidRDefault="0028187A" w:rsidP="00836530">
      <w:pPr>
        <w:pStyle w:val="Caption"/>
        <w:keepNext/>
        <w:spacing w:line="276" w:lineRule="auto"/>
        <w:rPr>
          <w:b w:val="0"/>
        </w:rPr>
      </w:pPr>
      <w:bookmarkStart w:id="876" w:name="_Toc502499851"/>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4</w:t>
      </w:r>
      <w:r w:rsidR="00C91BF5">
        <w:fldChar w:fldCharType="end"/>
      </w:r>
      <w:r w:rsidR="00836530">
        <w:rPr>
          <w:b w:val="0"/>
        </w:rPr>
        <w:t>:</w:t>
      </w:r>
      <w:r w:rsidR="00996637" w:rsidRPr="00836530">
        <w:rPr>
          <w:b w:val="0"/>
        </w:rPr>
        <w:t xml:space="preserve"> Temporal concentration profiles of individual herbicides at Normanby Island in the Wet Tropics region</w:t>
      </w:r>
      <w:bookmarkEnd w:id="876"/>
    </w:p>
    <w:p w14:paraId="15721A39" w14:textId="77777777" w:rsidR="002E31D7" w:rsidRDefault="00B04AE7" w:rsidP="00015606">
      <w:pPr>
        <w:keepNext/>
        <w:spacing w:line="276" w:lineRule="auto"/>
      </w:pPr>
      <w:r w:rsidRPr="00B04AE7">
        <w:rPr>
          <w:noProof/>
          <w:lang w:val="en-AU" w:eastAsia="en-AU" w:bidi="ar-SA"/>
        </w:rPr>
        <w:drawing>
          <wp:inline distT="0" distB="0" distL="0" distR="0" wp14:anchorId="15721AC8" wp14:editId="507D6632">
            <wp:extent cx="6660000" cy="8996172"/>
            <wp:effectExtent l="0" t="0" r="0" b="0"/>
            <wp:docPr id="7212" name="Picture 7212" descr="Figure I 5: Temporal concentration profiles of individual herbicides at Lucinda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rotWithShape="1">
                    <a:blip r:embed="rId99" cstate="print">
                      <a:extLst>
                        <a:ext uri="{28A0092B-C50C-407E-A947-70E740481C1C}">
                          <a14:useLocalDpi xmlns:a14="http://schemas.microsoft.com/office/drawing/2010/main" val="0"/>
                        </a:ext>
                      </a:extLst>
                    </a:blip>
                    <a:srcRect t="1877" b="2182"/>
                    <a:stretch/>
                  </pic:blipFill>
                  <pic:spPr bwMode="auto">
                    <a:xfrm>
                      <a:off x="0" y="0"/>
                      <a:ext cx="6660000" cy="8996172"/>
                    </a:xfrm>
                    <a:prstGeom prst="rect">
                      <a:avLst/>
                    </a:prstGeom>
                    <a:noFill/>
                    <a:ln>
                      <a:noFill/>
                    </a:ln>
                    <a:extLst>
                      <a:ext uri="{53640926-AAD7-44D8-BBD7-CCE9431645EC}">
                        <a14:shadowObscured xmlns:a14="http://schemas.microsoft.com/office/drawing/2010/main"/>
                      </a:ext>
                    </a:extLst>
                  </pic:spPr>
                </pic:pic>
              </a:graphicData>
            </a:graphic>
          </wp:inline>
        </w:drawing>
      </w:r>
    </w:p>
    <w:p w14:paraId="15721A3A" w14:textId="77777777" w:rsidR="0059608E" w:rsidRPr="00836530" w:rsidRDefault="0028187A" w:rsidP="00836530">
      <w:pPr>
        <w:pStyle w:val="Caption"/>
        <w:keepNext/>
        <w:spacing w:line="276" w:lineRule="auto"/>
        <w:rPr>
          <w:b w:val="0"/>
        </w:rPr>
      </w:pPr>
      <w:bookmarkStart w:id="877" w:name="_Ref480739746"/>
      <w:bookmarkStart w:id="878" w:name="_Ref480741827"/>
      <w:bookmarkStart w:id="879" w:name="_Toc502499852"/>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5</w:t>
      </w:r>
      <w:r w:rsidR="00C91BF5">
        <w:fldChar w:fldCharType="end"/>
      </w:r>
      <w:bookmarkEnd w:id="877"/>
      <w:r w:rsidR="00836530">
        <w:rPr>
          <w:b w:val="0"/>
        </w:rPr>
        <w:t>:</w:t>
      </w:r>
      <w:r w:rsidR="002E31D7" w:rsidRPr="00836530">
        <w:rPr>
          <w:b w:val="0"/>
        </w:rPr>
        <w:t xml:space="preserve"> Temporal concentration profiles of individual herbicides at Lucinda in the Wet Tropics region</w:t>
      </w:r>
      <w:bookmarkEnd w:id="878"/>
      <w:bookmarkEnd w:id="879"/>
    </w:p>
    <w:p w14:paraId="15721A3B" w14:textId="77777777" w:rsidR="0003095A" w:rsidRDefault="00B04AE7" w:rsidP="00015606">
      <w:pPr>
        <w:pStyle w:val="Caption"/>
        <w:keepNext/>
        <w:spacing w:line="276" w:lineRule="auto"/>
        <w:jc w:val="center"/>
      </w:pPr>
      <w:r w:rsidRPr="00B04AE7">
        <w:rPr>
          <w:noProof/>
          <w:lang w:val="en-AU" w:eastAsia="en-AU" w:bidi="ar-SA"/>
        </w:rPr>
        <w:drawing>
          <wp:inline distT="0" distB="0" distL="0" distR="0" wp14:anchorId="15721ACA" wp14:editId="764DA666">
            <wp:extent cx="6552000" cy="9046446"/>
            <wp:effectExtent l="0" t="0" r="0" b="2540"/>
            <wp:docPr id="7213" name="Picture 7213" descr="Figure I 6: Temporal concentration profiles of individual herbicides at Barratta Creek mouth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t="1840" b="2047"/>
                    <a:stretch/>
                  </pic:blipFill>
                  <pic:spPr bwMode="auto">
                    <a:xfrm>
                      <a:off x="0" y="0"/>
                      <a:ext cx="6552000" cy="9046446"/>
                    </a:xfrm>
                    <a:prstGeom prst="rect">
                      <a:avLst/>
                    </a:prstGeom>
                    <a:noFill/>
                    <a:ln>
                      <a:noFill/>
                    </a:ln>
                    <a:extLst>
                      <a:ext uri="{53640926-AAD7-44D8-BBD7-CCE9431645EC}">
                        <a14:shadowObscured xmlns:a14="http://schemas.microsoft.com/office/drawing/2010/main"/>
                      </a:ext>
                    </a:extLst>
                  </pic:spPr>
                </pic:pic>
              </a:graphicData>
            </a:graphic>
          </wp:inline>
        </w:drawing>
      </w:r>
    </w:p>
    <w:p w14:paraId="15721A3C" w14:textId="77777777" w:rsidR="0059608E" w:rsidRPr="00836530" w:rsidRDefault="0028187A" w:rsidP="00836530">
      <w:pPr>
        <w:pStyle w:val="Caption"/>
        <w:keepNext/>
        <w:spacing w:line="276" w:lineRule="auto"/>
        <w:rPr>
          <w:b w:val="0"/>
        </w:rPr>
      </w:pPr>
      <w:bookmarkStart w:id="880" w:name="_Ref480736903"/>
      <w:bookmarkStart w:id="881" w:name="_Toc502499853"/>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6</w:t>
      </w:r>
      <w:r w:rsidR="00C91BF5">
        <w:fldChar w:fldCharType="end"/>
      </w:r>
      <w:bookmarkEnd w:id="880"/>
      <w:r w:rsidR="00836530">
        <w:rPr>
          <w:b w:val="0"/>
        </w:rPr>
        <w:t>:</w:t>
      </w:r>
      <w:r w:rsidR="0003095A" w:rsidRPr="00836530">
        <w:rPr>
          <w:b w:val="0"/>
        </w:rPr>
        <w:t xml:space="preserve"> Temporal concentration profiles of individual herbicides at Barratta Creek mouth in the Burdekin region</w:t>
      </w:r>
      <w:bookmarkEnd w:id="881"/>
    </w:p>
    <w:p w14:paraId="15721A3D" w14:textId="77777777" w:rsidR="0003095A" w:rsidRDefault="00C40614" w:rsidP="00015606">
      <w:pPr>
        <w:keepNext/>
        <w:spacing w:line="276" w:lineRule="auto"/>
        <w:jc w:val="center"/>
      </w:pPr>
      <w:r w:rsidRPr="00C40614">
        <w:rPr>
          <w:noProof/>
          <w:lang w:val="en-AU" w:eastAsia="en-AU" w:bidi="ar-SA"/>
        </w:rPr>
        <w:drawing>
          <wp:inline distT="0" distB="0" distL="0" distR="0" wp14:anchorId="15721ACC" wp14:editId="2730BCBB">
            <wp:extent cx="6372000" cy="9110793"/>
            <wp:effectExtent l="0" t="0" r="0" b="0"/>
            <wp:docPr id="7214" name="Picture 7214" descr="Figure I 7: Temporal concentration profiles of individual herbicides at Repulse Bay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rotWithShape="1">
                    <a:blip r:embed="rId101" cstate="print">
                      <a:extLst>
                        <a:ext uri="{28A0092B-C50C-407E-A947-70E740481C1C}">
                          <a14:useLocalDpi xmlns:a14="http://schemas.microsoft.com/office/drawing/2010/main" val="0"/>
                        </a:ext>
                      </a:extLst>
                    </a:blip>
                    <a:srcRect t="2022" b="2259"/>
                    <a:stretch/>
                  </pic:blipFill>
                  <pic:spPr bwMode="auto">
                    <a:xfrm>
                      <a:off x="0" y="0"/>
                      <a:ext cx="6372000" cy="9110793"/>
                    </a:xfrm>
                    <a:prstGeom prst="rect">
                      <a:avLst/>
                    </a:prstGeom>
                    <a:noFill/>
                    <a:ln>
                      <a:noFill/>
                    </a:ln>
                    <a:extLst>
                      <a:ext uri="{53640926-AAD7-44D8-BBD7-CCE9431645EC}">
                        <a14:shadowObscured xmlns:a14="http://schemas.microsoft.com/office/drawing/2010/main"/>
                      </a:ext>
                    </a:extLst>
                  </pic:spPr>
                </pic:pic>
              </a:graphicData>
            </a:graphic>
          </wp:inline>
        </w:drawing>
      </w:r>
    </w:p>
    <w:p w14:paraId="15721A3E" w14:textId="77777777" w:rsidR="0059608E" w:rsidRPr="00836530" w:rsidRDefault="0028187A" w:rsidP="00836530">
      <w:pPr>
        <w:pStyle w:val="Caption"/>
        <w:keepNext/>
        <w:spacing w:line="276" w:lineRule="auto"/>
        <w:rPr>
          <w:b w:val="0"/>
        </w:rPr>
      </w:pPr>
      <w:bookmarkStart w:id="882" w:name="_Ref480752479"/>
      <w:bookmarkStart w:id="883" w:name="_Toc502499854"/>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7</w:t>
      </w:r>
      <w:r w:rsidR="00C91BF5">
        <w:fldChar w:fldCharType="end"/>
      </w:r>
      <w:bookmarkEnd w:id="882"/>
      <w:r w:rsidR="00836530">
        <w:rPr>
          <w:b w:val="0"/>
        </w:rPr>
        <w:t>:</w:t>
      </w:r>
      <w:r w:rsidR="0003095A" w:rsidRPr="00836530">
        <w:rPr>
          <w:b w:val="0"/>
        </w:rPr>
        <w:t xml:space="preserve"> Temporal concentration profiles of individual herbicides at Repulse Bay in the Mackay Whitsunday region</w:t>
      </w:r>
      <w:bookmarkEnd w:id="883"/>
    </w:p>
    <w:p w14:paraId="15721A3F" w14:textId="5702A01B" w:rsidR="00DF2C51" w:rsidRDefault="00AE5617" w:rsidP="00015606">
      <w:pPr>
        <w:keepNext/>
        <w:spacing w:line="276" w:lineRule="auto"/>
        <w:jc w:val="center"/>
      </w:pPr>
      <w:r w:rsidRPr="00AE5617">
        <w:rPr>
          <w:noProof/>
          <w:lang w:val="en-AU" w:eastAsia="en-AU" w:bidi="ar-SA"/>
        </w:rPr>
        <w:drawing>
          <wp:inline distT="0" distB="0" distL="0" distR="0" wp14:anchorId="1E2A086B" wp14:editId="272C3637">
            <wp:extent cx="6156000" cy="9055540"/>
            <wp:effectExtent l="0" t="0" r="0" b="0"/>
            <wp:docPr id="24" name="Picture 24" descr="Figure I 8: Temporal concentration profiles of individual herbicides at Round Top Island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02">
                      <a:extLst>
                        <a:ext uri="{28A0092B-C50C-407E-A947-70E740481C1C}">
                          <a14:useLocalDpi xmlns:a14="http://schemas.microsoft.com/office/drawing/2010/main" val="0"/>
                        </a:ext>
                      </a:extLst>
                    </a:blip>
                    <a:srcRect t="1523" b="1159"/>
                    <a:stretch/>
                  </pic:blipFill>
                  <pic:spPr bwMode="auto">
                    <a:xfrm>
                      <a:off x="0" y="0"/>
                      <a:ext cx="6156000" cy="9055540"/>
                    </a:xfrm>
                    <a:prstGeom prst="rect">
                      <a:avLst/>
                    </a:prstGeom>
                    <a:noFill/>
                    <a:ln>
                      <a:noFill/>
                    </a:ln>
                    <a:extLst>
                      <a:ext uri="{53640926-AAD7-44D8-BBD7-CCE9431645EC}">
                        <a14:shadowObscured xmlns:a14="http://schemas.microsoft.com/office/drawing/2010/main"/>
                      </a:ext>
                    </a:extLst>
                  </pic:spPr>
                </pic:pic>
              </a:graphicData>
            </a:graphic>
          </wp:inline>
        </w:drawing>
      </w:r>
    </w:p>
    <w:p w14:paraId="15721A40" w14:textId="20420438" w:rsidR="0059608E" w:rsidRPr="00836530" w:rsidRDefault="0028187A" w:rsidP="00836530">
      <w:pPr>
        <w:pStyle w:val="Caption"/>
        <w:keepNext/>
        <w:spacing w:line="276" w:lineRule="auto"/>
        <w:rPr>
          <w:b w:val="0"/>
        </w:rPr>
      </w:pPr>
      <w:bookmarkStart w:id="884" w:name="_Toc502499855"/>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8</w:t>
      </w:r>
      <w:r w:rsidR="00C91BF5">
        <w:fldChar w:fldCharType="end"/>
      </w:r>
      <w:r w:rsidR="00836530">
        <w:rPr>
          <w:b w:val="0"/>
        </w:rPr>
        <w:t>:</w:t>
      </w:r>
      <w:r w:rsidR="00DF2C51" w:rsidRPr="00836530">
        <w:rPr>
          <w:b w:val="0"/>
        </w:rPr>
        <w:t xml:space="preserve"> Temporal concentration profiles of individual herbicides at Round Top Island in the Mackay Whitsunday region</w:t>
      </w:r>
      <w:bookmarkEnd w:id="884"/>
    </w:p>
    <w:p w14:paraId="15721A41" w14:textId="77777777" w:rsidR="0026563F" w:rsidRDefault="00ED1DB8" w:rsidP="00015606">
      <w:pPr>
        <w:keepNext/>
        <w:spacing w:line="276" w:lineRule="auto"/>
        <w:jc w:val="center"/>
      </w:pPr>
      <w:r w:rsidRPr="00ED1DB8">
        <w:rPr>
          <w:noProof/>
          <w:lang w:val="en-AU" w:eastAsia="en-AU" w:bidi="ar-SA"/>
        </w:rPr>
        <w:drawing>
          <wp:inline distT="0" distB="0" distL="0" distR="0" wp14:anchorId="15721AD0" wp14:editId="2F728F62">
            <wp:extent cx="6156000" cy="9090911"/>
            <wp:effectExtent l="0" t="0" r="0" b="0"/>
            <wp:docPr id="7217" name="Picture 7217" descr="Figure I 9: Temporal concentration profiles of individual herbicides at Sandy Creek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rotWithShape="1">
                    <a:blip r:embed="rId103" cstate="print">
                      <a:extLst>
                        <a:ext uri="{28A0092B-C50C-407E-A947-70E740481C1C}">
                          <a14:useLocalDpi xmlns:a14="http://schemas.microsoft.com/office/drawing/2010/main" val="0"/>
                        </a:ext>
                      </a:extLst>
                    </a:blip>
                    <a:srcRect t="1982" b="1982"/>
                    <a:stretch/>
                  </pic:blipFill>
                  <pic:spPr bwMode="auto">
                    <a:xfrm>
                      <a:off x="0" y="0"/>
                      <a:ext cx="6156000" cy="9090911"/>
                    </a:xfrm>
                    <a:prstGeom prst="rect">
                      <a:avLst/>
                    </a:prstGeom>
                    <a:noFill/>
                    <a:ln>
                      <a:noFill/>
                    </a:ln>
                    <a:extLst>
                      <a:ext uri="{53640926-AAD7-44D8-BBD7-CCE9431645EC}">
                        <a14:shadowObscured xmlns:a14="http://schemas.microsoft.com/office/drawing/2010/main"/>
                      </a:ext>
                    </a:extLst>
                  </pic:spPr>
                </pic:pic>
              </a:graphicData>
            </a:graphic>
          </wp:inline>
        </w:drawing>
      </w:r>
    </w:p>
    <w:p w14:paraId="15721A42" w14:textId="77777777" w:rsidR="0059608E" w:rsidRPr="00836530" w:rsidRDefault="0028187A" w:rsidP="00836530">
      <w:pPr>
        <w:pStyle w:val="Caption"/>
        <w:keepNext/>
        <w:spacing w:line="276" w:lineRule="auto"/>
        <w:rPr>
          <w:b w:val="0"/>
        </w:rPr>
      </w:pPr>
      <w:bookmarkStart w:id="885" w:name="_Toc502499856"/>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9</w:t>
      </w:r>
      <w:r w:rsidR="00C91BF5">
        <w:fldChar w:fldCharType="end"/>
      </w:r>
      <w:r w:rsidR="00836530">
        <w:rPr>
          <w:b w:val="0"/>
        </w:rPr>
        <w:t>:</w:t>
      </w:r>
      <w:r w:rsidR="0026563F" w:rsidRPr="00836530">
        <w:rPr>
          <w:b w:val="0"/>
        </w:rPr>
        <w:t xml:space="preserve"> Temporal concentration profiles of individual herbicides at Sandy Creek in the Mackay Whitsunday region</w:t>
      </w:r>
      <w:bookmarkEnd w:id="885"/>
    </w:p>
    <w:p w14:paraId="15721A43" w14:textId="77777777" w:rsidR="0026563F" w:rsidRDefault="00ED1DB8" w:rsidP="00015606">
      <w:pPr>
        <w:keepNext/>
        <w:spacing w:line="276" w:lineRule="auto"/>
        <w:jc w:val="center"/>
      </w:pPr>
      <w:r w:rsidRPr="00ED1DB8">
        <w:rPr>
          <w:noProof/>
          <w:lang w:val="en-AU" w:eastAsia="en-AU" w:bidi="ar-SA"/>
        </w:rPr>
        <w:drawing>
          <wp:inline distT="0" distB="0" distL="0" distR="0" wp14:anchorId="15721AD2" wp14:editId="2146E207">
            <wp:extent cx="6264000" cy="9071660"/>
            <wp:effectExtent l="0" t="0" r="0" b="0"/>
            <wp:docPr id="7219" name="Picture 7219" descr="Figure I 10: Temporal concentration profiles of individual herbicides at Sarina Inlet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rotWithShape="1">
                    <a:blip r:embed="rId104" cstate="print">
                      <a:extLst>
                        <a:ext uri="{28A0092B-C50C-407E-A947-70E740481C1C}">
                          <a14:useLocalDpi xmlns:a14="http://schemas.microsoft.com/office/drawing/2010/main" val="0"/>
                        </a:ext>
                      </a:extLst>
                    </a:blip>
                    <a:srcRect t="1785" b="1664"/>
                    <a:stretch/>
                  </pic:blipFill>
                  <pic:spPr bwMode="auto">
                    <a:xfrm>
                      <a:off x="0" y="0"/>
                      <a:ext cx="6264000" cy="9071660"/>
                    </a:xfrm>
                    <a:prstGeom prst="rect">
                      <a:avLst/>
                    </a:prstGeom>
                    <a:noFill/>
                    <a:ln>
                      <a:noFill/>
                    </a:ln>
                    <a:extLst>
                      <a:ext uri="{53640926-AAD7-44D8-BBD7-CCE9431645EC}">
                        <a14:shadowObscured xmlns:a14="http://schemas.microsoft.com/office/drawing/2010/main"/>
                      </a:ext>
                    </a:extLst>
                  </pic:spPr>
                </pic:pic>
              </a:graphicData>
            </a:graphic>
          </wp:inline>
        </w:drawing>
      </w:r>
    </w:p>
    <w:p w14:paraId="15721A44" w14:textId="77777777" w:rsidR="0059608E" w:rsidRPr="00836530" w:rsidRDefault="0028187A" w:rsidP="00836530">
      <w:pPr>
        <w:pStyle w:val="Caption"/>
        <w:keepNext/>
        <w:spacing w:line="276" w:lineRule="auto"/>
        <w:rPr>
          <w:b w:val="0"/>
        </w:rPr>
      </w:pPr>
      <w:bookmarkStart w:id="886" w:name="_Ref480752484"/>
      <w:bookmarkStart w:id="887" w:name="_Toc502499857"/>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10</w:t>
      </w:r>
      <w:r w:rsidR="00C91BF5">
        <w:fldChar w:fldCharType="end"/>
      </w:r>
      <w:bookmarkEnd w:id="886"/>
      <w:r w:rsidR="00836530">
        <w:rPr>
          <w:b w:val="0"/>
        </w:rPr>
        <w:t>:</w:t>
      </w:r>
      <w:r w:rsidR="0026563F" w:rsidRPr="00836530">
        <w:rPr>
          <w:b w:val="0"/>
        </w:rPr>
        <w:t xml:space="preserve"> Temporal concentration profiles of individual herbicides at</w:t>
      </w:r>
      <w:r w:rsidR="0050579D" w:rsidRPr="00836530">
        <w:rPr>
          <w:b w:val="0"/>
        </w:rPr>
        <w:t xml:space="preserve"> </w:t>
      </w:r>
      <w:r w:rsidR="0026563F" w:rsidRPr="00836530">
        <w:rPr>
          <w:b w:val="0"/>
        </w:rPr>
        <w:t>Sarina Inlet in the Mackay Whitsunday region</w:t>
      </w:r>
      <w:bookmarkEnd w:id="887"/>
    </w:p>
    <w:p w14:paraId="15721A45" w14:textId="77777777" w:rsidR="0026563F" w:rsidRDefault="00C40614" w:rsidP="00015606">
      <w:pPr>
        <w:keepNext/>
        <w:spacing w:line="276" w:lineRule="auto"/>
        <w:jc w:val="center"/>
      </w:pPr>
      <w:r w:rsidRPr="00C40614">
        <w:rPr>
          <w:noProof/>
          <w:lang w:val="en-AU" w:eastAsia="en-AU" w:bidi="ar-SA"/>
        </w:rPr>
        <w:drawing>
          <wp:inline distT="0" distB="0" distL="0" distR="0" wp14:anchorId="15721AD4" wp14:editId="426AFDE0">
            <wp:extent cx="6264000" cy="9067432"/>
            <wp:effectExtent l="0" t="0" r="0" b="0"/>
            <wp:docPr id="7215" name="Picture 7215" descr="Figure I 11: Temporal concentration profiles of individual herbicides at North Keppel Island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rotWithShape="1">
                    <a:blip r:embed="rId105" cstate="print">
                      <a:extLst>
                        <a:ext uri="{28A0092B-C50C-407E-A947-70E740481C1C}">
                          <a14:useLocalDpi xmlns:a14="http://schemas.microsoft.com/office/drawing/2010/main" val="0"/>
                        </a:ext>
                      </a:extLst>
                    </a:blip>
                    <a:srcRect t="1895" b="1892"/>
                    <a:stretch/>
                  </pic:blipFill>
                  <pic:spPr bwMode="auto">
                    <a:xfrm>
                      <a:off x="0" y="0"/>
                      <a:ext cx="6264000" cy="9067432"/>
                    </a:xfrm>
                    <a:prstGeom prst="rect">
                      <a:avLst/>
                    </a:prstGeom>
                    <a:noFill/>
                    <a:ln>
                      <a:noFill/>
                    </a:ln>
                    <a:extLst>
                      <a:ext uri="{53640926-AAD7-44D8-BBD7-CCE9431645EC}">
                        <a14:shadowObscured xmlns:a14="http://schemas.microsoft.com/office/drawing/2010/main"/>
                      </a:ext>
                    </a:extLst>
                  </pic:spPr>
                </pic:pic>
              </a:graphicData>
            </a:graphic>
          </wp:inline>
        </w:drawing>
      </w:r>
    </w:p>
    <w:p w14:paraId="15721A46" w14:textId="103ADF46" w:rsidR="006130D4" w:rsidRDefault="0028187A" w:rsidP="0095124C">
      <w:pPr>
        <w:pStyle w:val="Caption"/>
        <w:keepNext/>
        <w:spacing w:line="276" w:lineRule="auto"/>
      </w:pPr>
      <w:bookmarkStart w:id="888" w:name="_Ref480728568"/>
      <w:bookmarkStart w:id="889" w:name="_Toc502499858"/>
      <w:r>
        <w:t xml:space="preserve">Figure </w:t>
      </w:r>
      <w:r w:rsidR="00C91BF5">
        <w:fldChar w:fldCharType="begin"/>
      </w:r>
      <w:r w:rsidR="008C60F9">
        <w:instrText xml:space="preserve"> STYLEREF 7 \s </w:instrText>
      </w:r>
      <w:r w:rsidR="00C91BF5">
        <w:fldChar w:fldCharType="separate"/>
      </w:r>
      <w:r w:rsidR="00D12276">
        <w:rPr>
          <w:noProof/>
        </w:rPr>
        <w:t>I</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D12276">
        <w:rPr>
          <w:noProof/>
        </w:rPr>
        <w:t>11</w:t>
      </w:r>
      <w:r w:rsidR="00C91BF5">
        <w:fldChar w:fldCharType="end"/>
      </w:r>
      <w:bookmarkEnd w:id="888"/>
      <w:r w:rsidR="00836530">
        <w:rPr>
          <w:b w:val="0"/>
        </w:rPr>
        <w:t>:</w:t>
      </w:r>
      <w:r w:rsidR="0026563F" w:rsidRPr="00836530">
        <w:rPr>
          <w:b w:val="0"/>
        </w:rPr>
        <w:t xml:space="preserve"> Temporal concentration profiles of individual herbicides at North Keppel Island in the Fitzroy region</w:t>
      </w:r>
      <w:bookmarkStart w:id="890" w:name="_Toc335638633"/>
      <w:bookmarkStart w:id="891" w:name="_Toc335641243"/>
      <w:bookmarkStart w:id="892" w:name="_Toc335638634"/>
      <w:bookmarkStart w:id="893" w:name="_Toc335641244"/>
      <w:bookmarkStart w:id="894" w:name="_Toc335638635"/>
      <w:bookmarkStart w:id="895" w:name="_Toc335641245"/>
      <w:bookmarkStart w:id="896" w:name="_Toc335638636"/>
      <w:bookmarkStart w:id="897" w:name="_Toc335641246"/>
      <w:bookmarkStart w:id="898" w:name="_Toc335638637"/>
      <w:bookmarkStart w:id="899" w:name="_Toc335641247"/>
      <w:bookmarkEnd w:id="889"/>
      <w:bookmarkEnd w:id="890"/>
      <w:bookmarkEnd w:id="891"/>
      <w:bookmarkEnd w:id="892"/>
      <w:bookmarkEnd w:id="893"/>
      <w:bookmarkEnd w:id="894"/>
      <w:bookmarkEnd w:id="895"/>
      <w:bookmarkEnd w:id="896"/>
      <w:bookmarkEnd w:id="897"/>
      <w:bookmarkEnd w:id="898"/>
      <w:bookmarkEnd w:id="899"/>
    </w:p>
    <w:sectPr w:rsidR="006130D4" w:rsidSect="006130D4">
      <w:type w:val="continuous"/>
      <w:pgSz w:w="11907" w:h="16840" w:code="9"/>
      <w:pgMar w:top="720" w:right="567"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9D0D78" w14:textId="77777777" w:rsidR="00515CEF" w:rsidRDefault="00515CEF">
      <w:r>
        <w:separator/>
      </w:r>
    </w:p>
  </w:endnote>
  <w:endnote w:type="continuationSeparator" w:id="0">
    <w:p w14:paraId="479DA396" w14:textId="77777777" w:rsidR="00515CEF" w:rsidRDefault="00515CEF">
      <w:r>
        <w:continuationSeparator/>
      </w:r>
    </w:p>
  </w:endnote>
  <w:endnote w:type="continuationNotice" w:id="1">
    <w:p w14:paraId="6DF07425" w14:textId="77777777" w:rsidR="00515CEF" w:rsidRDefault="00515C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Myriad Pro">
    <w:altName w:val="Segoe UI"/>
    <w:panose1 w:val="00000000000000000000"/>
    <w:charset w:val="00"/>
    <w:family w:val="swiss"/>
    <w:notTrueType/>
    <w:pitch w:val="variable"/>
    <w:sig w:usb0="20000287" w:usb1="00000001"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Dotum">
    <w:altName w:val="돋움"/>
    <w:panose1 w:val="020B0600000101010101"/>
    <w:charset w:val="81"/>
    <w:family w:val="modern"/>
    <w:notTrueType/>
    <w:pitch w:val="fixed"/>
    <w:sig w:usb0="00000001" w:usb1="09060000" w:usb2="00000010" w:usb3="00000000" w:csb0="00080000" w:csb1="00000000"/>
  </w:font>
  <w:font w:name="Century Gothic">
    <w:panose1 w:val="020B05020202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4013896"/>
      <w:docPartObj>
        <w:docPartGallery w:val="Page Numbers (Bottom of Page)"/>
        <w:docPartUnique/>
      </w:docPartObj>
    </w:sdtPr>
    <w:sdtEndPr>
      <w:rPr>
        <w:noProof/>
      </w:rPr>
    </w:sdtEndPr>
    <w:sdtContent>
      <w:p w14:paraId="15721B54" w14:textId="69C0CDC5" w:rsidR="00515CEF" w:rsidRDefault="00515CEF" w:rsidP="00934FAD">
        <w:pPr>
          <w:pStyle w:val="Footer"/>
          <w:pBdr>
            <w:top w:val="single" w:sz="12" w:space="1" w:color="0070C0"/>
          </w:pBdr>
          <w:jc w:val="center"/>
        </w:pPr>
        <w:r>
          <w:fldChar w:fldCharType="begin"/>
        </w:r>
        <w:r>
          <w:instrText xml:space="preserve"> PAGE   \* MERGEFORMAT </w:instrText>
        </w:r>
        <w:r>
          <w:fldChar w:fldCharType="separate"/>
        </w:r>
        <w:r w:rsidR="008A61E1">
          <w:rPr>
            <w:noProof/>
          </w:rPr>
          <w:t>i</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Gill Sans MT" w:hAnsi="Gill Sans MT"/>
        <w:sz w:val="20"/>
      </w:rPr>
      <w:id w:val="-269093589"/>
      <w:docPartObj>
        <w:docPartGallery w:val="Page Numbers (Bottom of Page)"/>
        <w:docPartUnique/>
      </w:docPartObj>
    </w:sdtPr>
    <w:sdtEndPr>
      <w:rPr>
        <w:noProof/>
      </w:rPr>
    </w:sdtEndPr>
    <w:sdtContent>
      <w:p w14:paraId="15721B55" w14:textId="0D4E8D28" w:rsidR="00515CEF" w:rsidRPr="007721EA" w:rsidRDefault="00515CEF" w:rsidP="00934FAD">
        <w:pPr>
          <w:pStyle w:val="Footer"/>
          <w:pBdr>
            <w:top w:val="single" w:sz="12" w:space="1" w:color="0070C0"/>
          </w:pBdr>
          <w:jc w:val="center"/>
          <w:rPr>
            <w:rFonts w:ascii="Gill Sans MT" w:hAnsi="Gill Sans MT"/>
            <w:sz w:val="20"/>
          </w:rPr>
        </w:pPr>
        <w:r w:rsidRPr="007721EA">
          <w:rPr>
            <w:rFonts w:ascii="Gill Sans MT" w:hAnsi="Gill Sans MT"/>
            <w:sz w:val="20"/>
          </w:rPr>
          <w:fldChar w:fldCharType="begin"/>
        </w:r>
        <w:r w:rsidRPr="007721EA">
          <w:rPr>
            <w:rFonts w:ascii="Gill Sans MT" w:hAnsi="Gill Sans MT"/>
            <w:sz w:val="20"/>
          </w:rPr>
          <w:instrText xml:space="preserve"> PAGE   \* MERGEFORMAT </w:instrText>
        </w:r>
        <w:r w:rsidRPr="007721EA">
          <w:rPr>
            <w:rFonts w:ascii="Gill Sans MT" w:hAnsi="Gill Sans MT"/>
            <w:sz w:val="20"/>
          </w:rPr>
          <w:fldChar w:fldCharType="separate"/>
        </w:r>
        <w:r w:rsidR="008A61E1">
          <w:rPr>
            <w:rFonts w:ascii="Gill Sans MT" w:hAnsi="Gill Sans MT"/>
            <w:noProof/>
            <w:sz w:val="20"/>
          </w:rPr>
          <w:t>21</w:t>
        </w:r>
        <w:r w:rsidRPr="007721EA">
          <w:rPr>
            <w:rFonts w:ascii="Gill Sans MT" w:hAnsi="Gill Sans MT"/>
            <w:noProof/>
            <w:sz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3A8617" w14:textId="77777777" w:rsidR="00515CEF" w:rsidRDefault="00515CEF">
      <w:r>
        <w:separator/>
      </w:r>
    </w:p>
  </w:footnote>
  <w:footnote w:type="continuationSeparator" w:id="0">
    <w:p w14:paraId="306B6A5F" w14:textId="77777777" w:rsidR="00515CEF" w:rsidRDefault="00515CEF">
      <w:r>
        <w:continuationSeparator/>
      </w:r>
    </w:p>
  </w:footnote>
  <w:footnote w:type="continuationNotice" w:id="1">
    <w:p w14:paraId="61408131" w14:textId="77777777" w:rsidR="00515CEF" w:rsidRDefault="00515CEF"/>
  </w:footnote>
  <w:footnote w:id="2">
    <w:p w14:paraId="15721B56" w14:textId="77777777" w:rsidR="00515CEF" w:rsidRPr="00C15196" w:rsidRDefault="00515CEF" w:rsidP="00C15196">
      <w:pPr>
        <w:autoSpaceDE w:val="0"/>
        <w:autoSpaceDN w:val="0"/>
        <w:adjustRightInd w:val="0"/>
        <w:jc w:val="left"/>
        <w:rPr>
          <w:lang w:val="en-AU"/>
        </w:rPr>
      </w:pPr>
      <w:r>
        <w:rPr>
          <w:rStyle w:val="FootnoteReference"/>
        </w:rPr>
        <w:footnoteRef/>
      </w:r>
      <w:r>
        <w:t xml:space="preserve"> </w:t>
      </w:r>
      <w:r w:rsidRPr="00734C2D">
        <w:rPr>
          <w:sz w:val="20"/>
          <w:lang w:val="en-AU"/>
        </w:rPr>
        <w:t>Matched datasets are defined by Smith et al. (2016a) as “toxicity data from studies conducted within the same laboratory where multiple chemicals are tested under the same test conditions to a consistent set of organisms.”</w:t>
      </w:r>
    </w:p>
  </w:footnote>
  <w:footnote w:id="3">
    <w:p w14:paraId="15721B57" w14:textId="77777777" w:rsidR="00515CEF" w:rsidRPr="00FA7257" w:rsidRDefault="00515CEF">
      <w:pPr>
        <w:pStyle w:val="FootnoteText"/>
        <w:rPr>
          <w:lang w:val="en-AU"/>
        </w:rPr>
      </w:pPr>
      <w:r>
        <w:rPr>
          <w:rStyle w:val="FootnoteReference"/>
        </w:rPr>
        <w:footnoteRef/>
      </w:r>
      <w:r>
        <w:t xml:space="preserve"> </w:t>
      </w:r>
      <w:r>
        <w:rPr>
          <w:lang w:val="en-AU"/>
        </w:rPr>
        <w:t xml:space="preserve">A global regression model fits one model to the cumulative distribution of multiple variables. In this case a logistic model was fitted to the species ecotoxicity data of all 13 PSII herbicides. This global SSD thus provided the representative SSD for all PSII herbicides.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721B52" w14:textId="77777777" w:rsidR="00515CEF" w:rsidRPr="00C43B68" w:rsidRDefault="008A61E1" w:rsidP="00737A21">
    <w:pPr>
      <w:pBdr>
        <w:bottom w:val="single" w:sz="12" w:space="1" w:color="0070C0"/>
      </w:pBdr>
      <w:rPr>
        <w:rFonts w:cs="Arial"/>
        <w:sz w:val="18"/>
        <w:lang w:val="en-AU"/>
      </w:rPr>
    </w:pPr>
    <w:sdt>
      <w:sdtPr>
        <w:rPr>
          <w:sz w:val="16"/>
          <w:szCs w:val="16"/>
        </w:rPr>
        <w:id w:val="1886138611"/>
        <w:docPartObj>
          <w:docPartGallery w:val="Watermarks"/>
          <w:docPartUnique/>
        </w:docPartObj>
      </w:sdtPr>
      <w:sdtEndPr/>
      <w:sdtContent/>
    </w:sdt>
    <w:r w:rsidR="00515CEF" w:rsidRPr="00737A21">
      <w:rPr>
        <w:rFonts w:cs="Arial"/>
        <w:sz w:val="18"/>
        <w:lang w:val="en-AU"/>
      </w:rPr>
      <w:t xml:space="preserve"> </w:t>
    </w:r>
    <w:r w:rsidR="00515CEF">
      <w:rPr>
        <w:rFonts w:cs="Arial"/>
        <w:sz w:val="18"/>
        <w:lang w:val="en-AU"/>
      </w:rPr>
      <w:t>Marine Monitoring Program: Annual Report for inshore pesticide monitoring 2015-16</w:t>
    </w:r>
  </w:p>
  <w:p w14:paraId="15721B53" w14:textId="77777777" w:rsidR="00515CEF" w:rsidRPr="00123A23" w:rsidRDefault="00515CEF" w:rsidP="00737A21">
    <w:pPr>
      <w:pStyle w:val="Header"/>
      <w:rPr>
        <w:color w:val="BFBFBF" w:themeColor="background1" w:themeShade="BF"/>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9031D"/>
    <w:multiLevelType w:val="hybridMultilevel"/>
    <w:tmpl w:val="5F42DB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72257B1"/>
    <w:multiLevelType w:val="multilevel"/>
    <w:tmpl w:val="B3C874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F71110"/>
    <w:multiLevelType w:val="hybridMultilevel"/>
    <w:tmpl w:val="661CA13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BCC488C"/>
    <w:multiLevelType w:val="hybridMultilevel"/>
    <w:tmpl w:val="A7F033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DE36447"/>
    <w:multiLevelType w:val="hybridMultilevel"/>
    <w:tmpl w:val="73727D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0720AC6"/>
    <w:multiLevelType w:val="hybridMultilevel"/>
    <w:tmpl w:val="443E5C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13C59EF"/>
    <w:multiLevelType w:val="hybridMultilevel"/>
    <w:tmpl w:val="B7CECB88"/>
    <w:lvl w:ilvl="0" w:tplc="0C090001">
      <w:start w:val="1"/>
      <w:numFmt w:val="bullet"/>
      <w:lvlText w:val=""/>
      <w:lvlJc w:val="left"/>
      <w:pPr>
        <w:ind w:left="1287"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7" w15:restartNumberingAfterBreak="0">
    <w:nsid w:val="15E107A4"/>
    <w:multiLevelType w:val="hybridMultilevel"/>
    <w:tmpl w:val="949ED5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9080D17"/>
    <w:multiLevelType w:val="hybridMultilevel"/>
    <w:tmpl w:val="B8BCA6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60836A6"/>
    <w:multiLevelType w:val="hybridMultilevel"/>
    <w:tmpl w:val="623053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6123C91"/>
    <w:multiLevelType w:val="hybridMultilevel"/>
    <w:tmpl w:val="89C6D1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885243B"/>
    <w:multiLevelType w:val="multilevel"/>
    <w:tmpl w:val="5C96586E"/>
    <w:styleLink w:val="Style1"/>
    <w:lvl w:ilvl="0">
      <w:start w:val="1"/>
      <w:numFmt w:val="upperLetter"/>
      <w:lvlText w:val="%1."/>
      <w:lvlJc w:val="left"/>
      <w:pPr>
        <w:ind w:left="432" w:hanging="432"/>
      </w:pPr>
      <w:rPr>
        <w:rFonts w:hint="default"/>
        <w:sz w:val="32"/>
      </w:rPr>
    </w:lvl>
    <w:lvl w:ilvl="1">
      <w:start w:val="1"/>
      <w:numFmt w:val="decimal"/>
      <w:lvlText w:val="%1.%2"/>
      <w:lvlJc w:val="left"/>
      <w:pPr>
        <w:ind w:left="7239" w:hanging="576"/>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2F614ED1"/>
    <w:multiLevelType w:val="hybridMultilevel"/>
    <w:tmpl w:val="003EBF4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3" w15:restartNumberingAfterBreak="0">
    <w:nsid w:val="42DC3C1D"/>
    <w:multiLevelType w:val="multilevel"/>
    <w:tmpl w:val="5ED0DE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upperLetter"/>
      <w:lvlText w:val="Appendix %7 "/>
      <w:lvlJc w:val="left"/>
      <w:pPr>
        <w:ind w:left="3763" w:hanging="360"/>
      </w:pPr>
      <w:rPr>
        <w:rFonts w:hint="default"/>
        <w:i w:val="0"/>
        <w:iCs w:val="0"/>
        <w:caps w:val="0"/>
        <w:smallCaps w:val="0"/>
        <w:strike w:val="0"/>
        <w:dstrike w:val="0"/>
        <w:vanish w:val="0"/>
        <w:color w:val="000000"/>
        <w:spacing w:val="0"/>
        <w:kern w:val="0"/>
        <w:position w:val="0"/>
        <w:u w:val="none"/>
        <w:effect w:val="none"/>
        <w:vertAlign w:val="baseline"/>
        <w:em w:val="none"/>
      </w:rPr>
    </w:lvl>
    <w:lvl w:ilvl="7">
      <w:start w:val="1"/>
      <w:numFmt w:val="decimal"/>
      <w:lvlRestart w:val="0"/>
      <w:pStyle w:val="Heading8"/>
      <w:lvlText w:val="%7-%8"/>
      <w:lvlJc w:val="left"/>
      <w:pPr>
        <w:ind w:left="851" w:hanging="425"/>
      </w:pPr>
      <w:rPr>
        <w:rFonts w:hint="default"/>
      </w:rPr>
    </w:lvl>
    <w:lvl w:ilvl="8">
      <w:start w:val="1"/>
      <w:numFmt w:val="lowerRoman"/>
      <w:lvlText w:val="%9."/>
      <w:lvlJc w:val="left"/>
      <w:pPr>
        <w:ind w:left="3240" w:hanging="360"/>
      </w:pPr>
      <w:rPr>
        <w:rFonts w:hint="default"/>
      </w:rPr>
    </w:lvl>
  </w:abstractNum>
  <w:abstractNum w:abstractNumId="14" w15:restartNumberingAfterBreak="0">
    <w:nsid w:val="45E649C3"/>
    <w:multiLevelType w:val="hybridMultilevel"/>
    <w:tmpl w:val="15F824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8536533"/>
    <w:multiLevelType w:val="hybridMultilevel"/>
    <w:tmpl w:val="6A8A96D0"/>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16" w15:restartNumberingAfterBreak="0">
    <w:nsid w:val="511B47F2"/>
    <w:multiLevelType w:val="multilevel"/>
    <w:tmpl w:val="ABEAA2C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upperLetter"/>
      <w:pStyle w:val="Heading7"/>
      <w:lvlText w:val="Appendix %7 "/>
      <w:lvlJc w:val="left"/>
      <w:pPr>
        <w:ind w:left="107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651B0748"/>
    <w:multiLevelType w:val="hybridMultilevel"/>
    <w:tmpl w:val="027CC9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A21301D"/>
    <w:multiLevelType w:val="multilevel"/>
    <w:tmpl w:val="02AA857A"/>
    <w:lvl w:ilvl="0">
      <w:start w:val="1"/>
      <w:numFmt w:val="decimal"/>
      <w:lvlText w:val="%1."/>
      <w:lvlJc w:val="left"/>
      <w:pPr>
        <w:ind w:left="432" w:hanging="432"/>
      </w:pPr>
      <w:rPr>
        <w:rFonts w:hint="default"/>
        <w:sz w:val="32"/>
      </w:rPr>
    </w:lvl>
    <w:lvl w:ilvl="1">
      <w:start w:val="1"/>
      <w:numFmt w:val="decimal"/>
      <w:lvlText w:val="%1.%2"/>
      <w:lvlJc w:val="left"/>
      <w:pPr>
        <w:ind w:left="576" w:hanging="576"/>
      </w:pPr>
      <w:rPr>
        <w:rFonts w:hint="default"/>
      </w:rPr>
    </w:lvl>
    <w:lvl w:ilvl="2">
      <w:start w:val="1"/>
      <w:numFmt w:val="decimal"/>
      <w:pStyle w:val="Heading3"/>
      <w:lvlText w:val="%1.%2.%3"/>
      <w:lvlJc w:val="left"/>
      <w:pPr>
        <w:ind w:left="720" w:hanging="720"/>
      </w:pPr>
      <w:rPr>
        <w:rFonts w:hint="default"/>
        <w:sz w:val="24"/>
        <w:szCs w:val="24"/>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9" w15:restartNumberingAfterBreak="0">
    <w:nsid w:val="79311701"/>
    <w:multiLevelType w:val="hybridMultilevel"/>
    <w:tmpl w:val="5E6A67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7AE877F5"/>
    <w:multiLevelType w:val="hybridMultilevel"/>
    <w:tmpl w:val="66CE4A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8"/>
  </w:num>
  <w:num w:numId="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num>
  <w:num w:numId="4">
    <w:abstractNumId w:val="12"/>
  </w:num>
  <w:num w:numId="5">
    <w:abstractNumId w:val="6"/>
  </w:num>
  <w:num w:numId="6">
    <w:abstractNumId w:val="8"/>
  </w:num>
  <w:num w:numId="7">
    <w:abstractNumId w:val="4"/>
  </w:num>
  <w:num w:numId="8">
    <w:abstractNumId w:val="5"/>
  </w:num>
  <w:num w:numId="9">
    <w:abstractNumId w:val="19"/>
  </w:num>
  <w:num w:numId="10">
    <w:abstractNumId w:val="20"/>
  </w:num>
  <w:num w:numId="11">
    <w:abstractNumId w:val="9"/>
  </w:num>
  <w:num w:numId="12">
    <w:abstractNumId w:val="7"/>
  </w:num>
  <w:num w:numId="13">
    <w:abstractNumId w:val="17"/>
  </w:num>
  <w:num w:numId="14">
    <w:abstractNumId w:val="3"/>
  </w:num>
  <w:num w:numId="15">
    <w:abstractNumId w:val="11"/>
  </w:num>
  <w:num w:numId="16">
    <w:abstractNumId w:val="2"/>
  </w:num>
  <w:num w:numId="17">
    <w:abstractNumId w:val="16"/>
  </w:num>
  <w:num w:numId="18">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2"/>
    </w:lvlOverride>
    <w:lvlOverride w:ilvl="7">
      <w:startOverride w:val="1"/>
    </w:lvlOverride>
    <w:lvlOverride w:ilvl="8">
      <w:startOverride w:val="1"/>
    </w:lvlOverride>
  </w:num>
  <w:num w:numId="19">
    <w:abstractNumId w:val="13"/>
  </w:num>
  <w:num w:numId="20">
    <w:abstractNumId w:val="0"/>
  </w:num>
  <w:num w:numId="21">
    <w:abstractNumId w:val="10"/>
  </w:num>
  <w:num w:numId="22">
    <w:abstractNumId w:val="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characterSpacingControl w:val="doNotCompress"/>
  <w:hdrShapeDefaults>
    <o:shapedefaults v:ext="edit" spidmax="573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nnotated Copy&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vtrt2pt4xpx5teta99vvtwg50vzve2aexae&quot;&gt;Reef Report 2015-2016 bibliography v2&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2&lt;/item&gt;&lt;item&gt;94&lt;/item&gt;&lt;item&gt;95&lt;/item&gt;&lt;item&gt;96&lt;/item&gt;&lt;item&gt;97&lt;/item&gt;&lt;item&gt;98&lt;/item&gt;&lt;item&gt;100&lt;/item&gt;&lt;item&gt;101&lt;/item&gt;&lt;item&gt;102&lt;/item&gt;&lt;item&gt;103&lt;/item&gt;&lt;item&gt;104&lt;/item&gt;&lt;item&gt;105&lt;/item&gt;&lt;item&gt;106&lt;/item&gt;&lt;/record-ids&gt;&lt;/item&gt;&lt;/Libraries&gt;"/>
  </w:docVars>
  <w:rsids>
    <w:rsidRoot w:val="0059608E"/>
    <w:rsid w:val="000001D7"/>
    <w:rsid w:val="000009BB"/>
    <w:rsid w:val="0000285F"/>
    <w:rsid w:val="00003CF2"/>
    <w:rsid w:val="00006785"/>
    <w:rsid w:val="000070BE"/>
    <w:rsid w:val="00010636"/>
    <w:rsid w:val="00010DAB"/>
    <w:rsid w:val="0001103E"/>
    <w:rsid w:val="00013663"/>
    <w:rsid w:val="000138A8"/>
    <w:rsid w:val="00015606"/>
    <w:rsid w:val="000157EF"/>
    <w:rsid w:val="00016315"/>
    <w:rsid w:val="00017A34"/>
    <w:rsid w:val="00021622"/>
    <w:rsid w:val="000225FF"/>
    <w:rsid w:val="00024097"/>
    <w:rsid w:val="00025878"/>
    <w:rsid w:val="00027377"/>
    <w:rsid w:val="0003095A"/>
    <w:rsid w:val="00030BBA"/>
    <w:rsid w:val="00030FD5"/>
    <w:rsid w:val="00032228"/>
    <w:rsid w:val="00033D0E"/>
    <w:rsid w:val="000350EE"/>
    <w:rsid w:val="00035468"/>
    <w:rsid w:val="00035854"/>
    <w:rsid w:val="000363B8"/>
    <w:rsid w:val="00037E71"/>
    <w:rsid w:val="000404EC"/>
    <w:rsid w:val="00041532"/>
    <w:rsid w:val="00041D10"/>
    <w:rsid w:val="00042332"/>
    <w:rsid w:val="00043133"/>
    <w:rsid w:val="000435B2"/>
    <w:rsid w:val="00044334"/>
    <w:rsid w:val="00045A01"/>
    <w:rsid w:val="0004744A"/>
    <w:rsid w:val="00055496"/>
    <w:rsid w:val="00056CED"/>
    <w:rsid w:val="00056CEF"/>
    <w:rsid w:val="00057A40"/>
    <w:rsid w:val="0006041C"/>
    <w:rsid w:val="00063699"/>
    <w:rsid w:val="00064328"/>
    <w:rsid w:val="000648FB"/>
    <w:rsid w:val="00064EFF"/>
    <w:rsid w:val="00066DCA"/>
    <w:rsid w:val="000670EA"/>
    <w:rsid w:val="0006758A"/>
    <w:rsid w:val="000700CF"/>
    <w:rsid w:val="00070AD6"/>
    <w:rsid w:val="00070AE2"/>
    <w:rsid w:val="00071755"/>
    <w:rsid w:val="00072562"/>
    <w:rsid w:val="00072B9B"/>
    <w:rsid w:val="00072CDF"/>
    <w:rsid w:val="000739B0"/>
    <w:rsid w:val="00073C4E"/>
    <w:rsid w:val="00074765"/>
    <w:rsid w:val="00074CA1"/>
    <w:rsid w:val="00075C08"/>
    <w:rsid w:val="00076960"/>
    <w:rsid w:val="00077143"/>
    <w:rsid w:val="00077F7F"/>
    <w:rsid w:val="00080088"/>
    <w:rsid w:val="00080CCC"/>
    <w:rsid w:val="00090DC1"/>
    <w:rsid w:val="00091338"/>
    <w:rsid w:val="00091AC3"/>
    <w:rsid w:val="000926F0"/>
    <w:rsid w:val="00092762"/>
    <w:rsid w:val="000945F0"/>
    <w:rsid w:val="00094A7B"/>
    <w:rsid w:val="000958C8"/>
    <w:rsid w:val="0009681A"/>
    <w:rsid w:val="000968C6"/>
    <w:rsid w:val="000969B2"/>
    <w:rsid w:val="00097E35"/>
    <w:rsid w:val="00097EAA"/>
    <w:rsid w:val="000A1670"/>
    <w:rsid w:val="000A467A"/>
    <w:rsid w:val="000A47E8"/>
    <w:rsid w:val="000A4BE1"/>
    <w:rsid w:val="000A4E92"/>
    <w:rsid w:val="000A514F"/>
    <w:rsid w:val="000A66D4"/>
    <w:rsid w:val="000A6CE1"/>
    <w:rsid w:val="000B10BF"/>
    <w:rsid w:val="000B182C"/>
    <w:rsid w:val="000B664E"/>
    <w:rsid w:val="000C0939"/>
    <w:rsid w:val="000C1191"/>
    <w:rsid w:val="000C31AA"/>
    <w:rsid w:val="000C78ED"/>
    <w:rsid w:val="000D05E0"/>
    <w:rsid w:val="000D1979"/>
    <w:rsid w:val="000D1A8A"/>
    <w:rsid w:val="000D22D5"/>
    <w:rsid w:val="000D2704"/>
    <w:rsid w:val="000D347F"/>
    <w:rsid w:val="000D44EC"/>
    <w:rsid w:val="000D4DA6"/>
    <w:rsid w:val="000D6E4C"/>
    <w:rsid w:val="000D7052"/>
    <w:rsid w:val="000D7725"/>
    <w:rsid w:val="000E0721"/>
    <w:rsid w:val="000E0E36"/>
    <w:rsid w:val="000E0F32"/>
    <w:rsid w:val="000E1268"/>
    <w:rsid w:val="000E1DE5"/>
    <w:rsid w:val="000E47C5"/>
    <w:rsid w:val="000E58AD"/>
    <w:rsid w:val="000F04BC"/>
    <w:rsid w:val="000F089E"/>
    <w:rsid w:val="000F1331"/>
    <w:rsid w:val="000F44FA"/>
    <w:rsid w:val="000F4A9A"/>
    <w:rsid w:val="000F6097"/>
    <w:rsid w:val="000F6FCD"/>
    <w:rsid w:val="000F7A33"/>
    <w:rsid w:val="00100F72"/>
    <w:rsid w:val="001018CD"/>
    <w:rsid w:val="00101FCA"/>
    <w:rsid w:val="0010546F"/>
    <w:rsid w:val="00106CE5"/>
    <w:rsid w:val="00110FB7"/>
    <w:rsid w:val="001113B2"/>
    <w:rsid w:val="001118D1"/>
    <w:rsid w:val="0011231F"/>
    <w:rsid w:val="00114630"/>
    <w:rsid w:val="00114646"/>
    <w:rsid w:val="00114A66"/>
    <w:rsid w:val="00114D34"/>
    <w:rsid w:val="00115AAD"/>
    <w:rsid w:val="00116C26"/>
    <w:rsid w:val="00116D87"/>
    <w:rsid w:val="00116E95"/>
    <w:rsid w:val="001176C7"/>
    <w:rsid w:val="001243CD"/>
    <w:rsid w:val="00125B7A"/>
    <w:rsid w:val="00126EC3"/>
    <w:rsid w:val="00127365"/>
    <w:rsid w:val="001301AC"/>
    <w:rsid w:val="00130543"/>
    <w:rsid w:val="00130DE2"/>
    <w:rsid w:val="0013215C"/>
    <w:rsid w:val="001322BE"/>
    <w:rsid w:val="00132810"/>
    <w:rsid w:val="00132B3C"/>
    <w:rsid w:val="001342C3"/>
    <w:rsid w:val="001347D2"/>
    <w:rsid w:val="00134D0C"/>
    <w:rsid w:val="00136232"/>
    <w:rsid w:val="00136467"/>
    <w:rsid w:val="00142FDE"/>
    <w:rsid w:val="0014321B"/>
    <w:rsid w:val="00143517"/>
    <w:rsid w:val="001445C6"/>
    <w:rsid w:val="0014602C"/>
    <w:rsid w:val="00146CF5"/>
    <w:rsid w:val="00146E35"/>
    <w:rsid w:val="00147096"/>
    <w:rsid w:val="001472CF"/>
    <w:rsid w:val="001474A3"/>
    <w:rsid w:val="0015046C"/>
    <w:rsid w:val="0015188B"/>
    <w:rsid w:val="00152D7C"/>
    <w:rsid w:val="00154E42"/>
    <w:rsid w:val="00156728"/>
    <w:rsid w:val="001572EB"/>
    <w:rsid w:val="00160436"/>
    <w:rsid w:val="00160B48"/>
    <w:rsid w:val="0016364B"/>
    <w:rsid w:val="00163671"/>
    <w:rsid w:val="00163F1A"/>
    <w:rsid w:val="00164BAA"/>
    <w:rsid w:val="00165BFA"/>
    <w:rsid w:val="00167B9A"/>
    <w:rsid w:val="00170EC4"/>
    <w:rsid w:val="00173519"/>
    <w:rsid w:val="00173558"/>
    <w:rsid w:val="00173793"/>
    <w:rsid w:val="001771B6"/>
    <w:rsid w:val="00177D81"/>
    <w:rsid w:val="0018039A"/>
    <w:rsid w:val="0018059A"/>
    <w:rsid w:val="00180E26"/>
    <w:rsid w:val="001830E2"/>
    <w:rsid w:val="00183D48"/>
    <w:rsid w:val="00184BA8"/>
    <w:rsid w:val="00184D34"/>
    <w:rsid w:val="00185B92"/>
    <w:rsid w:val="00185EFD"/>
    <w:rsid w:val="00186F38"/>
    <w:rsid w:val="00191499"/>
    <w:rsid w:val="0019242F"/>
    <w:rsid w:val="001926A3"/>
    <w:rsid w:val="00192C7C"/>
    <w:rsid w:val="001960E8"/>
    <w:rsid w:val="00197074"/>
    <w:rsid w:val="00197A1A"/>
    <w:rsid w:val="001A06D9"/>
    <w:rsid w:val="001A16CC"/>
    <w:rsid w:val="001A175A"/>
    <w:rsid w:val="001A21B2"/>
    <w:rsid w:val="001A22D4"/>
    <w:rsid w:val="001A2D80"/>
    <w:rsid w:val="001A2E6B"/>
    <w:rsid w:val="001A3AFC"/>
    <w:rsid w:val="001A402B"/>
    <w:rsid w:val="001A441D"/>
    <w:rsid w:val="001A4975"/>
    <w:rsid w:val="001B0430"/>
    <w:rsid w:val="001B15B4"/>
    <w:rsid w:val="001B1630"/>
    <w:rsid w:val="001B2B4A"/>
    <w:rsid w:val="001B479B"/>
    <w:rsid w:val="001B5463"/>
    <w:rsid w:val="001B634A"/>
    <w:rsid w:val="001B7372"/>
    <w:rsid w:val="001C2EBB"/>
    <w:rsid w:val="001C4264"/>
    <w:rsid w:val="001C45D0"/>
    <w:rsid w:val="001C5A8A"/>
    <w:rsid w:val="001C60B7"/>
    <w:rsid w:val="001C7388"/>
    <w:rsid w:val="001C7496"/>
    <w:rsid w:val="001C768E"/>
    <w:rsid w:val="001C7A9D"/>
    <w:rsid w:val="001D1EBC"/>
    <w:rsid w:val="001D227D"/>
    <w:rsid w:val="001D2B79"/>
    <w:rsid w:val="001D2C8C"/>
    <w:rsid w:val="001D5523"/>
    <w:rsid w:val="001D59DA"/>
    <w:rsid w:val="001D71F3"/>
    <w:rsid w:val="001E0710"/>
    <w:rsid w:val="001E1CDD"/>
    <w:rsid w:val="001E2115"/>
    <w:rsid w:val="001E2FB9"/>
    <w:rsid w:val="001E4F85"/>
    <w:rsid w:val="001E5909"/>
    <w:rsid w:val="001E64BD"/>
    <w:rsid w:val="001F131E"/>
    <w:rsid w:val="001F2E2E"/>
    <w:rsid w:val="001F3C67"/>
    <w:rsid w:val="001F484A"/>
    <w:rsid w:val="001F6E6F"/>
    <w:rsid w:val="001F6F89"/>
    <w:rsid w:val="001F7866"/>
    <w:rsid w:val="00200C83"/>
    <w:rsid w:val="002021D3"/>
    <w:rsid w:val="00202225"/>
    <w:rsid w:val="0020226C"/>
    <w:rsid w:val="002024B3"/>
    <w:rsid w:val="002035F1"/>
    <w:rsid w:val="00203958"/>
    <w:rsid w:val="00206785"/>
    <w:rsid w:val="002074FE"/>
    <w:rsid w:val="002075A3"/>
    <w:rsid w:val="0021010D"/>
    <w:rsid w:val="00210186"/>
    <w:rsid w:val="00210B7C"/>
    <w:rsid w:val="00210DB6"/>
    <w:rsid w:val="0021135E"/>
    <w:rsid w:val="002118E1"/>
    <w:rsid w:val="00211973"/>
    <w:rsid w:val="00211ECA"/>
    <w:rsid w:val="00214465"/>
    <w:rsid w:val="002147A4"/>
    <w:rsid w:val="002150CF"/>
    <w:rsid w:val="002156FE"/>
    <w:rsid w:val="0021595B"/>
    <w:rsid w:val="00216278"/>
    <w:rsid w:val="002162CF"/>
    <w:rsid w:val="002164D0"/>
    <w:rsid w:val="002165DF"/>
    <w:rsid w:val="00216883"/>
    <w:rsid w:val="0021703F"/>
    <w:rsid w:val="00220439"/>
    <w:rsid w:val="00221EB5"/>
    <w:rsid w:val="00223A9E"/>
    <w:rsid w:val="00223AA6"/>
    <w:rsid w:val="00224549"/>
    <w:rsid w:val="00224A32"/>
    <w:rsid w:val="002250A7"/>
    <w:rsid w:val="002255B7"/>
    <w:rsid w:val="002257D2"/>
    <w:rsid w:val="00226536"/>
    <w:rsid w:val="00226BA6"/>
    <w:rsid w:val="00227C91"/>
    <w:rsid w:val="0023161A"/>
    <w:rsid w:val="00233071"/>
    <w:rsid w:val="002333B4"/>
    <w:rsid w:val="002333F3"/>
    <w:rsid w:val="00233FC5"/>
    <w:rsid w:val="00234ADB"/>
    <w:rsid w:val="00236C1C"/>
    <w:rsid w:val="00236F45"/>
    <w:rsid w:val="00237429"/>
    <w:rsid w:val="00237998"/>
    <w:rsid w:val="00240E91"/>
    <w:rsid w:val="002414F3"/>
    <w:rsid w:val="00243F7F"/>
    <w:rsid w:val="00244E88"/>
    <w:rsid w:val="00244ECD"/>
    <w:rsid w:val="00245DC4"/>
    <w:rsid w:val="00250475"/>
    <w:rsid w:val="00251429"/>
    <w:rsid w:val="00251A20"/>
    <w:rsid w:val="00252035"/>
    <w:rsid w:val="0025254D"/>
    <w:rsid w:val="0025341A"/>
    <w:rsid w:val="002545B5"/>
    <w:rsid w:val="002556CE"/>
    <w:rsid w:val="00255D58"/>
    <w:rsid w:val="00256759"/>
    <w:rsid w:val="00257A4D"/>
    <w:rsid w:val="002603E3"/>
    <w:rsid w:val="0026178F"/>
    <w:rsid w:val="00262CE9"/>
    <w:rsid w:val="00262F51"/>
    <w:rsid w:val="0026338B"/>
    <w:rsid w:val="00263BC9"/>
    <w:rsid w:val="0026563F"/>
    <w:rsid w:val="00271985"/>
    <w:rsid w:val="002729B8"/>
    <w:rsid w:val="00272C48"/>
    <w:rsid w:val="00274178"/>
    <w:rsid w:val="002748AA"/>
    <w:rsid w:val="00275FDB"/>
    <w:rsid w:val="002779D3"/>
    <w:rsid w:val="0028187A"/>
    <w:rsid w:val="00281B45"/>
    <w:rsid w:val="00282F1C"/>
    <w:rsid w:val="002831E3"/>
    <w:rsid w:val="00285559"/>
    <w:rsid w:val="00285D36"/>
    <w:rsid w:val="0029088E"/>
    <w:rsid w:val="002912CE"/>
    <w:rsid w:val="00292DB9"/>
    <w:rsid w:val="00293251"/>
    <w:rsid w:val="00293857"/>
    <w:rsid w:val="00293D1F"/>
    <w:rsid w:val="00294EE0"/>
    <w:rsid w:val="002957D6"/>
    <w:rsid w:val="0029681A"/>
    <w:rsid w:val="002A0D7D"/>
    <w:rsid w:val="002A1175"/>
    <w:rsid w:val="002A1471"/>
    <w:rsid w:val="002A20D5"/>
    <w:rsid w:val="002A2620"/>
    <w:rsid w:val="002A4611"/>
    <w:rsid w:val="002A4623"/>
    <w:rsid w:val="002A4CF4"/>
    <w:rsid w:val="002A54BA"/>
    <w:rsid w:val="002A6493"/>
    <w:rsid w:val="002A70ED"/>
    <w:rsid w:val="002A7759"/>
    <w:rsid w:val="002A77E1"/>
    <w:rsid w:val="002B1A9C"/>
    <w:rsid w:val="002B1C8E"/>
    <w:rsid w:val="002B221B"/>
    <w:rsid w:val="002B44A6"/>
    <w:rsid w:val="002B725D"/>
    <w:rsid w:val="002C09A3"/>
    <w:rsid w:val="002C0A66"/>
    <w:rsid w:val="002C0F70"/>
    <w:rsid w:val="002C1006"/>
    <w:rsid w:val="002C1053"/>
    <w:rsid w:val="002C2E3C"/>
    <w:rsid w:val="002C36F8"/>
    <w:rsid w:val="002C5C1C"/>
    <w:rsid w:val="002C5CDC"/>
    <w:rsid w:val="002C6000"/>
    <w:rsid w:val="002C7174"/>
    <w:rsid w:val="002D09B7"/>
    <w:rsid w:val="002D1A1F"/>
    <w:rsid w:val="002D3975"/>
    <w:rsid w:val="002D3ACB"/>
    <w:rsid w:val="002D401F"/>
    <w:rsid w:val="002D66EC"/>
    <w:rsid w:val="002D69E3"/>
    <w:rsid w:val="002D6B9C"/>
    <w:rsid w:val="002D7706"/>
    <w:rsid w:val="002D7D11"/>
    <w:rsid w:val="002E0DBE"/>
    <w:rsid w:val="002E1193"/>
    <w:rsid w:val="002E1846"/>
    <w:rsid w:val="002E1996"/>
    <w:rsid w:val="002E31D7"/>
    <w:rsid w:val="002E3726"/>
    <w:rsid w:val="002E46A0"/>
    <w:rsid w:val="002E50D5"/>
    <w:rsid w:val="002E6676"/>
    <w:rsid w:val="002F091D"/>
    <w:rsid w:val="002F1196"/>
    <w:rsid w:val="002F139D"/>
    <w:rsid w:val="002F221E"/>
    <w:rsid w:val="002F2B0F"/>
    <w:rsid w:val="002F33A3"/>
    <w:rsid w:val="002F523D"/>
    <w:rsid w:val="002F5AD2"/>
    <w:rsid w:val="002F6E3D"/>
    <w:rsid w:val="00301D28"/>
    <w:rsid w:val="003023DF"/>
    <w:rsid w:val="003024DC"/>
    <w:rsid w:val="00304720"/>
    <w:rsid w:val="0030520A"/>
    <w:rsid w:val="00305667"/>
    <w:rsid w:val="00305A71"/>
    <w:rsid w:val="00305AC4"/>
    <w:rsid w:val="00305E94"/>
    <w:rsid w:val="003060A9"/>
    <w:rsid w:val="00310F2D"/>
    <w:rsid w:val="003115C8"/>
    <w:rsid w:val="0031303D"/>
    <w:rsid w:val="0031334A"/>
    <w:rsid w:val="0031409D"/>
    <w:rsid w:val="00314346"/>
    <w:rsid w:val="00314F72"/>
    <w:rsid w:val="003169FC"/>
    <w:rsid w:val="003177C7"/>
    <w:rsid w:val="00317F75"/>
    <w:rsid w:val="003211C1"/>
    <w:rsid w:val="003222BD"/>
    <w:rsid w:val="00322C1E"/>
    <w:rsid w:val="00322E2A"/>
    <w:rsid w:val="003232AC"/>
    <w:rsid w:val="00323BC2"/>
    <w:rsid w:val="00325C57"/>
    <w:rsid w:val="0032603F"/>
    <w:rsid w:val="0032625E"/>
    <w:rsid w:val="0033013C"/>
    <w:rsid w:val="00330611"/>
    <w:rsid w:val="00330793"/>
    <w:rsid w:val="00331023"/>
    <w:rsid w:val="003317F5"/>
    <w:rsid w:val="00333017"/>
    <w:rsid w:val="00333388"/>
    <w:rsid w:val="00333736"/>
    <w:rsid w:val="0033416A"/>
    <w:rsid w:val="003363A0"/>
    <w:rsid w:val="00336D86"/>
    <w:rsid w:val="00337450"/>
    <w:rsid w:val="00340463"/>
    <w:rsid w:val="00341670"/>
    <w:rsid w:val="00341B1D"/>
    <w:rsid w:val="00341C40"/>
    <w:rsid w:val="00343B18"/>
    <w:rsid w:val="00345079"/>
    <w:rsid w:val="00345E5F"/>
    <w:rsid w:val="00352CEF"/>
    <w:rsid w:val="0035466C"/>
    <w:rsid w:val="00354760"/>
    <w:rsid w:val="003555E2"/>
    <w:rsid w:val="00355DC9"/>
    <w:rsid w:val="00356020"/>
    <w:rsid w:val="00356D4B"/>
    <w:rsid w:val="00357C25"/>
    <w:rsid w:val="00357E3F"/>
    <w:rsid w:val="0036022C"/>
    <w:rsid w:val="00360637"/>
    <w:rsid w:val="003664EA"/>
    <w:rsid w:val="00366908"/>
    <w:rsid w:val="00371ED5"/>
    <w:rsid w:val="003726A6"/>
    <w:rsid w:val="00372811"/>
    <w:rsid w:val="00374251"/>
    <w:rsid w:val="0037490D"/>
    <w:rsid w:val="00380C15"/>
    <w:rsid w:val="003818D1"/>
    <w:rsid w:val="0038278E"/>
    <w:rsid w:val="00384558"/>
    <w:rsid w:val="00384BD6"/>
    <w:rsid w:val="00386B94"/>
    <w:rsid w:val="00386D0B"/>
    <w:rsid w:val="003870FE"/>
    <w:rsid w:val="003871FB"/>
    <w:rsid w:val="003929D7"/>
    <w:rsid w:val="00393453"/>
    <w:rsid w:val="003957B7"/>
    <w:rsid w:val="003965F0"/>
    <w:rsid w:val="003A0CB5"/>
    <w:rsid w:val="003A1210"/>
    <w:rsid w:val="003A1DCE"/>
    <w:rsid w:val="003A1DE2"/>
    <w:rsid w:val="003A22DC"/>
    <w:rsid w:val="003A233C"/>
    <w:rsid w:val="003A2650"/>
    <w:rsid w:val="003A34C2"/>
    <w:rsid w:val="003A3DAD"/>
    <w:rsid w:val="003A5429"/>
    <w:rsid w:val="003A6575"/>
    <w:rsid w:val="003A67FC"/>
    <w:rsid w:val="003A6B8E"/>
    <w:rsid w:val="003A752C"/>
    <w:rsid w:val="003A76CE"/>
    <w:rsid w:val="003B1094"/>
    <w:rsid w:val="003B1A08"/>
    <w:rsid w:val="003B1A6A"/>
    <w:rsid w:val="003B1BD8"/>
    <w:rsid w:val="003B2B23"/>
    <w:rsid w:val="003B2C80"/>
    <w:rsid w:val="003B6560"/>
    <w:rsid w:val="003B7611"/>
    <w:rsid w:val="003C044A"/>
    <w:rsid w:val="003C0A69"/>
    <w:rsid w:val="003C12B5"/>
    <w:rsid w:val="003C20CC"/>
    <w:rsid w:val="003C6A96"/>
    <w:rsid w:val="003C7747"/>
    <w:rsid w:val="003C7C40"/>
    <w:rsid w:val="003D005F"/>
    <w:rsid w:val="003D2D7F"/>
    <w:rsid w:val="003D3B76"/>
    <w:rsid w:val="003D69CA"/>
    <w:rsid w:val="003D7DFB"/>
    <w:rsid w:val="003E00CF"/>
    <w:rsid w:val="003E123F"/>
    <w:rsid w:val="003E1F60"/>
    <w:rsid w:val="003E3898"/>
    <w:rsid w:val="003E3EF9"/>
    <w:rsid w:val="003E46D4"/>
    <w:rsid w:val="003E498D"/>
    <w:rsid w:val="003E4E7D"/>
    <w:rsid w:val="003E5FF1"/>
    <w:rsid w:val="003E6474"/>
    <w:rsid w:val="003E748B"/>
    <w:rsid w:val="003F2CEF"/>
    <w:rsid w:val="003F3F70"/>
    <w:rsid w:val="003F7121"/>
    <w:rsid w:val="004003F7"/>
    <w:rsid w:val="004011C4"/>
    <w:rsid w:val="0040186D"/>
    <w:rsid w:val="00401AD7"/>
    <w:rsid w:val="00402D91"/>
    <w:rsid w:val="00406531"/>
    <w:rsid w:val="00406CB8"/>
    <w:rsid w:val="0041122B"/>
    <w:rsid w:val="004119AE"/>
    <w:rsid w:val="0041428E"/>
    <w:rsid w:val="004148D2"/>
    <w:rsid w:val="004149C8"/>
    <w:rsid w:val="00415744"/>
    <w:rsid w:val="00415EB6"/>
    <w:rsid w:val="00416651"/>
    <w:rsid w:val="00417119"/>
    <w:rsid w:val="004172A1"/>
    <w:rsid w:val="004174AC"/>
    <w:rsid w:val="00420835"/>
    <w:rsid w:val="004216B6"/>
    <w:rsid w:val="00422BFF"/>
    <w:rsid w:val="00424B10"/>
    <w:rsid w:val="00424CB5"/>
    <w:rsid w:val="00425370"/>
    <w:rsid w:val="00427244"/>
    <w:rsid w:val="004308CE"/>
    <w:rsid w:val="00434A56"/>
    <w:rsid w:val="00435050"/>
    <w:rsid w:val="00436636"/>
    <w:rsid w:val="00437E42"/>
    <w:rsid w:val="00437F9C"/>
    <w:rsid w:val="004404AE"/>
    <w:rsid w:val="00441B7F"/>
    <w:rsid w:val="00442335"/>
    <w:rsid w:val="00442604"/>
    <w:rsid w:val="004438CF"/>
    <w:rsid w:val="00444BDE"/>
    <w:rsid w:val="004476C4"/>
    <w:rsid w:val="0045011E"/>
    <w:rsid w:val="004504BF"/>
    <w:rsid w:val="004529D0"/>
    <w:rsid w:val="00454197"/>
    <w:rsid w:val="00454ECC"/>
    <w:rsid w:val="00456AA1"/>
    <w:rsid w:val="00457A71"/>
    <w:rsid w:val="00457EF8"/>
    <w:rsid w:val="00460442"/>
    <w:rsid w:val="00461163"/>
    <w:rsid w:val="00463630"/>
    <w:rsid w:val="004638BA"/>
    <w:rsid w:val="00463C34"/>
    <w:rsid w:val="00464B07"/>
    <w:rsid w:val="00465414"/>
    <w:rsid w:val="00465B04"/>
    <w:rsid w:val="00466E31"/>
    <w:rsid w:val="00466EAE"/>
    <w:rsid w:val="004675D6"/>
    <w:rsid w:val="004725CE"/>
    <w:rsid w:val="00472A6B"/>
    <w:rsid w:val="00472C16"/>
    <w:rsid w:val="004740E9"/>
    <w:rsid w:val="00476437"/>
    <w:rsid w:val="00481781"/>
    <w:rsid w:val="00482572"/>
    <w:rsid w:val="00482AFF"/>
    <w:rsid w:val="00483FF1"/>
    <w:rsid w:val="00484C84"/>
    <w:rsid w:val="00490189"/>
    <w:rsid w:val="00490905"/>
    <w:rsid w:val="00490A8B"/>
    <w:rsid w:val="0049122D"/>
    <w:rsid w:val="0049156F"/>
    <w:rsid w:val="00491582"/>
    <w:rsid w:val="004936D9"/>
    <w:rsid w:val="00493CB8"/>
    <w:rsid w:val="00494403"/>
    <w:rsid w:val="00494440"/>
    <w:rsid w:val="00494EEE"/>
    <w:rsid w:val="004966B3"/>
    <w:rsid w:val="004A0239"/>
    <w:rsid w:val="004A1037"/>
    <w:rsid w:val="004A2059"/>
    <w:rsid w:val="004A2633"/>
    <w:rsid w:val="004A2E7A"/>
    <w:rsid w:val="004A356A"/>
    <w:rsid w:val="004A4184"/>
    <w:rsid w:val="004A447B"/>
    <w:rsid w:val="004A4644"/>
    <w:rsid w:val="004A4B59"/>
    <w:rsid w:val="004A66EE"/>
    <w:rsid w:val="004A796E"/>
    <w:rsid w:val="004B0BE8"/>
    <w:rsid w:val="004B0D66"/>
    <w:rsid w:val="004B1926"/>
    <w:rsid w:val="004B1E49"/>
    <w:rsid w:val="004B2181"/>
    <w:rsid w:val="004B265F"/>
    <w:rsid w:val="004B3180"/>
    <w:rsid w:val="004B3227"/>
    <w:rsid w:val="004B6BC7"/>
    <w:rsid w:val="004B752A"/>
    <w:rsid w:val="004C0824"/>
    <w:rsid w:val="004C0982"/>
    <w:rsid w:val="004C0D15"/>
    <w:rsid w:val="004C262D"/>
    <w:rsid w:val="004C3935"/>
    <w:rsid w:val="004C3951"/>
    <w:rsid w:val="004C5727"/>
    <w:rsid w:val="004C6015"/>
    <w:rsid w:val="004C7831"/>
    <w:rsid w:val="004D1439"/>
    <w:rsid w:val="004D2460"/>
    <w:rsid w:val="004D2476"/>
    <w:rsid w:val="004D371E"/>
    <w:rsid w:val="004D4B0A"/>
    <w:rsid w:val="004E0A31"/>
    <w:rsid w:val="004E0D47"/>
    <w:rsid w:val="004E0EF8"/>
    <w:rsid w:val="004E1449"/>
    <w:rsid w:val="004E4D54"/>
    <w:rsid w:val="004E50A9"/>
    <w:rsid w:val="004E644A"/>
    <w:rsid w:val="004F0AC1"/>
    <w:rsid w:val="004F0DAC"/>
    <w:rsid w:val="004F17B9"/>
    <w:rsid w:val="004F2399"/>
    <w:rsid w:val="004F2E40"/>
    <w:rsid w:val="004F6451"/>
    <w:rsid w:val="004F6F15"/>
    <w:rsid w:val="005001A1"/>
    <w:rsid w:val="005006A3"/>
    <w:rsid w:val="005006B0"/>
    <w:rsid w:val="005008FD"/>
    <w:rsid w:val="005014EF"/>
    <w:rsid w:val="00502D22"/>
    <w:rsid w:val="00503D58"/>
    <w:rsid w:val="0050579D"/>
    <w:rsid w:val="00505B13"/>
    <w:rsid w:val="005069E6"/>
    <w:rsid w:val="00506FED"/>
    <w:rsid w:val="0050764C"/>
    <w:rsid w:val="0051034A"/>
    <w:rsid w:val="00511946"/>
    <w:rsid w:val="005122BC"/>
    <w:rsid w:val="00512551"/>
    <w:rsid w:val="00515CEF"/>
    <w:rsid w:val="005167FF"/>
    <w:rsid w:val="00516E8D"/>
    <w:rsid w:val="00516EA8"/>
    <w:rsid w:val="005172A6"/>
    <w:rsid w:val="005177E0"/>
    <w:rsid w:val="00520266"/>
    <w:rsid w:val="00521DDF"/>
    <w:rsid w:val="0052270D"/>
    <w:rsid w:val="0052323E"/>
    <w:rsid w:val="00523FC3"/>
    <w:rsid w:val="0052590C"/>
    <w:rsid w:val="005260DB"/>
    <w:rsid w:val="00532287"/>
    <w:rsid w:val="0053288D"/>
    <w:rsid w:val="00532DFD"/>
    <w:rsid w:val="00532FEB"/>
    <w:rsid w:val="00535A0D"/>
    <w:rsid w:val="00535BFB"/>
    <w:rsid w:val="00535FB5"/>
    <w:rsid w:val="00536699"/>
    <w:rsid w:val="00536D4C"/>
    <w:rsid w:val="005370A9"/>
    <w:rsid w:val="00537818"/>
    <w:rsid w:val="00541117"/>
    <w:rsid w:val="005421FE"/>
    <w:rsid w:val="00543253"/>
    <w:rsid w:val="005433FB"/>
    <w:rsid w:val="00543E7B"/>
    <w:rsid w:val="005442CE"/>
    <w:rsid w:val="005462D6"/>
    <w:rsid w:val="00546D6F"/>
    <w:rsid w:val="005512F8"/>
    <w:rsid w:val="00552D82"/>
    <w:rsid w:val="00555C2C"/>
    <w:rsid w:val="0056147F"/>
    <w:rsid w:val="005617F5"/>
    <w:rsid w:val="00561804"/>
    <w:rsid w:val="005625D6"/>
    <w:rsid w:val="0056354A"/>
    <w:rsid w:val="005642C9"/>
    <w:rsid w:val="005644DD"/>
    <w:rsid w:val="00564988"/>
    <w:rsid w:val="005703BB"/>
    <w:rsid w:val="00571A50"/>
    <w:rsid w:val="005755FC"/>
    <w:rsid w:val="00580B88"/>
    <w:rsid w:val="00581A8A"/>
    <w:rsid w:val="00581B7C"/>
    <w:rsid w:val="00582A2A"/>
    <w:rsid w:val="005837E4"/>
    <w:rsid w:val="005847EC"/>
    <w:rsid w:val="00585BBF"/>
    <w:rsid w:val="0058761E"/>
    <w:rsid w:val="0059020F"/>
    <w:rsid w:val="00590F0F"/>
    <w:rsid w:val="00591353"/>
    <w:rsid w:val="00593816"/>
    <w:rsid w:val="00593E44"/>
    <w:rsid w:val="005941AD"/>
    <w:rsid w:val="00595104"/>
    <w:rsid w:val="0059608E"/>
    <w:rsid w:val="00597F4F"/>
    <w:rsid w:val="005A098C"/>
    <w:rsid w:val="005A0B5D"/>
    <w:rsid w:val="005A16FA"/>
    <w:rsid w:val="005A19C8"/>
    <w:rsid w:val="005A1DD8"/>
    <w:rsid w:val="005A262E"/>
    <w:rsid w:val="005A4BD4"/>
    <w:rsid w:val="005A6245"/>
    <w:rsid w:val="005A75FD"/>
    <w:rsid w:val="005A7B29"/>
    <w:rsid w:val="005A7CD5"/>
    <w:rsid w:val="005B004A"/>
    <w:rsid w:val="005B06AA"/>
    <w:rsid w:val="005B0C06"/>
    <w:rsid w:val="005B5472"/>
    <w:rsid w:val="005B7BFB"/>
    <w:rsid w:val="005C069F"/>
    <w:rsid w:val="005C275C"/>
    <w:rsid w:val="005C660C"/>
    <w:rsid w:val="005D127F"/>
    <w:rsid w:val="005D1E1E"/>
    <w:rsid w:val="005D4778"/>
    <w:rsid w:val="005D5E09"/>
    <w:rsid w:val="005D6B60"/>
    <w:rsid w:val="005D7D1A"/>
    <w:rsid w:val="005E0A80"/>
    <w:rsid w:val="005E2835"/>
    <w:rsid w:val="005E28AA"/>
    <w:rsid w:val="005E2EA7"/>
    <w:rsid w:val="005E3060"/>
    <w:rsid w:val="005E379C"/>
    <w:rsid w:val="005E3E51"/>
    <w:rsid w:val="005E4B31"/>
    <w:rsid w:val="005E54C8"/>
    <w:rsid w:val="005E7F56"/>
    <w:rsid w:val="005F0692"/>
    <w:rsid w:val="005F31CE"/>
    <w:rsid w:val="005F5212"/>
    <w:rsid w:val="005F7144"/>
    <w:rsid w:val="0060015A"/>
    <w:rsid w:val="00600752"/>
    <w:rsid w:val="00602BC4"/>
    <w:rsid w:val="0060513C"/>
    <w:rsid w:val="006103C8"/>
    <w:rsid w:val="0061051D"/>
    <w:rsid w:val="00610A58"/>
    <w:rsid w:val="00610B57"/>
    <w:rsid w:val="00610CA4"/>
    <w:rsid w:val="00611004"/>
    <w:rsid w:val="006130D4"/>
    <w:rsid w:val="00613367"/>
    <w:rsid w:val="00613561"/>
    <w:rsid w:val="0061405D"/>
    <w:rsid w:val="006145AF"/>
    <w:rsid w:val="006175B4"/>
    <w:rsid w:val="006178B2"/>
    <w:rsid w:val="00620A8B"/>
    <w:rsid w:val="00620C1F"/>
    <w:rsid w:val="00620D27"/>
    <w:rsid w:val="00622D25"/>
    <w:rsid w:val="006232C0"/>
    <w:rsid w:val="00626797"/>
    <w:rsid w:val="00627281"/>
    <w:rsid w:val="00631B85"/>
    <w:rsid w:val="00632501"/>
    <w:rsid w:val="00633295"/>
    <w:rsid w:val="0063485B"/>
    <w:rsid w:val="00635D5E"/>
    <w:rsid w:val="00636878"/>
    <w:rsid w:val="00637770"/>
    <w:rsid w:val="00641DE5"/>
    <w:rsid w:val="00642A99"/>
    <w:rsid w:val="00643F78"/>
    <w:rsid w:val="00647A72"/>
    <w:rsid w:val="00647B27"/>
    <w:rsid w:val="006504D6"/>
    <w:rsid w:val="00650C96"/>
    <w:rsid w:val="00650CD3"/>
    <w:rsid w:val="00652639"/>
    <w:rsid w:val="00653DF2"/>
    <w:rsid w:val="00653E66"/>
    <w:rsid w:val="006562FD"/>
    <w:rsid w:val="00660E0C"/>
    <w:rsid w:val="00662276"/>
    <w:rsid w:val="00662785"/>
    <w:rsid w:val="00665403"/>
    <w:rsid w:val="00665500"/>
    <w:rsid w:val="0066689E"/>
    <w:rsid w:val="00670FAC"/>
    <w:rsid w:val="0067299B"/>
    <w:rsid w:val="006760E3"/>
    <w:rsid w:val="00676D26"/>
    <w:rsid w:val="00677219"/>
    <w:rsid w:val="00677694"/>
    <w:rsid w:val="00677C31"/>
    <w:rsid w:val="0068091B"/>
    <w:rsid w:val="00684ACA"/>
    <w:rsid w:val="00687C82"/>
    <w:rsid w:val="006900CE"/>
    <w:rsid w:val="0069064A"/>
    <w:rsid w:val="00691401"/>
    <w:rsid w:val="00693CD0"/>
    <w:rsid w:val="00694FD9"/>
    <w:rsid w:val="00695EC7"/>
    <w:rsid w:val="006A23A2"/>
    <w:rsid w:val="006A27D8"/>
    <w:rsid w:val="006A36C6"/>
    <w:rsid w:val="006A3795"/>
    <w:rsid w:val="006A415F"/>
    <w:rsid w:val="006A5ED0"/>
    <w:rsid w:val="006A6F28"/>
    <w:rsid w:val="006B023E"/>
    <w:rsid w:val="006B036A"/>
    <w:rsid w:val="006B17D9"/>
    <w:rsid w:val="006B18F6"/>
    <w:rsid w:val="006B1E20"/>
    <w:rsid w:val="006B209B"/>
    <w:rsid w:val="006B3F03"/>
    <w:rsid w:val="006B4A8A"/>
    <w:rsid w:val="006B5BEC"/>
    <w:rsid w:val="006B65D1"/>
    <w:rsid w:val="006B667F"/>
    <w:rsid w:val="006B795E"/>
    <w:rsid w:val="006C0AD0"/>
    <w:rsid w:val="006C0AEC"/>
    <w:rsid w:val="006C2A7B"/>
    <w:rsid w:val="006C2C7F"/>
    <w:rsid w:val="006C60D9"/>
    <w:rsid w:val="006C730C"/>
    <w:rsid w:val="006D05F4"/>
    <w:rsid w:val="006D1033"/>
    <w:rsid w:val="006D17B3"/>
    <w:rsid w:val="006D1F5A"/>
    <w:rsid w:val="006D1FEA"/>
    <w:rsid w:val="006D2F0C"/>
    <w:rsid w:val="006D31B7"/>
    <w:rsid w:val="006D38C3"/>
    <w:rsid w:val="006D5CD5"/>
    <w:rsid w:val="006D6377"/>
    <w:rsid w:val="006D69AE"/>
    <w:rsid w:val="006D72DC"/>
    <w:rsid w:val="006E3991"/>
    <w:rsid w:val="006E3A14"/>
    <w:rsid w:val="006E46D0"/>
    <w:rsid w:val="006E69F4"/>
    <w:rsid w:val="006E7E81"/>
    <w:rsid w:val="006F0855"/>
    <w:rsid w:val="006F1F1C"/>
    <w:rsid w:val="006F5148"/>
    <w:rsid w:val="006F64EF"/>
    <w:rsid w:val="006F6AB0"/>
    <w:rsid w:val="006F785C"/>
    <w:rsid w:val="007002AF"/>
    <w:rsid w:val="0070057F"/>
    <w:rsid w:val="00701860"/>
    <w:rsid w:val="0070256E"/>
    <w:rsid w:val="00702ADA"/>
    <w:rsid w:val="00703101"/>
    <w:rsid w:val="007037A4"/>
    <w:rsid w:val="00703F3E"/>
    <w:rsid w:val="00704844"/>
    <w:rsid w:val="00704C93"/>
    <w:rsid w:val="007056CD"/>
    <w:rsid w:val="007058AB"/>
    <w:rsid w:val="0070629A"/>
    <w:rsid w:val="00706A03"/>
    <w:rsid w:val="007077DE"/>
    <w:rsid w:val="00711EF2"/>
    <w:rsid w:val="00712595"/>
    <w:rsid w:val="007129D8"/>
    <w:rsid w:val="00714FA4"/>
    <w:rsid w:val="0071596A"/>
    <w:rsid w:val="00716921"/>
    <w:rsid w:val="00716EBD"/>
    <w:rsid w:val="007202F8"/>
    <w:rsid w:val="0072046B"/>
    <w:rsid w:val="00720890"/>
    <w:rsid w:val="00721CBA"/>
    <w:rsid w:val="0072558F"/>
    <w:rsid w:val="007269AF"/>
    <w:rsid w:val="0073069D"/>
    <w:rsid w:val="00730D4C"/>
    <w:rsid w:val="007325C0"/>
    <w:rsid w:val="007329D7"/>
    <w:rsid w:val="00733EB3"/>
    <w:rsid w:val="00734941"/>
    <w:rsid w:val="00734C2D"/>
    <w:rsid w:val="007352E0"/>
    <w:rsid w:val="00736FCA"/>
    <w:rsid w:val="00737592"/>
    <w:rsid w:val="00737A21"/>
    <w:rsid w:val="00737CE2"/>
    <w:rsid w:val="007402BB"/>
    <w:rsid w:val="007428EC"/>
    <w:rsid w:val="00742EA8"/>
    <w:rsid w:val="00747824"/>
    <w:rsid w:val="00750276"/>
    <w:rsid w:val="007505DF"/>
    <w:rsid w:val="00751277"/>
    <w:rsid w:val="00753900"/>
    <w:rsid w:val="00754B8C"/>
    <w:rsid w:val="00755005"/>
    <w:rsid w:val="00755AEF"/>
    <w:rsid w:val="00755B98"/>
    <w:rsid w:val="00757847"/>
    <w:rsid w:val="00760089"/>
    <w:rsid w:val="0076060C"/>
    <w:rsid w:val="00760DAE"/>
    <w:rsid w:val="00762E11"/>
    <w:rsid w:val="007640C7"/>
    <w:rsid w:val="00766888"/>
    <w:rsid w:val="00766BAF"/>
    <w:rsid w:val="00767CCA"/>
    <w:rsid w:val="0077066D"/>
    <w:rsid w:val="007721EA"/>
    <w:rsid w:val="007727C7"/>
    <w:rsid w:val="00774145"/>
    <w:rsid w:val="007758EB"/>
    <w:rsid w:val="00775A45"/>
    <w:rsid w:val="00776FA7"/>
    <w:rsid w:val="00777494"/>
    <w:rsid w:val="007775D3"/>
    <w:rsid w:val="00777B42"/>
    <w:rsid w:val="007808F0"/>
    <w:rsid w:val="00780FEA"/>
    <w:rsid w:val="007813C2"/>
    <w:rsid w:val="0078173C"/>
    <w:rsid w:val="00781D8A"/>
    <w:rsid w:val="0078207D"/>
    <w:rsid w:val="0078228C"/>
    <w:rsid w:val="00782C2A"/>
    <w:rsid w:val="0078355E"/>
    <w:rsid w:val="007838C2"/>
    <w:rsid w:val="00783C11"/>
    <w:rsid w:val="00785D01"/>
    <w:rsid w:val="007864F8"/>
    <w:rsid w:val="007874F1"/>
    <w:rsid w:val="007877E8"/>
    <w:rsid w:val="00787D31"/>
    <w:rsid w:val="00790446"/>
    <w:rsid w:val="00794873"/>
    <w:rsid w:val="00796EDC"/>
    <w:rsid w:val="007A030A"/>
    <w:rsid w:val="007A17C3"/>
    <w:rsid w:val="007A3277"/>
    <w:rsid w:val="007A35CC"/>
    <w:rsid w:val="007A35F5"/>
    <w:rsid w:val="007A36C8"/>
    <w:rsid w:val="007A4171"/>
    <w:rsid w:val="007A507E"/>
    <w:rsid w:val="007A53AA"/>
    <w:rsid w:val="007A647B"/>
    <w:rsid w:val="007A75AC"/>
    <w:rsid w:val="007B0F2F"/>
    <w:rsid w:val="007B3463"/>
    <w:rsid w:val="007B364B"/>
    <w:rsid w:val="007B3F2E"/>
    <w:rsid w:val="007B4378"/>
    <w:rsid w:val="007B5B86"/>
    <w:rsid w:val="007B75A5"/>
    <w:rsid w:val="007C1B01"/>
    <w:rsid w:val="007C2E61"/>
    <w:rsid w:val="007C4F91"/>
    <w:rsid w:val="007C5AB4"/>
    <w:rsid w:val="007D0D29"/>
    <w:rsid w:val="007D159C"/>
    <w:rsid w:val="007D189C"/>
    <w:rsid w:val="007D29B9"/>
    <w:rsid w:val="007D68DC"/>
    <w:rsid w:val="007D6C43"/>
    <w:rsid w:val="007D7A1C"/>
    <w:rsid w:val="007E0DC5"/>
    <w:rsid w:val="007E0EEA"/>
    <w:rsid w:val="007E433D"/>
    <w:rsid w:val="007E46CA"/>
    <w:rsid w:val="007E4CA0"/>
    <w:rsid w:val="007E597B"/>
    <w:rsid w:val="007E5A1E"/>
    <w:rsid w:val="007E5C5B"/>
    <w:rsid w:val="007E638C"/>
    <w:rsid w:val="007E6EE4"/>
    <w:rsid w:val="007E7589"/>
    <w:rsid w:val="007E759B"/>
    <w:rsid w:val="007E772C"/>
    <w:rsid w:val="007F0006"/>
    <w:rsid w:val="007F4128"/>
    <w:rsid w:val="007F45C0"/>
    <w:rsid w:val="007F4C3B"/>
    <w:rsid w:val="007F596C"/>
    <w:rsid w:val="007F74D7"/>
    <w:rsid w:val="007F796C"/>
    <w:rsid w:val="00801185"/>
    <w:rsid w:val="00801E6E"/>
    <w:rsid w:val="00802639"/>
    <w:rsid w:val="008039F8"/>
    <w:rsid w:val="00804582"/>
    <w:rsid w:val="00806149"/>
    <w:rsid w:val="0080635B"/>
    <w:rsid w:val="00806B12"/>
    <w:rsid w:val="00807AA9"/>
    <w:rsid w:val="008107C1"/>
    <w:rsid w:val="00810DB1"/>
    <w:rsid w:val="00810E0C"/>
    <w:rsid w:val="00811F65"/>
    <w:rsid w:val="00812E6E"/>
    <w:rsid w:val="0081303E"/>
    <w:rsid w:val="00813584"/>
    <w:rsid w:val="008148B4"/>
    <w:rsid w:val="008166C1"/>
    <w:rsid w:val="00816B9A"/>
    <w:rsid w:val="00816FFD"/>
    <w:rsid w:val="00817681"/>
    <w:rsid w:val="008178BF"/>
    <w:rsid w:val="00817B0B"/>
    <w:rsid w:val="00821598"/>
    <w:rsid w:val="00822A53"/>
    <w:rsid w:val="008232E9"/>
    <w:rsid w:val="0082357F"/>
    <w:rsid w:val="00825F8D"/>
    <w:rsid w:val="0082605F"/>
    <w:rsid w:val="0082629E"/>
    <w:rsid w:val="00826963"/>
    <w:rsid w:val="0082718F"/>
    <w:rsid w:val="00827406"/>
    <w:rsid w:val="00830526"/>
    <w:rsid w:val="0083055C"/>
    <w:rsid w:val="00830724"/>
    <w:rsid w:val="00831FD3"/>
    <w:rsid w:val="008324EB"/>
    <w:rsid w:val="008326B4"/>
    <w:rsid w:val="00833F32"/>
    <w:rsid w:val="008348A3"/>
    <w:rsid w:val="00835531"/>
    <w:rsid w:val="0083578F"/>
    <w:rsid w:val="00836530"/>
    <w:rsid w:val="00837F9A"/>
    <w:rsid w:val="00840E64"/>
    <w:rsid w:val="0084175A"/>
    <w:rsid w:val="00841CC4"/>
    <w:rsid w:val="00844149"/>
    <w:rsid w:val="00844558"/>
    <w:rsid w:val="00846C01"/>
    <w:rsid w:val="00846C54"/>
    <w:rsid w:val="008475BD"/>
    <w:rsid w:val="00847741"/>
    <w:rsid w:val="00850A78"/>
    <w:rsid w:val="0085127C"/>
    <w:rsid w:val="00851A0A"/>
    <w:rsid w:val="00853B17"/>
    <w:rsid w:val="008540BD"/>
    <w:rsid w:val="00854FE6"/>
    <w:rsid w:val="00856BB9"/>
    <w:rsid w:val="00856D07"/>
    <w:rsid w:val="00856D18"/>
    <w:rsid w:val="0085716B"/>
    <w:rsid w:val="00857BB3"/>
    <w:rsid w:val="00860956"/>
    <w:rsid w:val="00862D10"/>
    <w:rsid w:val="00862D76"/>
    <w:rsid w:val="00862FAD"/>
    <w:rsid w:val="008640A6"/>
    <w:rsid w:val="0086437B"/>
    <w:rsid w:val="008645D8"/>
    <w:rsid w:val="0086754F"/>
    <w:rsid w:val="0087150E"/>
    <w:rsid w:val="008722A3"/>
    <w:rsid w:val="00873220"/>
    <w:rsid w:val="00873883"/>
    <w:rsid w:val="008740BA"/>
    <w:rsid w:val="008740FC"/>
    <w:rsid w:val="008748E8"/>
    <w:rsid w:val="00874AC7"/>
    <w:rsid w:val="00875ED1"/>
    <w:rsid w:val="008761B0"/>
    <w:rsid w:val="0087681C"/>
    <w:rsid w:val="0087705A"/>
    <w:rsid w:val="00877BFC"/>
    <w:rsid w:val="008809D9"/>
    <w:rsid w:val="00880CBB"/>
    <w:rsid w:val="00883FD5"/>
    <w:rsid w:val="00884204"/>
    <w:rsid w:val="00884BF2"/>
    <w:rsid w:val="0088783F"/>
    <w:rsid w:val="00891AC2"/>
    <w:rsid w:val="00891E2F"/>
    <w:rsid w:val="00892DD1"/>
    <w:rsid w:val="00894618"/>
    <w:rsid w:val="00894E93"/>
    <w:rsid w:val="0089682A"/>
    <w:rsid w:val="00896914"/>
    <w:rsid w:val="00896C20"/>
    <w:rsid w:val="00897624"/>
    <w:rsid w:val="00897641"/>
    <w:rsid w:val="00897F99"/>
    <w:rsid w:val="008A0FE9"/>
    <w:rsid w:val="008A31E4"/>
    <w:rsid w:val="008A31F2"/>
    <w:rsid w:val="008A489C"/>
    <w:rsid w:val="008A4B4F"/>
    <w:rsid w:val="008A61E1"/>
    <w:rsid w:val="008A6FCC"/>
    <w:rsid w:val="008B0D5D"/>
    <w:rsid w:val="008B115C"/>
    <w:rsid w:val="008B15F3"/>
    <w:rsid w:val="008B182F"/>
    <w:rsid w:val="008B1FD7"/>
    <w:rsid w:val="008B5E72"/>
    <w:rsid w:val="008B67E0"/>
    <w:rsid w:val="008B7228"/>
    <w:rsid w:val="008B74AD"/>
    <w:rsid w:val="008B7BC8"/>
    <w:rsid w:val="008B7E3B"/>
    <w:rsid w:val="008C1250"/>
    <w:rsid w:val="008C1B5F"/>
    <w:rsid w:val="008C2027"/>
    <w:rsid w:val="008C3AEC"/>
    <w:rsid w:val="008C46E3"/>
    <w:rsid w:val="008C4CA4"/>
    <w:rsid w:val="008C549E"/>
    <w:rsid w:val="008C60F9"/>
    <w:rsid w:val="008C7DB4"/>
    <w:rsid w:val="008D1183"/>
    <w:rsid w:val="008D2447"/>
    <w:rsid w:val="008D2810"/>
    <w:rsid w:val="008D33E2"/>
    <w:rsid w:val="008D3809"/>
    <w:rsid w:val="008D41A6"/>
    <w:rsid w:val="008D61A4"/>
    <w:rsid w:val="008D661E"/>
    <w:rsid w:val="008D786F"/>
    <w:rsid w:val="008E06CC"/>
    <w:rsid w:val="008E074E"/>
    <w:rsid w:val="008E1687"/>
    <w:rsid w:val="008E3722"/>
    <w:rsid w:val="008E4507"/>
    <w:rsid w:val="008E6B5E"/>
    <w:rsid w:val="008E6B92"/>
    <w:rsid w:val="008E6CDF"/>
    <w:rsid w:val="008F099D"/>
    <w:rsid w:val="008F0A2E"/>
    <w:rsid w:val="008F25EE"/>
    <w:rsid w:val="008F29E3"/>
    <w:rsid w:val="008F2AFB"/>
    <w:rsid w:val="008F2CDD"/>
    <w:rsid w:val="008F5BBD"/>
    <w:rsid w:val="008F61D4"/>
    <w:rsid w:val="008F6702"/>
    <w:rsid w:val="008F7021"/>
    <w:rsid w:val="0090002A"/>
    <w:rsid w:val="00901026"/>
    <w:rsid w:val="0090140D"/>
    <w:rsid w:val="00902D1F"/>
    <w:rsid w:val="009030E7"/>
    <w:rsid w:val="00903A83"/>
    <w:rsid w:val="00904E1C"/>
    <w:rsid w:val="009054BA"/>
    <w:rsid w:val="00907B55"/>
    <w:rsid w:val="00910252"/>
    <w:rsid w:val="00913F0E"/>
    <w:rsid w:val="009156B6"/>
    <w:rsid w:val="00916488"/>
    <w:rsid w:val="00916836"/>
    <w:rsid w:val="009174C3"/>
    <w:rsid w:val="00921EBA"/>
    <w:rsid w:val="009230F2"/>
    <w:rsid w:val="009233E1"/>
    <w:rsid w:val="00924C30"/>
    <w:rsid w:val="00930285"/>
    <w:rsid w:val="00930572"/>
    <w:rsid w:val="009308E1"/>
    <w:rsid w:val="00932C06"/>
    <w:rsid w:val="00933132"/>
    <w:rsid w:val="00934496"/>
    <w:rsid w:val="00934A4E"/>
    <w:rsid w:val="00934FAD"/>
    <w:rsid w:val="009356A6"/>
    <w:rsid w:val="00935C61"/>
    <w:rsid w:val="00941667"/>
    <w:rsid w:val="009421DE"/>
    <w:rsid w:val="00942A45"/>
    <w:rsid w:val="00943472"/>
    <w:rsid w:val="009437C1"/>
    <w:rsid w:val="00943C17"/>
    <w:rsid w:val="009443F7"/>
    <w:rsid w:val="009455AF"/>
    <w:rsid w:val="00945A0D"/>
    <w:rsid w:val="00947066"/>
    <w:rsid w:val="0095013E"/>
    <w:rsid w:val="0095124C"/>
    <w:rsid w:val="00951FD3"/>
    <w:rsid w:val="0095301B"/>
    <w:rsid w:val="00953E6C"/>
    <w:rsid w:val="00954B8A"/>
    <w:rsid w:val="00955024"/>
    <w:rsid w:val="00955C32"/>
    <w:rsid w:val="00957FD9"/>
    <w:rsid w:val="00960EDA"/>
    <w:rsid w:val="00960F33"/>
    <w:rsid w:val="00961015"/>
    <w:rsid w:val="0096374B"/>
    <w:rsid w:val="00964D4C"/>
    <w:rsid w:val="00966AC1"/>
    <w:rsid w:val="0096739F"/>
    <w:rsid w:val="00967DB3"/>
    <w:rsid w:val="00970B76"/>
    <w:rsid w:val="00971739"/>
    <w:rsid w:val="00971CF1"/>
    <w:rsid w:val="00971D18"/>
    <w:rsid w:val="009722D7"/>
    <w:rsid w:val="009723BE"/>
    <w:rsid w:val="00972E0B"/>
    <w:rsid w:val="009732BE"/>
    <w:rsid w:val="00973B69"/>
    <w:rsid w:val="00974995"/>
    <w:rsid w:val="00975246"/>
    <w:rsid w:val="009756D3"/>
    <w:rsid w:val="00980704"/>
    <w:rsid w:val="00980E52"/>
    <w:rsid w:val="00981ABC"/>
    <w:rsid w:val="00982CCE"/>
    <w:rsid w:val="0098349D"/>
    <w:rsid w:val="00984A2B"/>
    <w:rsid w:val="00985269"/>
    <w:rsid w:val="00986476"/>
    <w:rsid w:val="009872D6"/>
    <w:rsid w:val="00991239"/>
    <w:rsid w:val="00992648"/>
    <w:rsid w:val="0099328C"/>
    <w:rsid w:val="009937D5"/>
    <w:rsid w:val="00993DBE"/>
    <w:rsid w:val="0099427D"/>
    <w:rsid w:val="0099568E"/>
    <w:rsid w:val="00995B46"/>
    <w:rsid w:val="009962BE"/>
    <w:rsid w:val="00996331"/>
    <w:rsid w:val="00996637"/>
    <w:rsid w:val="00997513"/>
    <w:rsid w:val="00997B02"/>
    <w:rsid w:val="00997C11"/>
    <w:rsid w:val="009A0502"/>
    <w:rsid w:val="009A217C"/>
    <w:rsid w:val="009A2CE5"/>
    <w:rsid w:val="009A2F5A"/>
    <w:rsid w:val="009A402D"/>
    <w:rsid w:val="009A40B1"/>
    <w:rsid w:val="009A471C"/>
    <w:rsid w:val="009A48D9"/>
    <w:rsid w:val="009A6E54"/>
    <w:rsid w:val="009A7845"/>
    <w:rsid w:val="009A79D6"/>
    <w:rsid w:val="009B0FD4"/>
    <w:rsid w:val="009B1ADB"/>
    <w:rsid w:val="009B2AF2"/>
    <w:rsid w:val="009B52DA"/>
    <w:rsid w:val="009B5FAA"/>
    <w:rsid w:val="009B729D"/>
    <w:rsid w:val="009C0D52"/>
    <w:rsid w:val="009C1453"/>
    <w:rsid w:val="009C14F8"/>
    <w:rsid w:val="009C27AB"/>
    <w:rsid w:val="009C33B1"/>
    <w:rsid w:val="009C3792"/>
    <w:rsid w:val="009C47C7"/>
    <w:rsid w:val="009C49BB"/>
    <w:rsid w:val="009C64DC"/>
    <w:rsid w:val="009C6D4A"/>
    <w:rsid w:val="009C7BE9"/>
    <w:rsid w:val="009C7C3C"/>
    <w:rsid w:val="009D0BBA"/>
    <w:rsid w:val="009D307F"/>
    <w:rsid w:val="009D316F"/>
    <w:rsid w:val="009D4492"/>
    <w:rsid w:val="009D528F"/>
    <w:rsid w:val="009D546E"/>
    <w:rsid w:val="009E2601"/>
    <w:rsid w:val="009E27D7"/>
    <w:rsid w:val="009E4C71"/>
    <w:rsid w:val="009E6CDC"/>
    <w:rsid w:val="009E74D5"/>
    <w:rsid w:val="009E7DF8"/>
    <w:rsid w:val="009F24AA"/>
    <w:rsid w:val="009F2965"/>
    <w:rsid w:val="009F2A46"/>
    <w:rsid w:val="009F2CC4"/>
    <w:rsid w:val="009F4B5D"/>
    <w:rsid w:val="009F5052"/>
    <w:rsid w:val="009F51C0"/>
    <w:rsid w:val="009F6034"/>
    <w:rsid w:val="009F79C8"/>
    <w:rsid w:val="00A00DDD"/>
    <w:rsid w:val="00A024E8"/>
    <w:rsid w:val="00A04B2C"/>
    <w:rsid w:val="00A04F09"/>
    <w:rsid w:val="00A05725"/>
    <w:rsid w:val="00A1098A"/>
    <w:rsid w:val="00A1136B"/>
    <w:rsid w:val="00A11598"/>
    <w:rsid w:val="00A11EFB"/>
    <w:rsid w:val="00A12942"/>
    <w:rsid w:val="00A1389A"/>
    <w:rsid w:val="00A15308"/>
    <w:rsid w:val="00A206DB"/>
    <w:rsid w:val="00A228EA"/>
    <w:rsid w:val="00A243BE"/>
    <w:rsid w:val="00A24F54"/>
    <w:rsid w:val="00A25009"/>
    <w:rsid w:val="00A27031"/>
    <w:rsid w:val="00A27FC7"/>
    <w:rsid w:val="00A30511"/>
    <w:rsid w:val="00A311E9"/>
    <w:rsid w:val="00A31351"/>
    <w:rsid w:val="00A31472"/>
    <w:rsid w:val="00A3174F"/>
    <w:rsid w:val="00A3394C"/>
    <w:rsid w:val="00A3429A"/>
    <w:rsid w:val="00A3485C"/>
    <w:rsid w:val="00A34A81"/>
    <w:rsid w:val="00A3516B"/>
    <w:rsid w:val="00A357D8"/>
    <w:rsid w:val="00A3637E"/>
    <w:rsid w:val="00A405F0"/>
    <w:rsid w:val="00A43338"/>
    <w:rsid w:val="00A45354"/>
    <w:rsid w:val="00A463B1"/>
    <w:rsid w:val="00A46573"/>
    <w:rsid w:val="00A4725F"/>
    <w:rsid w:val="00A472EE"/>
    <w:rsid w:val="00A47E14"/>
    <w:rsid w:val="00A51779"/>
    <w:rsid w:val="00A521C0"/>
    <w:rsid w:val="00A526BC"/>
    <w:rsid w:val="00A527ED"/>
    <w:rsid w:val="00A553D2"/>
    <w:rsid w:val="00A556F5"/>
    <w:rsid w:val="00A55866"/>
    <w:rsid w:val="00A604A6"/>
    <w:rsid w:val="00A6169B"/>
    <w:rsid w:val="00A65DBE"/>
    <w:rsid w:val="00A677E3"/>
    <w:rsid w:val="00A6794E"/>
    <w:rsid w:val="00A71740"/>
    <w:rsid w:val="00A729A4"/>
    <w:rsid w:val="00A73290"/>
    <w:rsid w:val="00A738EB"/>
    <w:rsid w:val="00A73D63"/>
    <w:rsid w:val="00A747E8"/>
    <w:rsid w:val="00A74CDB"/>
    <w:rsid w:val="00A7538A"/>
    <w:rsid w:val="00A7757C"/>
    <w:rsid w:val="00A77BB6"/>
    <w:rsid w:val="00A802A4"/>
    <w:rsid w:val="00A813BB"/>
    <w:rsid w:val="00A82A6C"/>
    <w:rsid w:val="00A82C88"/>
    <w:rsid w:val="00A82DBA"/>
    <w:rsid w:val="00A832D8"/>
    <w:rsid w:val="00A8418E"/>
    <w:rsid w:val="00A84E6A"/>
    <w:rsid w:val="00A8584F"/>
    <w:rsid w:val="00A85C0C"/>
    <w:rsid w:val="00A8743F"/>
    <w:rsid w:val="00A90628"/>
    <w:rsid w:val="00A9131E"/>
    <w:rsid w:val="00A91832"/>
    <w:rsid w:val="00A936CD"/>
    <w:rsid w:val="00A93A2A"/>
    <w:rsid w:val="00A95A14"/>
    <w:rsid w:val="00A9658B"/>
    <w:rsid w:val="00A96AAF"/>
    <w:rsid w:val="00AA1FCB"/>
    <w:rsid w:val="00AA251B"/>
    <w:rsid w:val="00AA46BF"/>
    <w:rsid w:val="00AA7D7E"/>
    <w:rsid w:val="00AB030D"/>
    <w:rsid w:val="00AB0795"/>
    <w:rsid w:val="00AB1277"/>
    <w:rsid w:val="00AB13B4"/>
    <w:rsid w:val="00AB1489"/>
    <w:rsid w:val="00AB245E"/>
    <w:rsid w:val="00AB25BD"/>
    <w:rsid w:val="00AB43A7"/>
    <w:rsid w:val="00AB45D5"/>
    <w:rsid w:val="00AB5B83"/>
    <w:rsid w:val="00AB5E0E"/>
    <w:rsid w:val="00AC08B0"/>
    <w:rsid w:val="00AC0CC1"/>
    <w:rsid w:val="00AC20C4"/>
    <w:rsid w:val="00AC2D94"/>
    <w:rsid w:val="00AC3174"/>
    <w:rsid w:val="00AC43D1"/>
    <w:rsid w:val="00AC4642"/>
    <w:rsid w:val="00AC4C48"/>
    <w:rsid w:val="00AC52D3"/>
    <w:rsid w:val="00AC5E39"/>
    <w:rsid w:val="00AC6342"/>
    <w:rsid w:val="00AC6556"/>
    <w:rsid w:val="00AC79DE"/>
    <w:rsid w:val="00AC7FDA"/>
    <w:rsid w:val="00AD048C"/>
    <w:rsid w:val="00AD0D74"/>
    <w:rsid w:val="00AD21D5"/>
    <w:rsid w:val="00AD3134"/>
    <w:rsid w:val="00AD370A"/>
    <w:rsid w:val="00AD6279"/>
    <w:rsid w:val="00AD6BB0"/>
    <w:rsid w:val="00AE4056"/>
    <w:rsid w:val="00AE5617"/>
    <w:rsid w:val="00AE5800"/>
    <w:rsid w:val="00AE5B7D"/>
    <w:rsid w:val="00AE6CE1"/>
    <w:rsid w:val="00AE792A"/>
    <w:rsid w:val="00AE7E8B"/>
    <w:rsid w:val="00AF0648"/>
    <w:rsid w:val="00AF19CB"/>
    <w:rsid w:val="00AF1EBE"/>
    <w:rsid w:val="00AF2A13"/>
    <w:rsid w:val="00AF3E5F"/>
    <w:rsid w:val="00AF4242"/>
    <w:rsid w:val="00AF474A"/>
    <w:rsid w:val="00AF476B"/>
    <w:rsid w:val="00AF54C4"/>
    <w:rsid w:val="00AF6046"/>
    <w:rsid w:val="00AF6B94"/>
    <w:rsid w:val="00AF7548"/>
    <w:rsid w:val="00AF79B6"/>
    <w:rsid w:val="00B01D70"/>
    <w:rsid w:val="00B022B4"/>
    <w:rsid w:val="00B02952"/>
    <w:rsid w:val="00B045E5"/>
    <w:rsid w:val="00B04AE7"/>
    <w:rsid w:val="00B04CEC"/>
    <w:rsid w:val="00B04F94"/>
    <w:rsid w:val="00B0545B"/>
    <w:rsid w:val="00B05893"/>
    <w:rsid w:val="00B06A06"/>
    <w:rsid w:val="00B07F1D"/>
    <w:rsid w:val="00B11AE3"/>
    <w:rsid w:val="00B16140"/>
    <w:rsid w:val="00B16DBB"/>
    <w:rsid w:val="00B254A2"/>
    <w:rsid w:val="00B259D1"/>
    <w:rsid w:val="00B2665C"/>
    <w:rsid w:val="00B26CCB"/>
    <w:rsid w:val="00B270FB"/>
    <w:rsid w:val="00B27549"/>
    <w:rsid w:val="00B31A9E"/>
    <w:rsid w:val="00B35642"/>
    <w:rsid w:val="00B3617A"/>
    <w:rsid w:val="00B37C8C"/>
    <w:rsid w:val="00B41027"/>
    <w:rsid w:val="00B4125B"/>
    <w:rsid w:val="00B42281"/>
    <w:rsid w:val="00B423B3"/>
    <w:rsid w:val="00B425D0"/>
    <w:rsid w:val="00B43C1E"/>
    <w:rsid w:val="00B43E6B"/>
    <w:rsid w:val="00B448E2"/>
    <w:rsid w:val="00B45907"/>
    <w:rsid w:val="00B45A8F"/>
    <w:rsid w:val="00B46948"/>
    <w:rsid w:val="00B47947"/>
    <w:rsid w:val="00B507AD"/>
    <w:rsid w:val="00B51BC1"/>
    <w:rsid w:val="00B527B2"/>
    <w:rsid w:val="00B541C4"/>
    <w:rsid w:val="00B54EFC"/>
    <w:rsid w:val="00B55127"/>
    <w:rsid w:val="00B55F44"/>
    <w:rsid w:val="00B578F3"/>
    <w:rsid w:val="00B628B5"/>
    <w:rsid w:val="00B62C31"/>
    <w:rsid w:val="00B70FEF"/>
    <w:rsid w:val="00B71256"/>
    <w:rsid w:val="00B71525"/>
    <w:rsid w:val="00B72232"/>
    <w:rsid w:val="00B80E47"/>
    <w:rsid w:val="00B80ECC"/>
    <w:rsid w:val="00B81DF1"/>
    <w:rsid w:val="00B82068"/>
    <w:rsid w:val="00B8401D"/>
    <w:rsid w:val="00B8543D"/>
    <w:rsid w:val="00B85C8A"/>
    <w:rsid w:val="00B863B1"/>
    <w:rsid w:val="00B8648C"/>
    <w:rsid w:val="00B866CB"/>
    <w:rsid w:val="00B90DC9"/>
    <w:rsid w:val="00B914A5"/>
    <w:rsid w:val="00B91CDE"/>
    <w:rsid w:val="00B926DD"/>
    <w:rsid w:val="00B92CD7"/>
    <w:rsid w:val="00B93419"/>
    <w:rsid w:val="00B936CA"/>
    <w:rsid w:val="00B93FA5"/>
    <w:rsid w:val="00B94462"/>
    <w:rsid w:val="00B970ED"/>
    <w:rsid w:val="00BA1DC1"/>
    <w:rsid w:val="00BA2389"/>
    <w:rsid w:val="00BA27F4"/>
    <w:rsid w:val="00BA2C05"/>
    <w:rsid w:val="00BA3C5F"/>
    <w:rsid w:val="00BA4759"/>
    <w:rsid w:val="00BA5C64"/>
    <w:rsid w:val="00BA689A"/>
    <w:rsid w:val="00BA71CA"/>
    <w:rsid w:val="00BB19B4"/>
    <w:rsid w:val="00BB2442"/>
    <w:rsid w:val="00BB256E"/>
    <w:rsid w:val="00BB2F58"/>
    <w:rsid w:val="00BB6C7B"/>
    <w:rsid w:val="00BB6E33"/>
    <w:rsid w:val="00BC08D4"/>
    <w:rsid w:val="00BC0960"/>
    <w:rsid w:val="00BC136A"/>
    <w:rsid w:val="00BC1CE3"/>
    <w:rsid w:val="00BC3B48"/>
    <w:rsid w:val="00BC70B2"/>
    <w:rsid w:val="00BC7879"/>
    <w:rsid w:val="00BC7A83"/>
    <w:rsid w:val="00BD1693"/>
    <w:rsid w:val="00BD356B"/>
    <w:rsid w:val="00BD35DC"/>
    <w:rsid w:val="00BD41B9"/>
    <w:rsid w:val="00BD4D69"/>
    <w:rsid w:val="00BD5A15"/>
    <w:rsid w:val="00BD5C81"/>
    <w:rsid w:val="00BD6E1B"/>
    <w:rsid w:val="00BD7D2A"/>
    <w:rsid w:val="00BE0825"/>
    <w:rsid w:val="00BE1A28"/>
    <w:rsid w:val="00BE5F83"/>
    <w:rsid w:val="00BE69BC"/>
    <w:rsid w:val="00BE791B"/>
    <w:rsid w:val="00BF0934"/>
    <w:rsid w:val="00BF15E5"/>
    <w:rsid w:val="00BF204F"/>
    <w:rsid w:val="00BF20E6"/>
    <w:rsid w:val="00BF384D"/>
    <w:rsid w:val="00BF3B65"/>
    <w:rsid w:val="00BF4855"/>
    <w:rsid w:val="00BF4F25"/>
    <w:rsid w:val="00BF525D"/>
    <w:rsid w:val="00BF6243"/>
    <w:rsid w:val="00C00E18"/>
    <w:rsid w:val="00C026D7"/>
    <w:rsid w:val="00C0274C"/>
    <w:rsid w:val="00C03395"/>
    <w:rsid w:val="00C034BE"/>
    <w:rsid w:val="00C039DB"/>
    <w:rsid w:val="00C043FE"/>
    <w:rsid w:val="00C04601"/>
    <w:rsid w:val="00C0725A"/>
    <w:rsid w:val="00C1071B"/>
    <w:rsid w:val="00C118D1"/>
    <w:rsid w:val="00C12284"/>
    <w:rsid w:val="00C122DC"/>
    <w:rsid w:val="00C1296A"/>
    <w:rsid w:val="00C15196"/>
    <w:rsid w:val="00C15B77"/>
    <w:rsid w:val="00C15D0D"/>
    <w:rsid w:val="00C17D2A"/>
    <w:rsid w:val="00C206FC"/>
    <w:rsid w:val="00C215E3"/>
    <w:rsid w:val="00C2404E"/>
    <w:rsid w:val="00C2486C"/>
    <w:rsid w:val="00C26C61"/>
    <w:rsid w:val="00C30618"/>
    <w:rsid w:val="00C30B35"/>
    <w:rsid w:val="00C31EEA"/>
    <w:rsid w:val="00C3450F"/>
    <w:rsid w:val="00C34E72"/>
    <w:rsid w:val="00C36509"/>
    <w:rsid w:val="00C40614"/>
    <w:rsid w:val="00C42A9F"/>
    <w:rsid w:val="00C43716"/>
    <w:rsid w:val="00C4395E"/>
    <w:rsid w:val="00C43CC7"/>
    <w:rsid w:val="00C43D4D"/>
    <w:rsid w:val="00C44BAC"/>
    <w:rsid w:val="00C45D32"/>
    <w:rsid w:val="00C4701D"/>
    <w:rsid w:val="00C5106C"/>
    <w:rsid w:val="00C512F8"/>
    <w:rsid w:val="00C51E3A"/>
    <w:rsid w:val="00C5227A"/>
    <w:rsid w:val="00C52CD4"/>
    <w:rsid w:val="00C53351"/>
    <w:rsid w:val="00C53E0C"/>
    <w:rsid w:val="00C53FE6"/>
    <w:rsid w:val="00C564DC"/>
    <w:rsid w:val="00C57173"/>
    <w:rsid w:val="00C60B74"/>
    <w:rsid w:val="00C6164C"/>
    <w:rsid w:val="00C61B1C"/>
    <w:rsid w:val="00C61CA6"/>
    <w:rsid w:val="00C61E18"/>
    <w:rsid w:val="00C62365"/>
    <w:rsid w:val="00C637BB"/>
    <w:rsid w:val="00C647F4"/>
    <w:rsid w:val="00C649C8"/>
    <w:rsid w:val="00C649F5"/>
    <w:rsid w:val="00C659B5"/>
    <w:rsid w:val="00C6607C"/>
    <w:rsid w:val="00C70F32"/>
    <w:rsid w:val="00C71BA7"/>
    <w:rsid w:val="00C72B0E"/>
    <w:rsid w:val="00C72CA2"/>
    <w:rsid w:val="00C7494D"/>
    <w:rsid w:val="00C75141"/>
    <w:rsid w:val="00C77453"/>
    <w:rsid w:val="00C80DA2"/>
    <w:rsid w:val="00C811A0"/>
    <w:rsid w:val="00C8222B"/>
    <w:rsid w:val="00C82B23"/>
    <w:rsid w:val="00C82E7A"/>
    <w:rsid w:val="00C82EA1"/>
    <w:rsid w:val="00C83DF5"/>
    <w:rsid w:val="00C8527F"/>
    <w:rsid w:val="00C85C08"/>
    <w:rsid w:val="00C86C15"/>
    <w:rsid w:val="00C90397"/>
    <w:rsid w:val="00C91BF5"/>
    <w:rsid w:val="00CA183A"/>
    <w:rsid w:val="00CA50AB"/>
    <w:rsid w:val="00CA5228"/>
    <w:rsid w:val="00CA6794"/>
    <w:rsid w:val="00CB0C0F"/>
    <w:rsid w:val="00CB2C1F"/>
    <w:rsid w:val="00CB3603"/>
    <w:rsid w:val="00CB3859"/>
    <w:rsid w:val="00CB3BE5"/>
    <w:rsid w:val="00CB41C2"/>
    <w:rsid w:val="00CB6C92"/>
    <w:rsid w:val="00CB7989"/>
    <w:rsid w:val="00CB7C97"/>
    <w:rsid w:val="00CC07F6"/>
    <w:rsid w:val="00CC08CF"/>
    <w:rsid w:val="00CC166B"/>
    <w:rsid w:val="00CC1A49"/>
    <w:rsid w:val="00CC218A"/>
    <w:rsid w:val="00CC2C99"/>
    <w:rsid w:val="00CC2D80"/>
    <w:rsid w:val="00CC3004"/>
    <w:rsid w:val="00CC39DF"/>
    <w:rsid w:val="00CC40A7"/>
    <w:rsid w:val="00CC411F"/>
    <w:rsid w:val="00CC6412"/>
    <w:rsid w:val="00CC75AA"/>
    <w:rsid w:val="00CC78E2"/>
    <w:rsid w:val="00CC7D1F"/>
    <w:rsid w:val="00CD1EAB"/>
    <w:rsid w:val="00CD24D2"/>
    <w:rsid w:val="00CD2946"/>
    <w:rsid w:val="00CD399D"/>
    <w:rsid w:val="00CD44D1"/>
    <w:rsid w:val="00CD4670"/>
    <w:rsid w:val="00CD46E3"/>
    <w:rsid w:val="00CD61CC"/>
    <w:rsid w:val="00CD6549"/>
    <w:rsid w:val="00CD705C"/>
    <w:rsid w:val="00CD7AED"/>
    <w:rsid w:val="00CD7BDF"/>
    <w:rsid w:val="00CE0587"/>
    <w:rsid w:val="00CE0A33"/>
    <w:rsid w:val="00CE14D3"/>
    <w:rsid w:val="00CE1BA0"/>
    <w:rsid w:val="00CE36E8"/>
    <w:rsid w:val="00CE4593"/>
    <w:rsid w:val="00CE558D"/>
    <w:rsid w:val="00CE700A"/>
    <w:rsid w:val="00CE70A5"/>
    <w:rsid w:val="00CE7770"/>
    <w:rsid w:val="00CF0524"/>
    <w:rsid w:val="00CF20BB"/>
    <w:rsid w:val="00CF3118"/>
    <w:rsid w:val="00CF4502"/>
    <w:rsid w:val="00CF6839"/>
    <w:rsid w:val="00CF7004"/>
    <w:rsid w:val="00D01BC4"/>
    <w:rsid w:val="00D03860"/>
    <w:rsid w:val="00D03B6C"/>
    <w:rsid w:val="00D05860"/>
    <w:rsid w:val="00D06199"/>
    <w:rsid w:val="00D066B2"/>
    <w:rsid w:val="00D109FD"/>
    <w:rsid w:val="00D117CC"/>
    <w:rsid w:val="00D11B4B"/>
    <w:rsid w:val="00D12276"/>
    <w:rsid w:val="00D143E4"/>
    <w:rsid w:val="00D14900"/>
    <w:rsid w:val="00D1536B"/>
    <w:rsid w:val="00D1553B"/>
    <w:rsid w:val="00D15A42"/>
    <w:rsid w:val="00D15EB4"/>
    <w:rsid w:val="00D162E8"/>
    <w:rsid w:val="00D164E2"/>
    <w:rsid w:val="00D21744"/>
    <w:rsid w:val="00D23382"/>
    <w:rsid w:val="00D24DFF"/>
    <w:rsid w:val="00D27592"/>
    <w:rsid w:val="00D3072D"/>
    <w:rsid w:val="00D319F5"/>
    <w:rsid w:val="00D32A76"/>
    <w:rsid w:val="00D32E96"/>
    <w:rsid w:val="00D35437"/>
    <w:rsid w:val="00D35BF5"/>
    <w:rsid w:val="00D36945"/>
    <w:rsid w:val="00D37225"/>
    <w:rsid w:val="00D40EBE"/>
    <w:rsid w:val="00D4195D"/>
    <w:rsid w:val="00D4222F"/>
    <w:rsid w:val="00D43CF4"/>
    <w:rsid w:val="00D45989"/>
    <w:rsid w:val="00D50B66"/>
    <w:rsid w:val="00D51718"/>
    <w:rsid w:val="00D537B3"/>
    <w:rsid w:val="00D53E47"/>
    <w:rsid w:val="00D54AF8"/>
    <w:rsid w:val="00D54D16"/>
    <w:rsid w:val="00D54D87"/>
    <w:rsid w:val="00D554DE"/>
    <w:rsid w:val="00D561A2"/>
    <w:rsid w:val="00D57274"/>
    <w:rsid w:val="00D61889"/>
    <w:rsid w:val="00D61DA6"/>
    <w:rsid w:val="00D627F1"/>
    <w:rsid w:val="00D6358F"/>
    <w:rsid w:val="00D63C45"/>
    <w:rsid w:val="00D66D77"/>
    <w:rsid w:val="00D679C5"/>
    <w:rsid w:val="00D706B9"/>
    <w:rsid w:val="00D73097"/>
    <w:rsid w:val="00D73966"/>
    <w:rsid w:val="00D74133"/>
    <w:rsid w:val="00D75811"/>
    <w:rsid w:val="00D773DD"/>
    <w:rsid w:val="00D80E10"/>
    <w:rsid w:val="00D812AE"/>
    <w:rsid w:val="00D82C82"/>
    <w:rsid w:val="00D82C9E"/>
    <w:rsid w:val="00D84073"/>
    <w:rsid w:val="00D85E41"/>
    <w:rsid w:val="00D86380"/>
    <w:rsid w:val="00D86FFF"/>
    <w:rsid w:val="00D875E1"/>
    <w:rsid w:val="00D87EDD"/>
    <w:rsid w:val="00D9085F"/>
    <w:rsid w:val="00D9460D"/>
    <w:rsid w:val="00D9604F"/>
    <w:rsid w:val="00D96D68"/>
    <w:rsid w:val="00D9728A"/>
    <w:rsid w:val="00D97678"/>
    <w:rsid w:val="00DA038D"/>
    <w:rsid w:val="00DA1014"/>
    <w:rsid w:val="00DA1633"/>
    <w:rsid w:val="00DA1A02"/>
    <w:rsid w:val="00DA1A1E"/>
    <w:rsid w:val="00DA289B"/>
    <w:rsid w:val="00DA39CA"/>
    <w:rsid w:val="00DA5A86"/>
    <w:rsid w:val="00DA607E"/>
    <w:rsid w:val="00DA62DD"/>
    <w:rsid w:val="00DA631C"/>
    <w:rsid w:val="00DA6B6F"/>
    <w:rsid w:val="00DA7F76"/>
    <w:rsid w:val="00DB25BD"/>
    <w:rsid w:val="00DB4330"/>
    <w:rsid w:val="00DB46D4"/>
    <w:rsid w:val="00DB5835"/>
    <w:rsid w:val="00DB6662"/>
    <w:rsid w:val="00DB6AD0"/>
    <w:rsid w:val="00DB7E43"/>
    <w:rsid w:val="00DC1568"/>
    <w:rsid w:val="00DC1E3D"/>
    <w:rsid w:val="00DC1F2D"/>
    <w:rsid w:val="00DC5B14"/>
    <w:rsid w:val="00DC6D24"/>
    <w:rsid w:val="00DD0E48"/>
    <w:rsid w:val="00DD2BFA"/>
    <w:rsid w:val="00DD3C09"/>
    <w:rsid w:val="00DD41BB"/>
    <w:rsid w:val="00DD4E9C"/>
    <w:rsid w:val="00DD6F49"/>
    <w:rsid w:val="00DD7C4F"/>
    <w:rsid w:val="00DE1661"/>
    <w:rsid w:val="00DE2258"/>
    <w:rsid w:val="00DE2720"/>
    <w:rsid w:val="00DE44E2"/>
    <w:rsid w:val="00DE4A32"/>
    <w:rsid w:val="00DE79F4"/>
    <w:rsid w:val="00DE7A8D"/>
    <w:rsid w:val="00DF10DE"/>
    <w:rsid w:val="00DF2C51"/>
    <w:rsid w:val="00DF2E91"/>
    <w:rsid w:val="00DF3839"/>
    <w:rsid w:val="00DF5CD0"/>
    <w:rsid w:val="00DF61BF"/>
    <w:rsid w:val="00DF62C6"/>
    <w:rsid w:val="00DF6D4A"/>
    <w:rsid w:val="00E018CC"/>
    <w:rsid w:val="00E01A55"/>
    <w:rsid w:val="00E01DC5"/>
    <w:rsid w:val="00E03CE8"/>
    <w:rsid w:val="00E04174"/>
    <w:rsid w:val="00E05AC4"/>
    <w:rsid w:val="00E05DAF"/>
    <w:rsid w:val="00E077B5"/>
    <w:rsid w:val="00E11D49"/>
    <w:rsid w:val="00E14074"/>
    <w:rsid w:val="00E148BA"/>
    <w:rsid w:val="00E158C4"/>
    <w:rsid w:val="00E166B3"/>
    <w:rsid w:val="00E20CE8"/>
    <w:rsid w:val="00E21B4D"/>
    <w:rsid w:val="00E23A9F"/>
    <w:rsid w:val="00E23AF9"/>
    <w:rsid w:val="00E259EC"/>
    <w:rsid w:val="00E264EA"/>
    <w:rsid w:val="00E27B76"/>
    <w:rsid w:val="00E30957"/>
    <w:rsid w:val="00E3106C"/>
    <w:rsid w:val="00E31255"/>
    <w:rsid w:val="00E313FF"/>
    <w:rsid w:val="00E35596"/>
    <w:rsid w:val="00E35EF8"/>
    <w:rsid w:val="00E37DC1"/>
    <w:rsid w:val="00E37E7E"/>
    <w:rsid w:val="00E40560"/>
    <w:rsid w:val="00E412CE"/>
    <w:rsid w:val="00E4208E"/>
    <w:rsid w:val="00E42DA6"/>
    <w:rsid w:val="00E43246"/>
    <w:rsid w:val="00E437CF"/>
    <w:rsid w:val="00E4500C"/>
    <w:rsid w:val="00E458AE"/>
    <w:rsid w:val="00E45FCB"/>
    <w:rsid w:val="00E46FFA"/>
    <w:rsid w:val="00E476D5"/>
    <w:rsid w:val="00E50D0C"/>
    <w:rsid w:val="00E50DE8"/>
    <w:rsid w:val="00E51594"/>
    <w:rsid w:val="00E5271A"/>
    <w:rsid w:val="00E533E4"/>
    <w:rsid w:val="00E546FA"/>
    <w:rsid w:val="00E5497F"/>
    <w:rsid w:val="00E54C12"/>
    <w:rsid w:val="00E56338"/>
    <w:rsid w:val="00E56686"/>
    <w:rsid w:val="00E56D43"/>
    <w:rsid w:val="00E5786A"/>
    <w:rsid w:val="00E623FE"/>
    <w:rsid w:val="00E661AC"/>
    <w:rsid w:val="00E672AE"/>
    <w:rsid w:val="00E67935"/>
    <w:rsid w:val="00E701F5"/>
    <w:rsid w:val="00E714D0"/>
    <w:rsid w:val="00E72E48"/>
    <w:rsid w:val="00E74192"/>
    <w:rsid w:val="00E74200"/>
    <w:rsid w:val="00E74446"/>
    <w:rsid w:val="00E74C41"/>
    <w:rsid w:val="00E778B9"/>
    <w:rsid w:val="00E81161"/>
    <w:rsid w:val="00E817AE"/>
    <w:rsid w:val="00E836A0"/>
    <w:rsid w:val="00E85286"/>
    <w:rsid w:val="00E85805"/>
    <w:rsid w:val="00E86481"/>
    <w:rsid w:val="00E8664D"/>
    <w:rsid w:val="00E9057F"/>
    <w:rsid w:val="00E91541"/>
    <w:rsid w:val="00E91C29"/>
    <w:rsid w:val="00E91F4F"/>
    <w:rsid w:val="00E9614A"/>
    <w:rsid w:val="00E963C5"/>
    <w:rsid w:val="00E97A1B"/>
    <w:rsid w:val="00EA1B13"/>
    <w:rsid w:val="00EA1B29"/>
    <w:rsid w:val="00EA2CED"/>
    <w:rsid w:val="00EA5AE6"/>
    <w:rsid w:val="00EA5EC0"/>
    <w:rsid w:val="00EA63E4"/>
    <w:rsid w:val="00EA673C"/>
    <w:rsid w:val="00EA7390"/>
    <w:rsid w:val="00EA7960"/>
    <w:rsid w:val="00EB15F0"/>
    <w:rsid w:val="00EB2940"/>
    <w:rsid w:val="00EB2A15"/>
    <w:rsid w:val="00EB3763"/>
    <w:rsid w:val="00EB4253"/>
    <w:rsid w:val="00EB48FA"/>
    <w:rsid w:val="00EB55B1"/>
    <w:rsid w:val="00EB58CA"/>
    <w:rsid w:val="00EC0782"/>
    <w:rsid w:val="00EC1007"/>
    <w:rsid w:val="00EC1DD1"/>
    <w:rsid w:val="00EC21B7"/>
    <w:rsid w:val="00EC33B2"/>
    <w:rsid w:val="00EC4A3E"/>
    <w:rsid w:val="00EC5686"/>
    <w:rsid w:val="00EC64C3"/>
    <w:rsid w:val="00EC6710"/>
    <w:rsid w:val="00EC733D"/>
    <w:rsid w:val="00ED01E3"/>
    <w:rsid w:val="00ED0501"/>
    <w:rsid w:val="00ED0FB7"/>
    <w:rsid w:val="00ED1DB8"/>
    <w:rsid w:val="00ED3874"/>
    <w:rsid w:val="00ED3A30"/>
    <w:rsid w:val="00ED4DD8"/>
    <w:rsid w:val="00ED6AC5"/>
    <w:rsid w:val="00ED6B0C"/>
    <w:rsid w:val="00ED6B8F"/>
    <w:rsid w:val="00ED6FE7"/>
    <w:rsid w:val="00ED70FE"/>
    <w:rsid w:val="00ED7102"/>
    <w:rsid w:val="00ED7268"/>
    <w:rsid w:val="00ED739B"/>
    <w:rsid w:val="00ED7DD8"/>
    <w:rsid w:val="00EE1BF8"/>
    <w:rsid w:val="00EE1DB9"/>
    <w:rsid w:val="00EE27E7"/>
    <w:rsid w:val="00EE2899"/>
    <w:rsid w:val="00EE3C8D"/>
    <w:rsid w:val="00EE5DF9"/>
    <w:rsid w:val="00EE68E6"/>
    <w:rsid w:val="00EE6E4E"/>
    <w:rsid w:val="00EF19AC"/>
    <w:rsid w:val="00EF4A8F"/>
    <w:rsid w:val="00EF71CE"/>
    <w:rsid w:val="00EF79CB"/>
    <w:rsid w:val="00EF7F17"/>
    <w:rsid w:val="00F0044F"/>
    <w:rsid w:val="00F01BA2"/>
    <w:rsid w:val="00F0210B"/>
    <w:rsid w:val="00F02C61"/>
    <w:rsid w:val="00F030FF"/>
    <w:rsid w:val="00F039E6"/>
    <w:rsid w:val="00F04044"/>
    <w:rsid w:val="00F0451C"/>
    <w:rsid w:val="00F051A4"/>
    <w:rsid w:val="00F05800"/>
    <w:rsid w:val="00F065C2"/>
    <w:rsid w:val="00F0737C"/>
    <w:rsid w:val="00F10265"/>
    <w:rsid w:val="00F10B0D"/>
    <w:rsid w:val="00F10C53"/>
    <w:rsid w:val="00F1201F"/>
    <w:rsid w:val="00F1220E"/>
    <w:rsid w:val="00F20753"/>
    <w:rsid w:val="00F209D3"/>
    <w:rsid w:val="00F22EB4"/>
    <w:rsid w:val="00F25A26"/>
    <w:rsid w:val="00F262FB"/>
    <w:rsid w:val="00F26771"/>
    <w:rsid w:val="00F27146"/>
    <w:rsid w:val="00F30B7B"/>
    <w:rsid w:val="00F314AD"/>
    <w:rsid w:val="00F31B77"/>
    <w:rsid w:val="00F32785"/>
    <w:rsid w:val="00F32F87"/>
    <w:rsid w:val="00F359D1"/>
    <w:rsid w:val="00F35F5D"/>
    <w:rsid w:val="00F36B24"/>
    <w:rsid w:val="00F36D83"/>
    <w:rsid w:val="00F4187C"/>
    <w:rsid w:val="00F427DE"/>
    <w:rsid w:val="00F42DDB"/>
    <w:rsid w:val="00F4359C"/>
    <w:rsid w:val="00F435E9"/>
    <w:rsid w:val="00F44207"/>
    <w:rsid w:val="00F44C2E"/>
    <w:rsid w:val="00F45DF4"/>
    <w:rsid w:val="00F46390"/>
    <w:rsid w:val="00F46D77"/>
    <w:rsid w:val="00F47739"/>
    <w:rsid w:val="00F47C7E"/>
    <w:rsid w:val="00F47D2C"/>
    <w:rsid w:val="00F510E5"/>
    <w:rsid w:val="00F5153B"/>
    <w:rsid w:val="00F51BAA"/>
    <w:rsid w:val="00F51CC7"/>
    <w:rsid w:val="00F526F2"/>
    <w:rsid w:val="00F5271E"/>
    <w:rsid w:val="00F5345D"/>
    <w:rsid w:val="00F5351E"/>
    <w:rsid w:val="00F5466A"/>
    <w:rsid w:val="00F546E9"/>
    <w:rsid w:val="00F60C1C"/>
    <w:rsid w:val="00F61105"/>
    <w:rsid w:val="00F63A17"/>
    <w:rsid w:val="00F656B9"/>
    <w:rsid w:val="00F6597B"/>
    <w:rsid w:val="00F65DEC"/>
    <w:rsid w:val="00F66FFC"/>
    <w:rsid w:val="00F7142D"/>
    <w:rsid w:val="00F72A75"/>
    <w:rsid w:val="00F7368F"/>
    <w:rsid w:val="00F743B8"/>
    <w:rsid w:val="00F74607"/>
    <w:rsid w:val="00F77BED"/>
    <w:rsid w:val="00F85070"/>
    <w:rsid w:val="00F86509"/>
    <w:rsid w:val="00F872CD"/>
    <w:rsid w:val="00F8763E"/>
    <w:rsid w:val="00F87784"/>
    <w:rsid w:val="00F87C1F"/>
    <w:rsid w:val="00F920E8"/>
    <w:rsid w:val="00F9246A"/>
    <w:rsid w:val="00F924BE"/>
    <w:rsid w:val="00F93781"/>
    <w:rsid w:val="00F93B77"/>
    <w:rsid w:val="00F9416B"/>
    <w:rsid w:val="00F94DB7"/>
    <w:rsid w:val="00F97374"/>
    <w:rsid w:val="00F974B4"/>
    <w:rsid w:val="00F97529"/>
    <w:rsid w:val="00FA16EA"/>
    <w:rsid w:val="00FA26F3"/>
    <w:rsid w:val="00FA3AE8"/>
    <w:rsid w:val="00FA66BD"/>
    <w:rsid w:val="00FA7257"/>
    <w:rsid w:val="00FA77AD"/>
    <w:rsid w:val="00FB0400"/>
    <w:rsid w:val="00FB093B"/>
    <w:rsid w:val="00FB0B99"/>
    <w:rsid w:val="00FB18BD"/>
    <w:rsid w:val="00FB2B1E"/>
    <w:rsid w:val="00FB5A6B"/>
    <w:rsid w:val="00FB5CF0"/>
    <w:rsid w:val="00FB731C"/>
    <w:rsid w:val="00FB747B"/>
    <w:rsid w:val="00FC1472"/>
    <w:rsid w:val="00FC1ED2"/>
    <w:rsid w:val="00FC465A"/>
    <w:rsid w:val="00FC6E8C"/>
    <w:rsid w:val="00FC730A"/>
    <w:rsid w:val="00FC7779"/>
    <w:rsid w:val="00FC7AA7"/>
    <w:rsid w:val="00FD0253"/>
    <w:rsid w:val="00FD1251"/>
    <w:rsid w:val="00FD1599"/>
    <w:rsid w:val="00FD1F73"/>
    <w:rsid w:val="00FD21F5"/>
    <w:rsid w:val="00FE05E3"/>
    <w:rsid w:val="00FE0E7D"/>
    <w:rsid w:val="00FE1116"/>
    <w:rsid w:val="00FE1A75"/>
    <w:rsid w:val="00FE2228"/>
    <w:rsid w:val="00FE2721"/>
    <w:rsid w:val="00FE2C72"/>
    <w:rsid w:val="00FE2C9F"/>
    <w:rsid w:val="00FE61C2"/>
    <w:rsid w:val="00FE75C6"/>
    <w:rsid w:val="00FF0319"/>
    <w:rsid w:val="00FF07A4"/>
    <w:rsid w:val="00FF0A36"/>
    <w:rsid w:val="00FF334D"/>
    <w:rsid w:val="00FF3656"/>
    <w:rsid w:val="00FF48C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15720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ind w:firstLine="35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608E"/>
    <w:pPr>
      <w:ind w:firstLine="0"/>
      <w:jc w:val="both"/>
    </w:pPr>
    <w:rPr>
      <w:rFonts w:ascii="Arial" w:eastAsiaTheme="minorEastAsia" w:hAnsi="Arial"/>
      <w:lang w:val="en-US" w:bidi="en-US"/>
    </w:rPr>
  </w:style>
  <w:style w:type="paragraph" w:styleId="Heading1">
    <w:name w:val="heading 1"/>
    <w:basedOn w:val="Normal"/>
    <w:next w:val="Normal"/>
    <w:link w:val="Heading1Char"/>
    <w:uiPriority w:val="9"/>
    <w:qFormat/>
    <w:rsid w:val="0066689E"/>
    <w:pPr>
      <w:spacing w:before="80" w:after="80" w:line="276" w:lineRule="auto"/>
      <w:jc w:val="left"/>
      <w:outlineLvl w:val="0"/>
    </w:pPr>
    <w:rPr>
      <w:rFonts w:eastAsiaTheme="majorEastAsia" w:cstheme="majorBidi"/>
      <w:b/>
      <w:bCs/>
      <w:caps/>
      <w:sz w:val="32"/>
      <w:szCs w:val="32"/>
      <w:lang w:val="en-AU" w:eastAsia="en-AU"/>
    </w:rPr>
  </w:style>
  <w:style w:type="paragraph" w:styleId="Heading2">
    <w:name w:val="heading 2"/>
    <w:aliases w:val="h2,2nd Level Heading"/>
    <w:basedOn w:val="Normal"/>
    <w:next w:val="Normal"/>
    <w:link w:val="Heading2Char"/>
    <w:uiPriority w:val="99"/>
    <w:unhideWhenUsed/>
    <w:qFormat/>
    <w:rsid w:val="0059608E"/>
    <w:pPr>
      <w:pBdr>
        <w:bottom w:val="single" w:sz="4" w:space="1" w:color="95B3D7" w:themeColor="accent1" w:themeTint="99"/>
      </w:pBdr>
      <w:spacing w:before="160" w:after="80"/>
      <w:outlineLvl w:val="1"/>
    </w:pPr>
    <w:rPr>
      <w:rFonts w:eastAsiaTheme="majorEastAsia" w:cstheme="majorBidi"/>
      <w:b/>
      <w:sz w:val="28"/>
      <w:szCs w:val="28"/>
      <w:lang w:eastAsia="en-AU"/>
    </w:rPr>
  </w:style>
  <w:style w:type="paragraph" w:styleId="Heading3">
    <w:name w:val="heading 3"/>
    <w:basedOn w:val="Normal"/>
    <w:next w:val="Normal"/>
    <w:link w:val="Heading3Char"/>
    <w:uiPriority w:val="9"/>
    <w:unhideWhenUsed/>
    <w:qFormat/>
    <w:rsid w:val="0059608E"/>
    <w:pPr>
      <w:numPr>
        <w:ilvl w:val="2"/>
        <w:numId w:val="1"/>
      </w:numPr>
      <w:spacing w:before="200" w:after="80"/>
      <w:outlineLvl w:val="2"/>
    </w:pPr>
    <w:rPr>
      <w:rFonts w:eastAsiaTheme="majorEastAsia"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59608E"/>
    <w:pPr>
      <w:outlineLvl w:val="3"/>
    </w:pPr>
  </w:style>
  <w:style w:type="paragraph" w:styleId="Heading5">
    <w:name w:val="heading 5"/>
    <w:basedOn w:val="Normal"/>
    <w:next w:val="Normal"/>
    <w:link w:val="Heading5Char"/>
    <w:uiPriority w:val="9"/>
    <w:unhideWhenUsed/>
    <w:qFormat/>
    <w:rsid w:val="0059608E"/>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59608E"/>
    <w:pPr>
      <w:numPr>
        <w:ilvl w:val="5"/>
        <w:numId w:val="1"/>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2B1A9C"/>
    <w:pPr>
      <w:numPr>
        <w:ilvl w:val="6"/>
        <w:numId w:val="17"/>
      </w:numPr>
      <w:spacing w:before="320" w:after="100"/>
      <w:ind w:left="426"/>
      <w:jc w:val="left"/>
      <w:outlineLvl w:val="6"/>
    </w:pPr>
    <w:rPr>
      <w:rFonts w:eastAsiaTheme="majorEastAsia" w:cstheme="majorBidi"/>
      <w:b/>
      <w:bCs/>
      <w:sz w:val="28"/>
      <w:szCs w:val="20"/>
      <w:lang w:val="en-AU" w:bidi="ar-SA"/>
    </w:rPr>
  </w:style>
  <w:style w:type="paragraph" w:styleId="Heading8">
    <w:name w:val="heading 8"/>
    <w:basedOn w:val="Normal"/>
    <w:next w:val="Normal"/>
    <w:link w:val="Heading8Char"/>
    <w:uiPriority w:val="9"/>
    <w:unhideWhenUsed/>
    <w:qFormat/>
    <w:rsid w:val="004A2E7A"/>
    <w:pPr>
      <w:numPr>
        <w:ilvl w:val="7"/>
        <w:numId w:val="19"/>
      </w:numPr>
      <w:spacing w:before="320" w:after="100"/>
      <w:outlineLvl w:val="7"/>
    </w:pPr>
    <w:rPr>
      <w:rFonts w:eastAsiaTheme="majorEastAsia" w:cstheme="majorBidi"/>
      <w:b/>
      <w:bCs/>
      <w:iCs/>
      <w:sz w:val="24"/>
      <w:szCs w:val="20"/>
    </w:rPr>
  </w:style>
  <w:style w:type="paragraph" w:styleId="Heading9">
    <w:name w:val="heading 9"/>
    <w:basedOn w:val="Normal"/>
    <w:next w:val="Normal"/>
    <w:link w:val="Heading9Char"/>
    <w:uiPriority w:val="9"/>
    <w:semiHidden/>
    <w:unhideWhenUsed/>
    <w:qFormat/>
    <w:rsid w:val="0059608E"/>
    <w:pPr>
      <w:numPr>
        <w:ilvl w:val="8"/>
        <w:numId w:val="1"/>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689E"/>
    <w:rPr>
      <w:rFonts w:ascii="Arial" w:eastAsiaTheme="majorEastAsia" w:hAnsi="Arial" w:cstheme="majorBidi"/>
      <w:b/>
      <w:bCs/>
      <w:caps/>
      <w:sz w:val="32"/>
      <w:szCs w:val="32"/>
      <w:lang w:eastAsia="en-AU" w:bidi="en-US"/>
    </w:rPr>
  </w:style>
  <w:style w:type="character" w:customStyle="1" w:styleId="Heading2Char">
    <w:name w:val="Heading 2 Char"/>
    <w:aliases w:val="h2 Char,2nd Level Heading Char"/>
    <w:basedOn w:val="DefaultParagraphFont"/>
    <w:link w:val="Heading2"/>
    <w:uiPriority w:val="99"/>
    <w:rsid w:val="0059608E"/>
    <w:rPr>
      <w:rFonts w:ascii="Arial" w:eastAsiaTheme="majorEastAsia" w:hAnsi="Arial" w:cstheme="majorBidi"/>
      <w:b/>
      <w:sz w:val="28"/>
      <w:szCs w:val="28"/>
      <w:lang w:val="en-US" w:eastAsia="en-AU" w:bidi="en-US"/>
    </w:rPr>
  </w:style>
  <w:style w:type="character" w:customStyle="1" w:styleId="Heading3Char">
    <w:name w:val="Heading 3 Char"/>
    <w:basedOn w:val="DefaultParagraphFont"/>
    <w:link w:val="Heading3"/>
    <w:uiPriority w:val="9"/>
    <w:rsid w:val="0059608E"/>
    <w:rPr>
      <w:rFonts w:ascii="Arial" w:eastAsiaTheme="majorEastAsia" w:hAnsi="Arial" w:cstheme="majorBidi"/>
      <w:b/>
      <w:color w:val="548DD4" w:themeColor="text2" w:themeTint="99"/>
      <w:sz w:val="24"/>
      <w:szCs w:val="24"/>
      <w:lang w:val="en-GB" w:eastAsia="en-AU" w:bidi="en-US"/>
    </w:rPr>
  </w:style>
  <w:style w:type="character" w:customStyle="1" w:styleId="Heading4Char">
    <w:name w:val="Heading 4 Char"/>
    <w:basedOn w:val="DefaultParagraphFont"/>
    <w:link w:val="Heading4"/>
    <w:uiPriority w:val="9"/>
    <w:rsid w:val="0059608E"/>
    <w:rPr>
      <w:rFonts w:asciiTheme="majorHAnsi" w:eastAsiaTheme="majorEastAsia" w:hAnsiTheme="majorHAnsi" w:cstheme="majorBidi"/>
      <w:b/>
      <w:sz w:val="20"/>
      <w:szCs w:val="20"/>
      <w:lang w:val="en-US" w:eastAsia="ja-JP" w:bidi="en-US"/>
    </w:rPr>
  </w:style>
  <w:style w:type="character" w:customStyle="1" w:styleId="Heading5Char">
    <w:name w:val="Heading 5 Char"/>
    <w:basedOn w:val="DefaultParagraphFont"/>
    <w:link w:val="Heading5"/>
    <w:uiPriority w:val="9"/>
    <w:rsid w:val="0059608E"/>
    <w:rPr>
      <w:rFonts w:asciiTheme="majorHAnsi" w:eastAsiaTheme="majorEastAsia" w:hAnsiTheme="majorHAnsi" w:cstheme="majorBidi"/>
      <w:b/>
      <w:sz w:val="20"/>
      <w:szCs w:val="20"/>
      <w:lang w:val="en-US" w:eastAsia="ja-JP" w:bidi="en-US"/>
    </w:rPr>
  </w:style>
  <w:style w:type="character" w:customStyle="1" w:styleId="Heading6Char">
    <w:name w:val="Heading 6 Char"/>
    <w:basedOn w:val="DefaultParagraphFont"/>
    <w:link w:val="Heading6"/>
    <w:uiPriority w:val="9"/>
    <w:rsid w:val="0059608E"/>
    <w:rPr>
      <w:rFonts w:asciiTheme="majorHAnsi" w:eastAsiaTheme="majorEastAsia" w:hAnsiTheme="majorHAnsi" w:cstheme="majorBidi"/>
      <w:b/>
      <w:i/>
      <w:iCs/>
      <w:sz w:val="20"/>
      <w:szCs w:val="20"/>
      <w:lang w:val="en-GB" w:bidi="en-US"/>
    </w:rPr>
  </w:style>
  <w:style w:type="character" w:customStyle="1" w:styleId="Heading7Char">
    <w:name w:val="Heading 7 Char"/>
    <w:basedOn w:val="DefaultParagraphFont"/>
    <w:link w:val="Heading7"/>
    <w:uiPriority w:val="9"/>
    <w:rsid w:val="002B1A9C"/>
    <w:rPr>
      <w:rFonts w:ascii="Arial" w:eastAsiaTheme="majorEastAsia" w:hAnsi="Arial" w:cstheme="majorBidi"/>
      <w:b/>
      <w:bCs/>
      <w:sz w:val="28"/>
      <w:szCs w:val="20"/>
    </w:rPr>
  </w:style>
  <w:style w:type="character" w:customStyle="1" w:styleId="Heading8Char">
    <w:name w:val="Heading 8 Char"/>
    <w:basedOn w:val="DefaultParagraphFont"/>
    <w:link w:val="Heading8"/>
    <w:uiPriority w:val="9"/>
    <w:rsid w:val="004A2E7A"/>
    <w:rPr>
      <w:rFonts w:ascii="Arial" w:eastAsiaTheme="majorEastAsia" w:hAnsi="Arial" w:cstheme="majorBidi"/>
      <w:b/>
      <w:bCs/>
      <w:iCs/>
      <w:sz w:val="24"/>
      <w:szCs w:val="20"/>
      <w:lang w:val="en-US" w:bidi="en-US"/>
    </w:rPr>
  </w:style>
  <w:style w:type="character" w:customStyle="1" w:styleId="Heading9Char">
    <w:name w:val="Heading 9 Char"/>
    <w:basedOn w:val="DefaultParagraphFont"/>
    <w:link w:val="Heading9"/>
    <w:uiPriority w:val="9"/>
    <w:semiHidden/>
    <w:rsid w:val="0059608E"/>
    <w:rPr>
      <w:rFonts w:asciiTheme="majorHAnsi" w:eastAsiaTheme="majorEastAsia" w:hAnsiTheme="majorHAnsi" w:cstheme="majorBidi"/>
      <w:i/>
      <w:iCs/>
      <w:color w:val="9BBB59" w:themeColor="accent3"/>
      <w:sz w:val="20"/>
      <w:szCs w:val="20"/>
      <w:lang w:val="en-US" w:bidi="en-US"/>
    </w:rPr>
  </w:style>
  <w:style w:type="paragraph" w:styleId="TOC1">
    <w:name w:val="toc 1"/>
    <w:basedOn w:val="Normal"/>
    <w:next w:val="Normal"/>
    <w:link w:val="TOC1Char"/>
    <w:autoRedefine/>
    <w:uiPriority w:val="39"/>
    <w:qFormat/>
    <w:rsid w:val="0059608E"/>
    <w:pPr>
      <w:spacing w:before="240" w:after="120"/>
      <w:jc w:val="left"/>
    </w:pPr>
    <w:rPr>
      <w:rFonts w:asciiTheme="minorHAnsi" w:hAnsiTheme="minorHAnsi"/>
      <w:b/>
      <w:bCs/>
      <w:sz w:val="20"/>
      <w:szCs w:val="20"/>
    </w:rPr>
  </w:style>
  <w:style w:type="paragraph" w:styleId="TOC3">
    <w:name w:val="toc 3"/>
    <w:basedOn w:val="Normal"/>
    <w:next w:val="Normal"/>
    <w:autoRedefine/>
    <w:uiPriority w:val="39"/>
    <w:qFormat/>
    <w:rsid w:val="0059608E"/>
    <w:pPr>
      <w:ind w:left="440"/>
      <w:jc w:val="left"/>
    </w:pPr>
    <w:rPr>
      <w:rFonts w:asciiTheme="minorHAnsi" w:hAnsiTheme="minorHAnsi"/>
      <w:sz w:val="20"/>
      <w:szCs w:val="20"/>
    </w:rPr>
  </w:style>
  <w:style w:type="paragraph" w:styleId="Caption">
    <w:name w:val="caption"/>
    <w:aliases w:val="Tables,Caption Char Char,Caption Char1,Caption Char4 Char1,Caption Char1 Char5 Char,Caption Char4 Char Char2 Char,Caption Char1 Char2 Char Char4 Char,Caption Char4 Char Char Char1 Char2 Char,Caption Char1 Char Char Char1 Char Char3 Char"/>
    <w:basedOn w:val="Normal"/>
    <w:next w:val="Normal"/>
    <w:link w:val="CaptionChar"/>
    <w:uiPriority w:val="35"/>
    <w:unhideWhenUsed/>
    <w:qFormat/>
    <w:rsid w:val="0059608E"/>
    <w:pPr>
      <w:jc w:val="left"/>
    </w:pPr>
    <w:rPr>
      <w:b/>
      <w:bCs/>
      <w:sz w:val="18"/>
      <w:szCs w:val="18"/>
    </w:rPr>
  </w:style>
  <w:style w:type="character" w:customStyle="1" w:styleId="CaptionChar">
    <w:name w:val="Caption Char"/>
    <w:aliases w:val="Tables Char,Caption Char Char Char,Caption Char1 Char,Caption Char4 Char1 Char,Caption Char1 Char5 Char Char,Caption Char4 Char Char2 Char Char,Caption Char1 Char2 Char Char4 Char Char,Caption Char4 Char Char Char1 Char2 Char Char"/>
    <w:basedOn w:val="DefaultParagraphFont"/>
    <w:link w:val="Caption"/>
    <w:uiPriority w:val="35"/>
    <w:locked/>
    <w:rsid w:val="0059608E"/>
    <w:rPr>
      <w:rFonts w:ascii="Arial" w:eastAsiaTheme="minorEastAsia" w:hAnsi="Arial"/>
      <w:b/>
      <w:bCs/>
      <w:sz w:val="18"/>
      <w:szCs w:val="18"/>
      <w:lang w:val="en-US" w:bidi="en-US"/>
    </w:rPr>
  </w:style>
  <w:style w:type="paragraph" w:styleId="Title">
    <w:name w:val="Title"/>
    <w:basedOn w:val="Normal"/>
    <w:next w:val="Normal"/>
    <w:link w:val="TitleChar"/>
    <w:uiPriority w:val="10"/>
    <w:qFormat/>
    <w:rsid w:val="0059608E"/>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59608E"/>
    <w:rPr>
      <w:rFonts w:asciiTheme="majorHAnsi" w:eastAsiaTheme="majorEastAsia" w:hAnsiTheme="majorHAnsi" w:cstheme="majorBidi"/>
      <w:i/>
      <w:iCs/>
      <w:color w:val="243F60" w:themeColor="accent1" w:themeShade="7F"/>
      <w:sz w:val="60"/>
      <w:szCs w:val="60"/>
      <w:lang w:val="en-US" w:bidi="en-US"/>
    </w:rPr>
  </w:style>
  <w:style w:type="paragraph" w:styleId="Subtitle">
    <w:name w:val="Subtitle"/>
    <w:basedOn w:val="Normal"/>
    <w:next w:val="Normal"/>
    <w:link w:val="SubtitleChar"/>
    <w:uiPriority w:val="11"/>
    <w:qFormat/>
    <w:rsid w:val="0059608E"/>
    <w:pPr>
      <w:spacing w:before="200" w:after="900"/>
      <w:jc w:val="right"/>
    </w:pPr>
    <w:rPr>
      <w:i/>
      <w:iCs/>
      <w:sz w:val="24"/>
      <w:szCs w:val="24"/>
    </w:rPr>
  </w:style>
  <w:style w:type="character" w:customStyle="1" w:styleId="SubtitleChar">
    <w:name w:val="Subtitle Char"/>
    <w:basedOn w:val="DefaultParagraphFont"/>
    <w:link w:val="Subtitle"/>
    <w:uiPriority w:val="11"/>
    <w:rsid w:val="0059608E"/>
    <w:rPr>
      <w:rFonts w:ascii="Arial" w:eastAsiaTheme="minorEastAsia" w:hAnsi="Arial"/>
      <w:i/>
      <w:iCs/>
      <w:sz w:val="24"/>
      <w:szCs w:val="24"/>
      <w:lang w:val="en-US" w:bidi="en-US"/>
    </w:rPr>
  </w:style>
  <w:style w:type="character" w:styleId="Strong">
    <w:name w:val="Strong"/>
    <w:basedOn w:val="DefaultParagraphFont"/>
    <w:uiPriority w:val="22"/>
    <w:qFormat/>
    <w:rsid w:val="0059608E"/>
    <w:rPr>
      <w:b/>
      <w:bCs/>
      <w:spacing w:val="0"/>
    </w:rPr>
  </w:style>
  <w:style w:type="character" w:styleId="Emphasis">
    <w:name w:val="Emphasis"/>
    <w:uiPriority w:val="20"/>
    <w:qFormat/>
    <w:rsid w:val="0059608E"/>
    <w:rPr>
      <w:b/>
      <w:bCs/>
      <w:i/>
      <w:iCs/>
      <w:color w:val="5A5A5A" w:themeColor="text1" w:themeTint="A5"/>
    </w:rPr>
  </w:style>
  <w:style w:type="paragraph" w:styleId="NoSpacing">
    <w:name w:val="No Spacing"/>
    <w:basedOn w:val="Normal"/>
    <w:link w:val="NoSpacingChar"/>
    <w:uiPriority w:val="1"/>
    <w:qFormat/>
    <w:rsid w:val="0059608E"/>
  </w:style>
  <w:style w:type="character" w:customStyle="1" w:styleId="NoSpacingChar">
    <w:name w:val="No Spacing Char"/>
    <w:basedOn w:val="DefaultParagraphFont"/>
    <w:link w:val="NoSpacing"/>
    <w:uiPriority w:val="1"/>
    <w:rsid w:val="0059608E"/>
    <w:rPr>
      <w:rFonts w:ascii="Arial" w:eastAsiaTheme="minorEastAsia" w:hAnsi="Arial"/>
      <w:lang w:val="en-US" w:bidi="en-US"/>
    </w:rPr>
  </w:style>
  <w:style w:type="paragraph" w:styleId="ListParagraph">
    <w:name w:val="List Paragraph"/>
    <w:basedOn w:val="Normal"/>
    <w:link w:val="ListParagraphChar"/>
    <w:uiPriority w:val="34"/>
    <w:qFormat/>
    <w:rsid w:val="0059608E"/>
    <w:pPr>
      <w:ind w:left="720"/>
      <w:contextualSpacing/>
    </w:pPr>
  </w:style>
  <w:style w:type="paragraph" w:styleId="Quote">
    <w:name w:val="Quote"/>
    <w:basedOn w:val="Normal"/>
    <w:next w:val="Normal"/>
    <w:link w:val="QuoteChar"/>
    <w:uiPriority w:val="29"/>
    <w:qFormat/>
    <w:rsid w:val="0059608E"/>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59608E"/>
    <w:rPr>
      <w:rFonts w:asciiTheme="majorHAnsi" w:eastAsiaTheme="majorEastAsia" w:hAnsiTheme="majorHAnsi" w:cstheme="majorBidi"/>
      <w:i/>
      <w:iCs/>
      <w:color w:val="5A5A5A" w:themeColor="text1" w:themeTint="A5"/>
      <w:lang w:val="en-US" w:bidi="en-US"/>
    </w:rPr>
  </w:style>
  <w:style w:type="paragraph" w:styleId="IntenseQuote">
    <w:name w:val="Intense Quote"/>
    <w:basedOn w:val="Normal"/>
    <w:next w:val="Normal"/>
    <w:link w:val="IntenseQuoteChar"/>
    <w:uiPriority w:val="30"/>
    <w:qFormat/>
    <w:rsid w:val="0059608E"/>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59608E"/>
    <w:rPr>
      <w:rFonts w:asciiTheme="majorHAnsi" w:eastAsiaTheme="majorEastAsia" w:hAnsiTheme="majorHAnsi" w:cstheme="majorBidi"/>
      <w:i/>
      <w:iCs/>
      <w:color w:val="FFFFFF" w:themeColor="background1"/>
      <w:sz w:val="24"/>
      <w:szCs w:val="24"/>
      <w:shd w:val="clear" w:color="auto" w:fill="4F81BD" w:themeFill="accent1"/>
      <w:lang w:val="en-US" w:bidi="en-US"/>
    </w:rPr>
  </w:style>
  <w:style w:type="character" w:styleId="SubtleEmphasis">
    <w:name w:val="Subtle Emphasis"/>
    <w:uiPriority w:val="19"/>
    <w:qFormat/>
    <w:rsid w:val="0059608E"/>
    <w:rPr>
      <w:i/>
      <w:iCs/>
      <w:color w:val="5A5A5A" w:themeColor="text1" w:themeTint="A5"/>
    </w:rPr>
  </w:style>
  <w:style w:type="character" w:styleId="IntenseEmphasis">
    <w:name w:val="Intense Emphasis"/>
    <w:uiPriority w:val="21"/>
    <w:qFormat/>
    <w:rsid w:val="0059608E"/>
    <w:rPr>
      <w:b/>
      <w:bCs/>
      <w:i/>
      <w:iCs/>
      <w:color w:val="4F81BD" w:themeColor="accent1"/>
      <w:sz w:val="22"/>
      <w:szCs w:val="22"/>
    </w:rPr>
  </w:style>
  <w:style w:type="character" w:styleId="SubtleReference">
    <w:name w:val="Subtle Reference"/>
    <w:uiPriority w:val="31"/>
    <w:qFormat/>
    <w:rsid w:val="0059608E"/>
    <w:rPr>
      <w:color w:val="auto"/>
      <w:u w:val="single" w:color="9BBB59" w:themeColor="accent3"/>
    </w:rPr>
  </w:style>
  <w:style w:type="character" w:styleId="IntenseReference">
    <w:name w:val="Intense Reference"/>
    <w:aliases w:val="fig tab body"/>
    <w:basedOn w:val="DefaultParagraphFont"/>
    <w:uiPriority w:val="32"/>
    <w:qFormat/>
    <w:rsid w:val="0059608E"/>
    <w:rPr>
      <w:b/>
      <w:bCs/>
      <w:color w:val="76923C" w:themeColor="accent3" w:themeShade="BF"/>
      <w:u w:val="single" w:color="9BBB59" w:themeColor="accent3"/>
    </w:rPr>
  </w:style>
  <w:style w:type="character" w:styleId="BookTitle">
    <w:name w:val="Book Title"/>
    <w:basedOn w:val="DefaultParagraphFont"/>
    <w:uiPriority w:val="33"/>
    <w:qFormat/>
    <w:rsid w:val="0059608E"/>
    <w:rPr>
      <w:rFonts w:asciiTheme="majorHAnsi" w:eastAsiaTheme="majorEastAsia" w:hAnsiTheme="majorHAnsi" w:cstheme="majorBidi"/>
      <w:b/>
      <w:bCs/>
      <w:i/>
      <w:iCs/>
      <w:color w:val="auto"/>
    </w:rPr>
  </w:style>
  <w:style w:type="paragraph" w:styleId="TOCHeading">
    <w:name w:val="TOC Heading"/>
    <w:basedOn w:val="Heading1"/>
    <w:next w:val="Normal"/>
    <w:uiPriority w:val="39"/>
    <w:unhideWhenUsed/>
    <w:qFormat/>
    <w:rsid w:val="0059608E"/>
    <w:pPr>
      <w:outlineLvl w:val="9"/>
    </w:pPr>
  </w:style>
  <w:style w:type="paragraph" w:customStyle="1" w:styleId="ReportCoverPage">
    <w:name w:val="Report Cover Page"/>
    <w:basedOn w:val="Normal"/>
    <w:next w:val="Normal"/>
    <w:uiPriority w:val="99"/>
    <w:rsid w:val="0059608E"/>
    <w:rPr>
      <w:sz w:val="32"/>
    </w:rPr>
  </w:style>
  <w:style w:type="character" w:customStyle="1" w:styleId="Reporttitle">
    <w:name w:val="Report title"/>
    <w:basedOn w:val="DefaultParagraphFont"/>
    <w:uiPriority w:val="99"/>
    <w:rsid w:val="0059608E"/>
    <w:rPr>
      <w:rFonts w:ascii="Palatino Linotype" w:hAnsi="Palatino Linotype" w:cs="Times New Roman"/>
      <w:b/>
      <w:sz w:val="40"/>
    </w:rPr>
  </w:style>
  <w:style w:type="paragraph" w:styleId="TOC2">
    <w:name w:val="toc 2"/>
    <w:basedOn w:val="Normal"/>
    <w:next w:val="Normal"/>
    <w:autoRedefine/>
    <w:uiPriority w:val="39"/>
    <w:rsid w:val="0059608E"/>
    <w:pPr>
      <w:spacing w:before="120"/>
      <w:ind w:left="220"/>
      <w:jc w:val="left"/>
    </w:pPr>
    <w:rPr>
      <w:rFonts w:asciiTheme="minorHAnsi" w:hAnsiTheme="minorHAnsi"/>
      <w:i/>
      <w:iCs/>
      <w:sz w:val="20"/>
      <w:szCs w:val="20"/>
    </w:rPr>
  </w:style>
  <w:style w:type="table" w:customStyle="1" w:styleId="TableStyleAnita">
    <w:name w:val="Table Style Anita"/>
    <w:uiPriority w:val="99"/>
    <w:rsid w:val="0059608E"/>
    <w:pPr>
      <w:jc w:val="right"/>
    </w:pPr>
    <w:rPr>
      <w:rFonts w:ascii="Tahoma" w:eastAsiaTheme="minorEastAsia" w:hAnsi="Tahoma"/>
      <w:lang w:val="en-US" w:bidi="en-US"/>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4">
    <w:name w:val="toc 4"/>
    <w:basedOn w:val="Normal"/>
    <w:next w:val="Normal"/>
    <w:autoRedefine/>
    <w:uiPriority w:val="39"/>
    <w:rsid w:val="0059608E"/>
    <w:pPr>
      <w:ind w:left="660"/>
      <w:jc w:val="left"/>
    </w:pPr>
    <w:rPr>
      <w:rFonts w:asciiTheme="minorHAnsi" w:hAnsiTheme="minorHAnsi"/>
      <w:sz w:val="20"/>
      <w:szCs w:val="20"/>
    </w:rPr>
  </w:style>
  <w:style w:type="paragraph" w:styleId="TOC5">
    <w:name w:val="toc 5"/>
    <w:basedOn w:val="Normal"/>
    <w:next w:val="Normal"/>
    <w:autoRedefine/>
    <w:uiPriority w:val="39"/>
    <w:rsid w:val="0059608E"/>
    <w:pPr>
      <w:ind w:left="880"/>
      <w:jc w:val="left"/>
    </w:pPr>
    <w:rPr>
      <w:rFonts w:asciiTheme="minorHAnsi" w:hAnsiTheme="minorHAnsi"/>
      <w:sz w:val="20"/>
      <w:szCs w:val="20"/>
    </w:rPr>
  </w:style>
  <w:style w:type="paragraph" w:styleId="TOC6">
    <w:name w:val="toc 6"/>
    <w:basedOn w:val="Normal"/>
    <w:next w:val="Normal"/>
    <w:autoRedefine/>
    <w:uiPriority w:val="39"/>
    <w:rsid w:val="0059608E"/>
    <w:pPr>
      <w:ind w:left="1100"/>
      <w:jc w:val="left"/>
    </w:pPr>
    <w:rPr>
      <w:rFonts w:asciiTheme="minorHAnsi" w:hAnsiTheme="minorHAnsi"/>
      <w:sz w:val="20"/>
      <w:szCs w:val="20"/>
    </w:rPr>
  </w:style>
  <w:style w:type="paragraph" w:styleId="TOC7">
    <w:name w:val="toc 7"/>
    <w:basedOn w:val="Normal"/>
    <w:next w:val="Normal"/>
    <w:autoRedefine/>
    <w:uiPriority w:val="39"/>
    <w:rsid w:val="0059608E"/>
    <w:pPr>
      <w:ind w:left="1320"/>
      <w:jc w:val="left"/>
    </w:pPr>
    <w:rPr>
      <w:rFonts w:asciiTheme="minorHAnsi" w:hAnsiTheme="minorHAnsi"/>
      <w:sz w:val="20"/>
      <w:szCs w:val="20"/>
    </w:rPr>
  </w:style>
  <w:style w:type="paragraph" w:styleId="TOC8">
    <w:name w:val="toc 8"/>
    <w:basedOn w:val="Normal"/>
    <w:next w:val="Normal"/>
    <w:autoRedefine/>
    <w:uiPriority w:val="39"/>
    <w:rsid w:val="0059608E"/>
    <w:pPr>
      <w:ind w:left="1540"/>
      <w:jc w:val="left"/>
    </w:pPr>
    <w:rPr>
      <w:rFonts w:asciiTheme="minorHAnsi" w:hAnsiTheme="minorHAnsi"/>
      <w:sz w:val="20"/>
      <w:szCs w:val="20"/>
    </w:rPr>
  </w:style>
  <w:style w:type="paragraph" w:styleId="TOC9">
    <w:name w:val="toc 9"/>
    <w:basedOn w:val="Normal"/>
    <w:next w:val="Normal"/>
    <w:autoRedefine/>
    <w:uiPriority w:val="39"/>
    <w:rsid w:val="0059608E"/>
    <w:pPr>
      <w:ind w:left="1760"/>
      <w:jc w:val="left"/>
    </w:pPr>
    <w:rPr>
      <w:rFonts w:asciiTheme="minorHAnsi" w:hAnsiTheme="minorHAnsi"/>
      <w:sz w:val="20"/>
      <w:szCs w:val="20"/>
    </w:rPr>
  </w:style>
  <w:style w:type="character" w:styleId="Hyperlink">
    <w:name w:val="Hyperlink"/>
    <w:basedOn w:val="DefaultParagraphFont"/>
    <w:uiPriority w:val="99"/>
    <w:rsid w:val="0059608E"/>
    <w:rPr>
      <w:rFonts w:cs="Times New Roman"/>
      <w:color w:val="0000FF"/>
      <w:u w:val="single"/>
    </w:rPr>
  </w:style>
  <w:style w:type="paragraph" w:styleId="BodyText3">
    <w:name w:val="Body Text 3"/>
    <w:basedOn w:val="Normal"/>
    <w:link w:val="BodyText3Char"/>
    <w:uiPriority w:val="99"/>
    <w:rsid w:val="0059608E"/>
    <w:pPr>
      <w:spacing w:after="120"/>
    </w:pPr>
    <w:rPr>
      <w:sz w:val="16"/>
      <w:szCs w:val="16"/>
    </w:rPr>
  </w:style>
  <w:style w:type="character" w:customStyle="1" w:styleId="BodyText3Char">
    <w:name w:val="Body Text 3 Char"/>
    <w:basedOn w:val="DefaultParagraphFont"/>
    <w:link w:val="BodyText3"/>
    <w:uiPriority w:val="99"/>
    <w:rsid w:val="0059608E"/>
    <w:rPr>
      <w:rFonts w:ascii="Arial" w:eastAsiaTheme="minorEastAsia" w:hAnsi="Arial"/>
      <w:sz w:val="16"/>
      <w:szCs w:val="16"/>
      <w:lang w:val="en-US" w:bidi="en-US"/>
    </w:rPr>
  </w:style>
  <w:style w:type="character" w:styleId="CommentReference">
    <w:name w:val="annotation reference"/>
    <w:basedOn w:val="DefaultParagraphFont"/>
    <w:uiPriority w:val="99"/>
    <w:rsid w:val="0059608E"/>
    <w:rPr>
      <w:rFonts w:cs="Times New Roman"/>
      <w:sz w:val="16"/>
      <w:szCs w:val="16"/>
    </w:rPr>
  </w:style>
  <w:style w:type="paragraph" w:styleId="CommentText">
    <w:name w:val="annotation text"/>
    <w:basedOn w:val="Normal"/>
    <w:link w:val="CommentTextChar"/>
    <w:uiPriority w:val="99"/>
    <w:rsid w:val="0059608E"/>
    <w:rPr>
      <w:sz w:val="20"/>
      <w:szCs w:val="20"/>
    </w:rPr>
  </w:style>
  <w:style w:type="character" w:customStyle="1" w:styleId="CommentTextChar">
    <w:name w:val="Comment Text Char"/>
    <w:basedOn w:val="DefaultParagraphFont"/>
    <w:link w:val="CommentText"/>
    <w:uiPriority w:val="99"/>
    <w:rsid w:val="0059608E"/>
    <w:rPr>
      <w:rFonts w:ascii="Arial" w:eastAsiaTheme="minorEastAsia" w:hAnsi="Arial"/>
      <w:sz w:val="20"/>
      <w:szCs w:val="20"/>
      <w:lang w:val="en-US" w:bidi="en-US"/>
    </w:rPr>
  </w:style>
  <w:style w:type="paragraph" w:styleId="CommentSubject">
    <w:name w:val="annotation subject"/>
    <w:basedOn w:val="CommentText"/>
    <w:next w:val="CommentText"/>
    <w:link w:val="CommentSubjectChar"/>
    <w:uiPriority w:val="99"/>
    <w:semiHidden/>
    <w:rsid w:val="0059608E"/>
    <w:rPr>
      <w:b/>
      <w:bCs/>
    </w:rPr>
  </w:style>
  <w:style w:type="character" w:customStyle="1" w:styleId="CommentSubjectChar">
    <w:name w:val="Comment Subject Char"/>
    <w:basedOn w:val="CommentTextChar"/>
    <w:link w:val="CommentSubject"/>
    <w:uiPriority w:val="99"/>
    <w:semiHidden/>
    <w:rsid w:val="0059608E"/>
    <w:rPr>
      <w:rFonts w:ascii="Arial" w:eastAsiaTheme="minorEastAsia" w:hAnsi="Arial"/>
      <w:b/>
      <w:bCs/>
      <w:sz w:val="20"/>
      <w:szCs w:val="20"/>
      <w:lang w:val="en-US" w:bidi="en-US"/>
    </w:rPr>
  </w:style>
  <w:style w:type="paragraph" w:styleId="BalloonText">
    <w:name w:val="Balloon Text"/>
    <w:basedOn w:val="Normal"/>
    <w:link w:val="BalloonTextChar"/>
    <w:uiPriority w:val="99"/>
    <w:semiHidden/>
    <w:rsid w:val="0059608E"/>
    <w:rPr>
      <w:rFonts w:cs="Tahoma"/>
      <w:sz w:val="16"/>
      <w:szCs w:val="16"/>
    </w:rPr>
  </w:style>
  <w:style w:type="character" w:customStyle="1" w:styleId="BalloonTextChar">
    <w:name w:val="Balloon Text Char"/>
    <w:basedOn w:val="DefaultParagraphFont"/>
    <w:link w:val="BalloonText"/>
    <w:uiPriority w:val="99"/>
    <w:semiHidden/>
    <w:rsid w:val="0059608E"/>
    <w:rPr>
      <w:rFonts w:ascii="Arial" w:eastAsiaTheme="minorEastAsia" w:hAnsi="Arial" w:cs="Tahoma"/>
      <w:sz w:val="16"/>
      <w:szCs w:val="16"/>
      <w:lang w:val="en-US" w:bidi="en-US"/>
    </w:rPr>
  </w:style>
  <w:style w:type="paragraph" w:styleId="TableofFigures">
    <w:name w:val="table of figures"/>
    <w:basedOn w:val="Normal"/>
    <w:next w:val="Normal"/>
    <w:uiPriority w:val="99"/>
    <w:rsid w:val="0059608E"/>
    <w:rPr>
      <w:i/>
      <w:iCs/>
      <w:sz w:val="20"/>
      <w:szCs w:val="20"/>
    </w:rPr>
  </w:style>
  <w:style w:type="paragraph" w:styleId="Header">
    <w:name w:val="header"/>
    <w:basedOn w:val="Normal"/>
    <w:link w:val="HeaderChar"/>
    <w:uiPriority w:val="99"/>
    <w:rsid w:val="0059608E"/>
    <w:pPr>
      <w:tabs>
        <w:tab w:val="center" w:pos="4320"/>
        <w:tab w:val="right" w:pos="8640"/>
      </w:tabs>
    </w:pPr>
  </w:style>
  <w:style w:type="character" w:customStyle="1" w:styleId="HeaderChar">
    <w:name w:val="Header Char"/>
    <w:basedOn w:val="DefaultParagraphFont"/>
    <w:link w:val="Header"/>
    <w:uiPriority w:val="99"/>
    <w:rsid w:val="0059608E"/>
    <w:rPr>
      <w:rFonts w:ascii="Arial" w:eastAsiaTheme="minorEastAsia" w:hAnsi="Arial"/>
      <w:lang w:val="en-US" w:bidi="en-US"/>
    </w:rPr>
  </w:style>
  <w:style w:type="paragraph" w:styleId="Footer">
    <w:name w:val="footer"/>
    <w:basedOn w:val="Normal"/>
    <w:link w:val="FooterChar"/>
    <w:uiPriority w:val="99"/>
    <w:rsid w:val="0059608E"/>
    <w:pPr>
      <w:tabs>
        <w:tab w:val="center" w:pos="4320"/>
        <w:tab w:val="right" w:pos="8640"/>
      </w:tabs>
    </w:pPr>
  </w:style>
  <w:style w:type="character" w:customStyle="1" w:styleId="FooterChar">
    <w:name w:val="Footer Char"/>
    <w:basedOn w:val="DefaultParagraphFont"/>
    <w:link w:val="Footer"/>
    <w:uiPriority w:val="99"/>
    <w:rsid w:val="0059608E"/>
    <w:rPr>
      <w:rFonts w:ascii="Arial" w:eastAsiaTheme="minorEastAsia" w:hAnsi="Arial"/>
      <w:lang w:val="en-US" w:bidi="en-US"/>
    </w:rPr>
  </w:style>
  <w:style w:type="character" w:styleId="PageNumber">
    <w:name w:val="page number"/>
    <w:basedOn w:val="DefaultParagraphFont"/>
    <w:rsid w:val="0059608E"/>
    <w:rPr>
      <w:rFonts w:cs="Times New Roman"/>
    </w:rPr>
  </w:style>
  <w:style w:type="table" w:styleId="TableList1">
    <w:name w:val="Table List 1"/>
    <w:aliases w:val="Anita rows shaded"/>
    <w:basedOn w:val="TableNormal"/>
    <w:uiPriority w:val="99"/>
    <w:rsid w:val="0059608E"/>
    <w:rPr>
      <w:rFonts w:ascii="Tahoma" w:eastAsiaTheme="minorEastAsia" w:hAnsi="Tahoma"/>
      <w:lang w:val="en-US" w:bidi="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59608E"/>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59608E"/>
    <w:rPr>
      <w:b/>
      <w:sz w:val="32"/>
    </w:rPr>
  </w:style>
  <w:style w:type="paragraph" w:customStyle="1" w:styleId="HeadingB">
    <w:name w:val="Heading B"/>
    <w:basedOn w:val="Normal"/>
    <w:next w:val="Normal"/>
    <w:uiPriority w:val="99"/>
    <w:rsid w:val="0059608E"/>
    <w:rPr>
      <w:b/>
      <w:sz w:val="28"/>
    </w:rPr>
  </w:style>
  <w:style w:type="paragraph" w:customStyle="1" w:styleId="name">
    <w:name w:val="name"/>
    <w:basedOn w:val="Normal"/>
    <w:uiPriority w:val="99"/>
    <w:rsid w:val="0059608E"/>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59608E"/>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rsid w:val="0059608E"/>
    <w:rPr>
      <w:rFonts w:ascii="Arial" w:eastAsiaTheme="minorEastAsia" w:hAnsi="Arial" w:cs="Tahoma"/>
      <w:sz w:val="20"/>
      <w:szCs w:val="20"/>
      <w:shd w:val="clear" w:color="auto" w:fill="000080"/>
      <w:lang w:val="en-US" w:bidi="en-US"/>
    </w:rPr>
  </w:style>
  <w:style w:type="table" w:styleId="TableGrid">
    <w:name w:val="Table Grid"/>
    <w:basedOn w:val="TableNormal"/>
    <w:uiPriority w:val="39"/>
    <w:rsid w:val="0059608E"/>
    <w:rPr>
      <w:rFonts w:eastAsiaTheme="minorEastAsia"/>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lassic1">
    <w:name w:val="Table Classic 1"/>
    <w:basedOn w:val="TableNormal"/>
    <w:uiPriority w:val="99"/>
    <w:rsid w:val="0059608E"/>
    <w:rPr>
      <w:rFonts w:eastAsiaTheme="minorEastAsia"/>
      <w:lang w:val="en-US" w:bidi="en-US"/>
    </w:r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References">
    <w:name w:val="References"/>
    <w:basedOn w:val="Normal"/>
    <w:uiPriority w:val="99"/>
    <w:rsid w:val="0059608E"/>
    <w:pPr>
      <w:ind w:left="284" w:hanging="284"/>
    </w:pPr>
    <w:rPr>
      <w:rFonts w:ascii="Times New Roman" w:hAnsi="Times New Roman"/>
      <w:sz w:val="24"/>
    </w:rPr>
  </w:style>
  <w:style w:type="paragraph" w:styleId="BodyTextIndent">
    <w:name w:val="Body Text Indent"/>
    <w:basedOn w:val="Normal"/>
    <w:link w:val="BodyTextIndentChar"/>
    <w:uiPriority w:val="99"/>
    <w:rsid w:val="0059608E"/>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rsid w:val="0059608E"/>
    <w:rPr>
      <w:rFonts w:ascii="Times New Roman" w:eastAsiaTheme="minorEastAsia" w:hAnsi="Times New Roman"/>
      <w:sz w:val="24"/>
      <w:lang w:val="en-US" w:eastAsia="en-AU" w:bidi="en-US"/>
    </w:rPr>
  </w:style>
  <w:style w:type="table" w:styleId="TableGrid7">
    <w:name w:val="Table Grid 7"/>
    <w:basedOn w:val="TableNormal"/>
    <w:uiPriority w:val="99"/>
    <w:rsid w:val="0059608E"/>
    <w:rPr>
      <w:rFonts w:eastAsiaTheme="minorEastAsia"/>
      <w:b/>
      <w:bCs/>
      <w:lang w:val="en-US" w:bidi="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59608E"/>
    <w:rPr>
      <w:rFonts w:cs="Times New Roman"/>
      <w:color w:val="800080"/>
      <w:u w:val="single"/>
    </w:rPr>
  </w:style>
  <w:style w:type="paragraph" w:customStyle="1" w:styleId="Normal-GBR">
    <w:name w:val="Normal - GBR"/>
    <w:basedOn w:val="Normal"/>
    <w:uiPriority w:val="99"/>
    <w:rsid w:val="0059608E"/>
    <w:rPr>
      <w:rFonts w:ascii="Times New Roman" w:hAnsi="Times New Roman"/>
      <w:sz w:val="24"/>
    </w:rPr>
  </w:style>
  <w:style w:type="paragraph" w:styleId="Revision">
    <w:name w:val="Revision"/>
    <w:hidden/>
    <w:uiPriority w:val="99"/>
    <w:semiHidden/>
    <w:rsid w:val="0059608E"/>
    <w:rPr>
      <w:rFonts w:ascii="Tahoma" w:eastAsiaTheme="minorEastAsia" w:hAnsi="Tahoma"/>
      <w:szCs w:val="24"/>
      <w:lang w:bidi="en-US"/>
    </w:rPr>
  </w:style>
  <w:style w:type="paragraph" w:styleId="PlainText">
    <w:name w:val="Plain Text"/>
    <w:basedOn w:val="Normal"/>
    <w:link w:val="PlainTextChar"/>
    <w:uiPriority w:val="99"/>
    <w:rsid w:val="0059608E"/>
    <w:rPr>
      <w:rFonts w:ascii="Consolas" w:hAnsi="Consolas"/>
      <w:sz w:val="21"/>
      <w:szCs w:val="21"/>
    </w:rPr>
  </w:style>
  <w:style w:type="character" w:customStyle="1" w:styleId="PlainTextChar">
    <w:name w:val="Plain Text Char"/>
    <w:basedOn w:val="DefaultParagraphFont"/>
    <w:link w:val="PlainText"/>
    <w:uiPriority w:val="99"/>
    <w:rsid w:val="0059608E"/>
    <w:rPr>
      <w:rFonts w:ascii="Consolas" w:eastAsiaTheme="minorEastAsia" w:hAnsi="Consolas"/>
      <w:sz w:val="21"/>
      <w:szCs w:val="21"/>
      <w:lang w:val="en-US" w:bidi="en-US"/>
    </w:rPr>
  </w:style>
  <w:style w:type="paragraph" w:styleId="NormalWeb">
    <w:name w:val="Normal (Web)"/>
    <w:basedOn w:val="Normal"/>
    <w:uiPriority w:val="99"/>
    <w:unhideWhenUsed/>
    <w:rsid w:val="0059608E"/>
    <w:pPr>
      <w:spacing w:before="100" w:beforeAutospacing="1" w:after="100" w:afterAutospacing="1"/>
    </w:pPr>
    <w:rPr>
      <w:rFonts w:ascii="Times New Roman" w:hAnsi="Times New Roman"/>
      <w:sz w:val="24"/>
      <w:lang w:eastAsia="en-AU"/>
    </w:rPr>
  </w:style>
  <w:style w:type="paragraph" w:customStyle="1" w:styleId="normaltext">
    <w:name w:val="normal text"/>
    <w:basedOn w:val="Normal"/>
    <w:rsid w:val="0059608E"/>
  </w:style>
  <w:style w:type="paragraph" w:customStyle="1" w:styleId="authors1">
    <w:name w:val="authors1"/>
    <w:basedOn w:val="Normal"/>
    <w:rsid w:val="0059608E"/>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59608E"/>
  </w:style>
  <w:style w:type="table" w:customStyle="1" w:styleId="LightShading-Accent11">
    <w:name w:val="Light Shading - Accent 11"/>
    <w:basedOn w:val="TableNormal"/>
    <w:uiPriority w:val="60"/>
    <w:rsid w:val="0059608E"/>
    <w:rPr>
      <w:rFonts w:eastAsiaTheme="minorEastAsia"/>
      <w:color w:val="365F91" w:themeColor="accent1" w:themeShade="BF"/>
      <w:lang w:val="en-US"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59608E"/>
    <w:rPr>
      <w:rFonts w:eastAsiaTheme="minorEastAsia"/>
      <w:lang w:val="en-US" w:bidi="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59608E"/>
    <w:rPr>
      <w:rFonts w:eastAsiaTheme="minorEastAsia"/>
      <w:color w:val="31849B" w:themeColor="accent5" w:themeShade="BF"/>
      <w:lang w:val="en-US" w:bidi="en-US"/>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59608E"/>
    <w:rPr>
      <w:rFonts w:eastAsiaTheme="minorEastAsia"/>
      <w:lang w:val="en-US" w:bidi="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59608E"/>
    <w:pPr>
      <w:ind w:firstLine="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59608E"/>
    <w:pPr>
      <w:autoSpaceDE w:val="0"/>
      <w:autoSpaceDN w:val="0"/>
      <w:adjustRightInd w:val="0"/>
      <w:ind w:firstLine="0"/>
    </w:pPr>
    <w:rPr>
      <w:rFonts w:ascii="Gill Sans MT" w:eastAsiaTheme="minorEastAsia" w:hAnsi="Gill Sans MT" w:cs="Gill Sans MT"/>
      <w:color w:val="000000"/>
      <w:sz w:val="24"/>
      <w:szCs w:val="24"/>
    </w:rPr>
  </w:style>
  <w:style w:type="table" w:customStyle="1" w:styleId="MediumShading2-Accent13">
    <w:name w:val="Medium Shading 2 - Accent 13"/>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59608E"/>
    <w:rPr>
      <w:rFonts w:eastAsiaTheme="minorEastAsia"/>
      <w:lang w:val="en-US" w:bidi="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59608E"/>
    <w:rPr>
      <w:rFonts w:eastAsiaTheme="minorEastAsia"/>
      <w:lang w:val="en-US" w:bidi="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Bibliography">
    <w:name w:val="Bibliography"/>
    <w:basedOn w:val="Normal"/>
    <w:next w:val="Normal"/>
    <w:uiPriority w:val="37"/>
    <w:unhideWhenUsed/>
    <w:rsid w:val="0059608E"/>
  </w:style>
  <w:style w:type="paragraph" w:customStyle="1" w:styleId="Figures">
    <w:name w:val="Figures"/>
    <w:basedOn w:val="TOC1"/>
    <w:link w:val="FiguresChar"/>
    <w:qFormat/>
    <w:rsid w:val="0059608E"/>
    <w:rPr>
      <w:rFonts w:ascii="Arial" w:hAnsi="Arial"/>
      <w:sz w:val="18"/>
    </w:rPr>
  </w:style>
  <w:style w:type="character" w:customStyle="1" w:styleId="TOC1Char">
    <w:name w:val="TOC 1 Char"/>
    <w:basedOn w:val="DefaultParagraphFont"/>
    <w:link w:val="TOC1"/>
    <w:uiPriority w:val="39"/>
    <w:rsid w:val="0059608E"/>
    <w:rPr>
      <w:rFonts w:eastAsiaTheme="minorEastAsia"/>
      <w:b/>
      <w:bCs/>
      <w:sz w:val="20"/>
      <w:szCs w:val="20"/>
      <w:lang w:val="en-US" w:bidi="en-US"/>
    </w:rPr>
  </w:style>
  <w:style w:type="character" w:customStyle="1" w:styleId="FiguresChar">
    <w:name w:val="Figures Char"/>
    <w:basedOn w:val="TOC1Char"/>
    <w:link w:val="Figures"/>
    <w:rsid w:val="0059608E"/>
    <w:rPr>
      <w:rFonts w:ascii="Arial" w:eastAsiaTheme="minorEastAsia" w:hAnsi="Arial"/>
      <w:b/>
      <w:bCs/>
      <w:sz w:val="18"/>
      <w:szCs w:val="20"/>
      <w:lang w:val="en-US" w:bidi="en-US"/>
    </w:rPr>
  </w:style>
  <w:style w:type="table" w:styleId="MediumShading1">
    <w:name w:val="Medium Shading 1"/>
    <w:basedOn w:val="TableNormal"/>
    <w:uiPriority w:val="63"/>
    <w:rsid w:val="0059608E"/>
    <w:rPr>
      <w:rFonts w:eastAsiaTheme="minorEastAsia"/>
      <w:lang w:val="en-US" w:bidi="en-U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59608E"/>
    <w:rPr>
      <w:rFonts w:eastAsiaTheme="minorEastAsia"/>
      <w:lang w:val="en-US" w:bidi="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ableGrid1">
    <w:name w:val="Table Grid1"/>
    <w:basedOn w:val="TableNormal"/>
    <w:next w:val="TableGrid"/>
    <w:rsid w:val="0059608E"/>
    <w:pPr>
      <w:ind w:firstLine="0"/>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59608E"/>
  </w:style>
  <w:style w:type="paragraph" w:customStyle="1" w:styleId="EndNoteBibliographyTitle">
    <w:name w:val="EndNote Bibliography Title"/>
    <w:basedOn w:val="Normal"/>
    <w:link w:val="EndNoteBibliographyTitleChar"/>
    <w:rsid w:val="0059608E"/>
    <w:pPr>
      <w:jc w:val="center"/>
    </w:pPr>
    <w:rPr>
      <w:rFonts w:cs="Arial"/>
      <w:noProof/>
    </w:rPr>
  </w:style>
  <w:style w:type="character" w:customStyle="1" w:styleId="ListParagraphChar">
    <w:name w:val="List Paragraph Char"/>
    <w:basedOn w:val="DefaultParagraphFont"/>
    <w:link w:val="ListParagraph"/>
    <w:uiPriority w:val="34"/>
    <w:rsid w:val="0059608E"/>
    <w:rPr>
      <w:rFonts w:ascii="Arial" w:eastAsiaTheme="minorEastAsia" w:hAnsi="Arial"/>
      <w:lang w:val="en-US" w:bidi="en-US"/>
    </w:rPr>
  </w:style>
  <w:style w:type="character" w:customStyle="1" w:styleId="EndNoteBibliographyTitleChar">
    <w:name w:val="EndNote Bibliography Title Char"/>
    <w:basedOn w:val="ListParagraphChar"/>
    <w:link w:val="EndNoteBibliographyTitle"/>
    <w:rsid w:val="0059608E"/>
    <w:rPr>
      <w:rFonts w:ascii="Arial" w:eastAsiaTheme="minorEastAsia" w:hAnsi="Arial" w:cs="Arial"/>
      <w:noProof/>
      <w:lang w:val="en-US" w:bidi="en-US"/>
    </w:rPr>
  </w:style>
  <w:style w:type="paragraph" w:customStyle="1" w:styleId="EndNoteBibliography">
    <w:name w:val="EndNote Bibliography"/>
    <w:basedOn w:val="Normal"/>
    <w:link w:val="EndNoteBibliographyChar"/>
    <w:rsid w:val="0059608E"/>
    <w:rPr>
      <w:rFonts w:cs="Arial"/>
      <w:noProof/>
    </w:rPr>
  </w:style>
  <w:style w:type="character" w:customStyle="1" w:styleId="EndNoteBibliographyChar">
    <w:name w:val="EndNote Bibliography Char"/>
    <w:basedOn w:val="ListParagraphChar"/>
    <w:link w:val="EndNoteBibliography"/>
    <w:rsid w:val="0059608E"/>
    <w:rPr>
      <w:rFonts w:ascii="Arial" w:eastAsiaTheme="minorEastAsia" w:hAnsi="Arial" w:cs="Arial"/>
      <w:noProof/>
      <w:lang w:val="en-US" w:bidi="en-US"/>
    </w:rPr>
  </w:style>
  <w:style w:type="paragraph" w:customStyle="1" w:styleId="Infopage">
    <w:name w:val="Info page"/>
    <w:basedOn w:val="Normal"/>
    <w:uiPriority w:val="99"/>
    <w:rsid w:val="00461163"/>
    <w:pPr>
      <w:spacing w:after="120"/>
    </w:pPr>
    <w:rPr>
      <w:rFonts w:ascii="Arial Narrow" w:eastAsia="Times New Roman" w:hAnsi="Arial Narrow" w:cs="Times New Roman"/>
      <w:lang w:val="en-GB" w:bidi="ar-SA"/>
    </w:rPr>
  </w:style>
  <w:style w:type="paragraph" w:customStyle="1" w:styleId="Headers">
    <w:name w:val="Headers"/>
    <w:basedOn w:val="Normal"/>
    <w:link w:val="HeadersChar"/>
    <w:qFormat/>
    <w:rsid w:val="00DF61BF"/>
    <w:pPr>
      <w:spacing w:before="120" w:after="360"/>
      <w:jc w:val="center"/>
    </w:pPr>
    <w:rPr>
      <w:rFonts w:eastAsia="Times New Roman" w:cs="Arial"/>
      <w:b/>
      <w:color w:val="0070C0"/>
      <w:sz w:val="36"/>
      <w:szCs w:val="36"/>
      <w:lang w:val="en-AU" w:bidi="ar-SA"/>
    </w:rPr>
  </w:style>
  <w:style w:type="character" w:customStyle="1" w:styleId="HeadersChar">
    <w:name w:val="Headers Char"/>
    <w:basedOn w:val="DefaultParagraphFont"/>
    <w:link w:val="Headers"/>
    <w:rsid w:val="00DF61BF"/>
    <w:rPr>
      <w:rFonts w:ascii="Arial" w:eastAsia="Times New Roman" w:hAnsi="Arial" w:cs="Arial"/>
      <w:b/>
      <w:color w:val="0070C0"/>
      <w:sz w:val="36"/>
      <w:szCs w:val="36"/>
    </w:rPr>
  </w:style>
  <w:style w:type="character" w:customStyle="1" w:styleId="Heading2Char1">
    <w:name w:val="Heading 2 Char1"/>
    <w:aliases w:val="h2 Char1,2nd Level Heading Char1"/>
    <w:basedOn w:val="DefaultParagraphFont"/>
    <w:uiPriority w:val="99"/>
    <w:rsid w:val="004E0EF8"/>
    <w:rPr>
      <w:rFonts w:ascii="Arial" w:eastAsiaTheme="majorEastAsia" w:hAnsi="Arial" w:cstheme="majorBidi"/>
      <w:b/>
      <w:bCs/>
      <w:sz w:val="26"/>
      <w:szCs w:val="26"/>
    </w:rPr>
  </w:style>
  <w:style w:type="paragraph" w:customStyle="1" w:styleId="Heading30">
    <w:name w:val="Heading3"/>
    <w:basedOn w:val="Heading3"/>
    <w:qFormat/>
    <w:rsid w:val="00494403"/>
    <w:pPr>
      <w:keepNext/>
      <w:numPr>
        <w:ilvl w:val="0"/>
        <w:numId w:val="0"/>
      </w:numPr>
      <w:tabs>
        <w:tab w:val="left" w:pos="1260"/>
      </w:tabs>
      <w:spacing w:before="120" w:after="120"/>
    </w:pPr>
    <w:rPr>
      <w:rFonts w:eastAsia="SimSun" w:cs="Arial"/>
      <w:i/>
      <w:color w:val="auto"/>
      <w:lang w:val="en-AU" w:eastAsia="en-US" w:bidi="ar-SA"/>
    </w:rPr>
  </w:style>
  <w:style w:type="character" w:customStyle="1" w:styleId="Mention1">
    <w:name w:val="Mention1"/>
    <w:basedOn w:val="DefaultParagraphFont"/>
    <w:uiPriority w:val="99"/>
    <w:semiHidden/>
    <w:unhideWhenUsed/>
    <w:rsid w:val="00935C61"/>
    <w:rPr>
      <w:color w:val="2B579A"/>
      <w:shd w:val="clear" w:color="auto" w:fill="E6E6E6"/>
    </w:rPr>
  </w:style>
  <w:style w:type="character" w:styleId="PlaceholderText">
    <w:name w:val="Placeholder Text"/>
    <w:basedOn w:val="DefaultParagraphFont"/>
    <w:uiPriority w:val="99"/>
    <w:semiHidden/>
    <w:rsid w:val="00293D1F"/>
    <w:rPr>
      <w:color w:val="808080"/>
    </w:rPr>
  </w:style>
  <w:style w:type="numbering" w:customStyle="1" w:styleId="Style1">
    <w:name w:val="Style1"/>
    <w:uiPriority w:val="99"/>
    <w:rsid w:val="003E1F60"/>
    <w:pPr>
      <w:numPr>
        <w:numId w:val="15"/>
      </w:numPr>
    </w:pPr>
  </w:style>
  <w:style w:type="character" w:customStyle="1" w:styleId="Mention2">
    <w:name w:val="Mention2"/>
    <w:basedOn w:val="DefaultParagraphFont"/>
    <w:uiPriority w:val="99"/>
    <w:semiHidden/>
    <w:unhideWhenUsed/>
    <w:rsid w:val="00A3174F"/>
    <w:rPr>
      <w:color w:val="2B579A"/>
      <w:shd w:val="clear" w:color="auto" w:fill="E6E6E6"/>
    </w:rPr>
  </w:style>
  <w:style w:type="character" w:customStyle="1" w:styleId="apple-converted-space">
    <w:name w:val="apple-converted-space"/>
    <w:basedOn w:val="DefaultParagraphFont"/>
    <w:rsid w:val="004011C4"/>
  </w:style>
  <w:style w:type="paragraph" w:styleId="FootnoteText">
    <w:name w:val="footnote text"/>
    <w:basedOn w:val="Normal"/>
    <w:link w:val="FootnoteTextChar"/>
    <w:uiPriority w:val="99"/>
    <w:semiHidden/>
    <w:unhideWhenUsed/>
    <w:rsid w:val="00B01D70"/>
    <w:rPr>
      <w:sz w:val="20"/>
      <w:szCs w:val="20"/>
    </w:rPr>
  </w:style>
  <w:style w:type="character" w:customStyle="1" w:styleId="FootnoteTextChar">
    <w:name w:val="Footnote Text Char"/>
    <w:basedOn w:val="DefaultParagraphFont"/>
    <w:link w:val="FootnoteText"/>
    <w:uiPriority w:val="99"/>
    <w:semiHidden/>
    <w:rsid w:val="00B01D70"/>
    <w:rPr>
      <w:rFonts w:ascii="Arial" w:eastAsiaTheme="minorEastAsia" w:hAnsi="Arial"/>
      <w:sz w:val="20"/>
      <w:szCs w:val="20"/>
      <w:lang w:val="en-US" w:bidi="en-US"/>
    </w:rPr>
  </w:style>
  <w:style w:type="character" w:styleId="FootnoteReference">
    <w:name w:val="footnote reference"/>
    <w:basedOn w:val="DefaultParagraphFont"/>
    <w:uiPriority w:val="99"/>
    <w:semiHidden/>
    <w:unhideWhenUsed/>
    <w:rsid w:val="00B01D70"/>
    <w:rPr>
      <w:vertAlign w:val="superscript"/>
    </w:rPr>
  </w:style>
  <w:style w:type="character" w:customStyle="1" w:styleId="UnresolvedMention1">
    <w:name w:val="Unresolved Mention1"/>
    <w:basedOn w:val="DefaultParagraphFont"/>
    <w:uiPriority w:val="99"/>
    <w:semiHidden/>
    <w:unhideWhenUsed/>
    <w:rsid w:val="009D449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971645">
      <w:bodyDiv w:val="1"/>
      <w:marLeft w:val="0"/>
      <w:marRight w:val="0"/>
      <w:marTop w:val="0"/>
      <w:marBottom w:val="0"/>
      <w:divBdr>
        <w:top w:val="none" w:sz="0" w:space="0" w:color="auto"/>
        <w:left w:val="none" w:sz="0" w:space="0" w:color="auto"/>
        <w:bottom w:val="none" w:sz="0" w:space="0" w:color="auto"/>
        <w:right w:val="none" w:sz="0" w:space="0" w:color="auto"/>
      </w:divBdr>
    </w:div>
    <w:div w:id="206072420">
      <w:bodyDiv w:val="1"/>
      <w:marLeft w:val="0"/>
      <w:marRight w:val="0"/>
      <w:marTop w:val="0"/>
      <w:marBottom w:val="0"/>
      <w:divBdr>
        <w:top w:val="none" w:sz="0" w:space="0" w:color="auto"/>
        <w:left w:val="none" w:sz="0" w:space="0" w:color="auto"/>
        <w:bottom w:val="none" w:sz="0" w:space="0" w:color="auto"/>
        <w:right w:val="none" w:sz="0" w:space="0" w:color="auto"/>
      </w:divBdr>
    </w:div>
    <w:div w:id="228732834">
      <w:bodyDiv w:val="1"/>
      <w:marLeft w:val="0"/>
      <w:marRight w:val="0"/>
      <w:marTop w:val="0"/>
      <w:marBottom w:val="0"/>
      <w:divBdr>
        <w:top w:val="none" w:sz="0" w:space="0" w:color="auto"/>
        <w:left w:val="none" w:sz="0" w:space="0" w:color="auto"/>
        <w:bottom w:val="none" w:sz="0" w:space="0" w:color="auto"/>
        <w:right w:val="none" w:sz="0" w:space="0" w:color="auto"/>
      </w:divBdr>
    </w:div>
    <w:div w:id="273757725">
      <w:bodyDiv w:val="1"/>
      <w:marLeft w:val="0"/>
      <w:marRight w:val="0"/>
      <w:marTop w:val="0"/>
      <w:marBottom w:val="0"/>
      <w:divBdr>
        <w:top w:val="none" w:sz="0" w:space="0" w:color="auto"/>
        <w:left w:val="none" w:sz="0" w:space="0" w:color="auto"/>
        <w:bottom w:val="none" w:sz="0" w:space="0" w:color="auto"/>
        <w:right w:val="none" w:sz="0" w:space="0" w:color="auto"/>
      </w:divBdr>
    </w:div>
    <w:div w:id="503666374">
      <w:bodyDiv w:val="1"/>
      <w:marLeft w:val="0"/>
      <w:marRight w:val="0"/>
      <w:marTop w:val="0"/>
      <w:marBottom w:val="0"/>
      <w:divBdr>
        <w:top w:val="none" w:sz="0" w:space="0" w:color="auto"/>
        <w:left w:val="none" w:sz="0" w:space="0" w:color="auto"/>
        <w:bottom w:val="none" w:sz="0" w:space="0" w:color="auto"/>
        <w:right w:val="none" w:sz="0" w:space="0" w:color="auto"/>
      </w:divBdr>
    </w:div>
    <w:div w:id="526407018">
      <w:bodyDiv w:val="1"/>
      <w:marLeft w:val="0"/>
      <w:marRight w:val="0"/>
      <w:marTop w:val="0"/>
      <w:marBottom w:val="0"/>
      <w:divBdr>
        <w:top w:val="none" w:sz="0" w:space="0" w:color="auto"/>
        <w:left w:val="none" w:sz="0" w:space="0" w:color="auto"/>
        <w:bottom w:val="none" w:sz="0" w:space="0" w:color="auto"/>
        <w:right w:val="none" w:sz="0" w:space="0" w:color="auto"/>
      </w:divBdr>
    </w:div>
    <w:div w:id="700937331">
      <w:bodyDiv w:val="1"/>
      <w:marLeft w:val="0"/>
      <w:marRight w:val="0"/>
      <w:marTop w:val="0"/>
      <w:marBottom w:val="0"/>
      <w:divBdr>
        <w:top w:val="none" w:sz="0" w:space="0" w:color="auto"/>
        <w:left w:val="none" w:sz="0" w:space="0" w:color="auto"/>
        <w:bottom w:val="none" w:sz="0" w:space="0" w:color="auto"/>
        <w:right w:val="none" w:sz="0" w:space="0" w:color="auto"/>
      </w:divBdr>
    </w:div>
    <w:div w:id="724451856">
      <w:bodyDiv w:val="1"/>
      <w:marLeft w:val="0"/>
      <w:marRight w:val="0"/>
      <w:marTop w:val="0"/>
      <w:marBottom w:val="0"/>
      <w:divBdr>
        <w:top w:val="none" w:sz="0" w:space="0" w:color="auto"/>
        <w:left w:val="none" w:sz="0" w:space="0" w:color="auto"/>
        <w:bottom w:val="none" w:sz="0" w:space="0" w:color="auto"/>
        <w:right w:val="none" w:sz="0" w:space="0" w:color="auto"/>
      </w:divBdr>
      <w:divsChild>
        <w:div w:id="820467543">
          <w:marLeft w:val="0"/>
          <w:marRight w:val="0"/>
          <w:marTop w:val="0"/>
          <w:marBottom w:val="0"/>
          <w:divBdr>
            <w:top w:val="none" w:sz="0" w:space="0" w:color="auto"/>
            <w:left w:val="none" w:sz="0" w:space="0" w:color="auto"/>
            <w:bottom w:val="none" w:sz="0" w:space="0" w:color="auto"/>
            <w:right w:val="none" w:sz="0" w:space="0" w:color="auto"/>
          </w:divBdr>
          <w:divsChild>
            <w:div w:id="1338388164">
              <w:marLeft w:val="0"/>
              <w:marRight w:val="0"/>
              <w:marTop w:val="0"/>
              <w:marBottom w:val="0"/>
              <w:divBdr>
                <w:top w:val="none" w:sz="0" w:space="0" w:color="auto"/>
                <w:left w:val="none" w:sz="0" w:space="0" w:color="auto"/>
                <w:bottom w:val="none" w:sz="0" w:space="0" w:color="auto"/>
                <w:right w:val="none" w:sz="0" w:space="0" w:color="auto"/>
              </w:divBdr>
            </w:div>
          </w:divsChild>
        </w:div>
        <w:div w:id="809328852">
          <w:marLeft w:val="0"/>
          <w:marRight w:val="0"/>
          <w:marTop w:val="0"/>
          <w:marBottom w:val="0"/>
          <w:divBdr>
            <w:top w:val="none" w:sz="0" w:space="0" w:color="auto"/>
            <w:left w:val="none" w:sz="0" w:space="0" w:color="auto"/>
            <w:bottom w:val="none" w:sz="0" w:space="0" w:color="auto"/>
            <w:right w:val="none" w:sz="0" w:space="0" w:color="auto"/>
          </w:divBdr>
          <w:divsChild>
            <w:div w:id="1477451326">
              <w:marLeft w:val="0"/>
              <w:marRight w:val="0"/>
              <w:marTop w:val="0"/>
              <w:marBottom w:val="0"/>
              <w:divBdr>
                <w:top w:val="none" w:sz="0" w:space="0" w:color="auto"/>
                <w:left w:val="none" w:sz="0" w:space="0" w:color="auto"/>
                <w:bottom w:val="none" w:sz="0" w:space="0" w:color="auto"/>
                <w:right w:val="none" w:sz="0" w:space="0" w:color="auto"/>
              </w:divBdr>
            </w:div>
          </w:divsChild>
        </w:div>
        <w:div w:id="287976806">
          <w:marLeft w:val="0"/>
          <w:marRight w:val="0"/>
          <w:marTop w:val="0"/>
          <w:marBottom w:val="0"/>
          <w:divBdr>
            <w:top w:val="none" w:sz="0" w:space="0" w:color="auto"/>
            <w:left w:val="none" w:sz="0" w:space="0" w:color="auto"/>
            <w:bottom w:val="none" w:sz="0" w:space="0" w:color="auto"/>
            <w:right w:val="none" w:sz="0" w:space="0" w:color="auto"/>
          </w:divBdr>
          <w:divsChild>
            <w:div w:id="1088160341">
              <w:marLeft w:val="0"/>
              <w:marRight w:val="0"/>
              <w:marTop w:val="0"/>
              <w:marBottom w:val="0"/>
              <w:divBdr>
                <w:top w:val="none" w:sz="0" w:space="0" w:color="auto"/>
                <w:left w:val="none" w:sz="0" w:space="0" w:color="auto"/>
                <w:bottom w:val="none" w:sz="0" w:space="0" w:color="auto"/>
                <w:right w:val="none" w:sz="0" w:space="0" w:color="auto"/>
              </w:divBdr>
            </w:div>
          </w:divsChild>
        </w:div>
        <w:div w:id="1518229229">
          <w:marLeft w:val="0"/>
          <w:marRight w:val="0"/>
          <w:marTop w:val="0"/>
          <w:marBottom w:val="0"/>
          <w:divBdr>
            <w:top w:val="none" w:sz="0" w:space="0" w:color="auto"/>
            <w:left w:val="none" w:sz="0" w:space="0" w:color="auto"/>
            <w:bottom w:val="none" w:sz="0" w:space="0" w:color="auto"/>
            <w:right w:val="none" w:sz="0" w:space="0" w:color="auto"/>
          </w:divBdr>
          <w:divsChild>
            <w:div w:id="612785184">
              <w:marLeft w:val="0"/>
              <w:marRight w:val="0"/>
              <w:marTop w:val="0"/>
              <w:marBottom w:val="0"/>
              <w:divBdr>
                <w:top w:val="none" w:sz="0" w:space="0" w:color="auto"/>
                <w:left w:val="none" w:sz="0" w:space="0" w:color="auto"/>
                <w:bottom w:val="none" w:sz="0" w:space="0" w:color="auto"/>
                <w:right w:val="none" w:sz="0" w:space="0" w:color="auto"/>
              </w:divBdr>
            </w:div>
          </w:divsChild>
        </w:div>
        <w:div w:id="303656152">
          <w:marLeft w:val="0"/>
          <w:marRight w:val="0"/>
          <w:marTop w:val="0"/>
          <w:marBottom w:val="0"/>
          <w:divBdr>
            <w:top w:val="none" w:sz="0" w:space="0" w:color="auto"/>
            <w:left w:val="none" w:sz="0" w:space="0" w:color="auto"/>
            <w:bottom w:val="none" w:sz="0" w:space="0" w:color="auto"/>
            <w:right w:val="none" w:sz="0" w:space="0" w:color="auto"/>
          </w:divBdr>
          <w:divsChild>
            <w:div w:id="1461071819">
              <w:marLeft w:val="0"/>
              <w:marRight w:val="0"/>
              <w:marTop w:val="0"/>
              <w:marBottom w:val="0"/>
              <w:divBdr>
                <w:top w:val="none" w:sz="0" w:space="0" w:color="auto"/>
                <w:left w:val="none" w:sz="0" w:space="0" w:color="auto"/>
                <w:bottom w:val="none" w:sz="0" w:space="0" w:color="auto"/>
                <w:right w:val="none" w:sz="0" w:space="0" w:color="auto"/>
              </w:divBdr>
            </w:div>
          </w:divsChild>
        </w:div>
        <w:div w:id="866068811">
          <w:marLeft w:val="0"/>
          <w:marRight w:val="0"/>
          <w:marTop w:val="0"/>
          <w:marBottom w:val="0"/>
          <w:divBdr>
            <w:top w:val="none" w:sz="0" w:space="0" w:color="auto"/>
            <w:left w:val="none" w:sz="0" w:space="0" w:color="auto"/>
            <w:bottom w:val="none" w:sz="0" w:space="0" w:color="auto"/>
            <w:right w:val="none" w:sz="0" w:space="0" w:color="auto"/>
          </w:divBdr>
          <w:divsChild>
            <w:div w:id="1160268246">
              <w:marLeft w:val="0"/>
              <w:marRight w:val="0"/>
              <w:marTop w:val="0"/>
              <w:marBottom w:val="0"/>
              <w:divBdr>
                <w:top w:val="none" w:sz="0" w:space="0" w:color="auto"/>
                <w:left w:val="none" w:sz="0" w:space="0" w:color="auto"/>
                <w:bottom w:val="none" w:sz="0" w:space="0" w:color="auto"/>
                <w:right w:val="none" w:sz="0" w:space="0" w:color="auto"/>
              </w:divBdr>
            </w:div>
          </w:divsChild>
        </w:div>
        <w:div w:id="800539065">
          <w:marLeft w:val="0"/>
          <w:marRight w:val="0"/>
          <w:marTop w:val="0"/>
          <w:marBottom w:val="0"/>
          <w:divBdr>
            <w:top w:val="none" w:sz="0" w:space="0" w:color="auto"/>
            <w:left w:val="none" w:sz="0" w:space="0" w:color="auto"/>
            <w:bottom w:val="none" w:sz="0" w:space="0" w:color="auto"/>
            <w:right w:val="none" w:sz="0" w:space="0" w:color="auto"/>
          </w:divBdr>
          <w:divsChild>
            <w:div w:id="806969288">
              <w:marLeft w:val="0"/>
              <w:marRight w:val="0"/>
              <w:marTop w:val="0"/>
              <w:marBottom w:val="0"/>
              <w:divBdr>
                <w:top w:val="none" w:sz="0" w:space="0" w:color="auto"/>
                <w:left w:val="none" w:sz="0" w:space="0" w:color="auto"/>
                <w:bottom w:val="none" w:sz="0" w:space="0" w:color="auto"/>
                <w:right w:val="none" w:sz="0" w:space="0" w:color="auto"/>
              </w:divBdr>
            </w:div>
          </w:divsChild>
        </w:div>
        <w:div w:id="1473861509">
          <w:marLeft w:val="0"/>
          <w:marRight w:val="0"/>
          <w:marTop w:val="0"/>
          <w:marBottom w:val="0"/>
          <w:divBdr>
            <w:top w:val="none" w:sz="0" w:space="0" w:color="auto"/>
            <w:left w:val="none" w:sz="0" w:space="0" w:color="auto"/>
            <w:bottom w:val="none" w:sz="0" w:space="0" w:color="auto"/>
            <w:right w:val="none" w:sz="0" w:space="0" w:color="auto"/>
          </w:divBdr>
          <w:divsChild>
            <w:div w:id="1676567768">
              <w:marLeft w:val="0"/>
              <w:marRight w:val="0"/>
              <w:marTop w:val="0"/>
              <w:marBottom w:val="0"/>
              <w:divBdr>
                <w:top w:val="none" w:sz="0" w:space="0" w:color="auto"/>
                <w:left w:val="none" w:sz="0" w:space="0" w:color="auto"/>
                <w:bottom w:val="none" w:sz="0" w:space="0" w:color="auto"/>
                <w:right w:val="none" w:sz="0" w:space="0" w:color="auto"/>
              </w:divBdr>
            </w:div>
          </w:divsChild>
        </w:div>
        <w:div w:id="985353924">
          <w:marLeft w:val="0"/>
          <w:marRight w:val="0"/>
          <w:marTop w:val="0"/>
          <w:marBottom w:val="0"/>
          <w:divBdr>
            <w:top w:val="none" w:sz="0" w:space="0" w:color="auto"/>
            <w:left w:val="none" w:sz="0" w:space="0" w:color="auto"/>
            <w:bottom w:val="none" w:sz="0" w:space="0" w:color="auto"/>
            <w:right w:val="none" w:sz="0" w:space="0" w:color="auto"/>
          </w:divBdr>
          <w:divsChild>
            <w:div w:id="557281830">
              <w:marLeft w:val="0"/>
              <w:marRight w:val="0"/>
              <w:marTop w:val="0"/>
              <w:marBottom w:val="0"/>
              <w:divBdr>
                <w:top w:val="none" w:sz="0" w:space="0" w:color="auto"/>
                <w:left w:val="none" w:sz="0" w:space="0" w:color="auto"/>
                <w:bottom w:val="none" w:sz="0" w:space="0" w:color="auto"/>
                <w:right w:val="none" w:sz="0" w:space="0" w:color="auto"/>
              </w:divBdr>
            </w:div>
          </w:divsChild>
        </w:div>
        <w:div w:id="374890887">
          <w:marLeft w:val="0"/>
          <w:marRight w:val="0"/>
          <w:marTop w:val="0"/>
          <w:marBottom w:val="0"/>
          <w:divBdr>
            <w:top w:val="none" w:sz="0" w:space="0" w:color="auto"/>
            <w:left w:val="none" w:sz="0" w:space="0" w:color="auto"/>
            <w:bottom w:val="none" w:sz="0" w:space="0" w:color="auto"/>
            <w:right w:val="none" w:sz="0" w:space="0" w:color="auto"/>
          </w:divBdr>
          <w:divsChild>
            <w:div w:id="1218472534">
              <w:marLeft w:val="0"/>
              <w:marRight w:val="0"/>
              <w:marTop w:val="0"/>
              <w:marBottom w:val="0"/>
              <w:divBdr>
                <w:top w:val="none" w:sz="0" w:space="0" w:color="auto"/>
                <w:left w:val="none" w:sz="0" w:space="0" w:color="auto"/>
                <w:bottom w:val="none" w:sz="0" w:space="0" w:color="auto"/>
                <w:right w:val="none" w:sz="0" w:space="0" w:color="auto"/>
              </w:divBdr>
            </w:div>
          </w:divsChild>
        </w:div>
        <w:div w:id="21244734">
          <w:marLeft w:val="0"/>
          <w:marRight w:val="0"/>
          <w:marTop w:val="0"/>
          <w:marBottom w:val="0"/>
          <w:divBdr>
            <w:top w:val="none" w:sz="0" w:space="0" w:color="auto"/>
            <w:left w:val="none" w:sz="0" w:space="0" w:color="auto"/>
            <w:bottom w:val="none" w:sz="0" w:space="0" w:color="auto"/>
            <w:right w:val="none" w:sz="0" w:space="0" w:color="auto"/>
          </w:divBdr>
          <w:divsChild>
            <w:div w:id="411508805">
              <w:marLeft w:val="0"/>
              <w:marRight w:val="0"/>
              <w:marTop w:val="0"/>
              <w:marBottom w:val="0"/>
              <w:divBdr>
                <w:top w:val="none" w:sz="0" w:space="0" w:color="auto"/>
                <w:left w:val="none" w:sz="0" w:space="0" w:color="auto"/>
                <w:bottom w:val="none" w:sz="0" w:space="0" w:color="auto"/>
                <w:right w:val="none" w:sz="0" w:space="0" w:color="auto"/>
              </w:divBdr>
            </w:div>
          </w:divsChild>
        </w:div>
        <w:div w:id="955140694">
          <w:marLeft w:val="0"/>
          <w:marRight w:val="0"/>
          <w:marTop w:val="0"/>
          <w:marBottom w:val="0"/>
          <w:divBdr>
            <w:top w:val="none" w:sz="0" w:space="0" w:color="auto"/>
            <w:left w:val="none" w:sz="0" w:space="0" w:color="auto"/>
            <w:bottom w:val="none" w:sz="0" w:space="0" w:color="auto"/>
            <w:right w:val="none" w:sz="0" w:space="0" w:color="auto"/>
          </w:divBdr>
          <w:divsChild>
            <w:div w:id="2108118554">
              <w:marLeft w:val="0"/>
              <w:marRight w:val="0"/>
              <w:marTop w:val="0"/>
              <w:marBottom w:val="0"/>
              <w:divBdr>
                <w:top w:val="none" w:sz="0" w:space="0" w:color="auto"/>
                <w:left w:val="none" w:sz="0" w:space="0" w:color="auto"/>
                <w:bottom w:val="none" w:sz="0" w:space="0" w:color="auto"/>
                <w:right w:val="none" w:sz="0" w:space="0" w:color="auto"/>
              </w:divBdr>
            </w:div>
          </w:divsChild>
        </w:div>
        <w:div w:id="280839347">
          <w:marLeft w:val="0"/>
          <w:marRight w:val="0"/>
          <w:marTop w:val="0"/>
          <w:marBottom w:val="0"/>
          <w:divBdr>
            <w:top w:val="none" w:sz="0" w:space="0" w:color="auto"/>
            <w:left w:val="none" w:sz="0" w:space="0" w:color="auto"/>
            <w:bottom w:val="none" w:sz="0" w:space="0" w:color="auto"/>
            <w:right w:val="none" w:sz="0" w:space="0" w:color="auto"/>
          </w:divBdr>
          <w:divsChild>
            <w:div w:id="1866165399">
              <w:marLeft w:val="0"/>
              <w:marRight w:val="0"/>
              <w:marTop w:val="0"/>
              <w:marBottom w:val="0"/>
              <w:divBdr>
                <w:top w:val="none" w:sz="0" w:space="0" w:color="auto"/>
                <w:left w:val="none" w:sz="0" w:space="0" w:color="auto"/>
                <w:bottom w:val="none" w:sz="0" w:space="0" w:color="auto"/>
                <w:right w:val="none" w:sz="0" w:space="0" w:color="auto"/>
              </w:divBdr>
            </w:div>
          </w:divsChild>
        </w:div>
        <w:div w:id="834303278">
          <w:marLeft w:val="0"/>
          <w:marRight w:val="0"/>
          <w:marTop w:val="0"/>
          <w:marBottom w:val="0"/>
          <w:divBdr>
            <w:top w:val="none" w:sz="0" w:space="0" w:color="auto"/>
            <w:left w:val="none" w:sz="0" w:space="0" w:color="auto"/>
            <w:bottom w:val="none" w:sz="0" w:space="0" w:color="auto"/>
            <w:right w:val="none" w:sz="0" w:space="0" w:color="auto"/>
          </w:divBdr>
          <w:divsChild>
            <w:div w:id="344284511">
              <w:marLeft w:val="0"/>
              <w:marRight w:val="0"/>
              <w:marTop w:val="0"/>
              <w:marBottom w:val="0"/>
              <w:divBdr>
                <w:top w:val="none" w:sz="0" w:space="0" w:color="auto"/>
                <w:left w:val="none" w:sz="0" w:space="0" w:color="auto"/>
                <w:bottom w:val="none" w:sz="0" w:space="0" w:color="auto"/>
                <w:right w:val="none" w:sz="0" w:space="0" w:color="auto"/>
              </w:divBdr>
            </w:div>
          </w:divsChild>
        </w:div>
        <w:div w:id="104204467">
          <w:marLeft w:val="0"/>
          <w:marRight w:val="0"/>
          <w:marTop w:val="0"/>
          <w:marBottom w:val="0"/>
          <w:divBdr>
            <w:top w:val="none" w:sz="0" w:space="0" w:color="auto"/>
            <w:left w:val="none" w:sz="0" w:space="0" w:color="auto"/>
            <w:bottom w:val="none" w:sz="0" w:space="0" w:color="auto"/>
            <w:right w:val="none" w:sz="0" w:space="0" w:color="auto"/>
          </w:divBdr>
          <w:divsChild>
            <w:div w:id="601383042">
              <w:marLeft w:val="0"/>
              <w:marRight w:val="0"/>
              <w:marTop w:val="0"/>
              <w:marBottom w:val="0"/>
              <w:divBdr>
                <w:top w:val="none" w:sz="0" w:space="0" w:color="auto"/>
                <w:left w:val="none" w:sz="0" w:space="0" w:color="auto"/>
                <w:bottom w:val="none" w:sz="0" w:space="0" w:color="auto"/>
                <w:right w:val="none" w:sz="0" w:space="0" w:color="auto"/>
              </w:divBdr>
            </w:div>
          </w:divsChild>
        </w:div>
        <w:div w:id="1810972903">
          <w:marLeft w:val="0"/>
          <w:marRight w:val="0"/>
          <w:marTop w:val="0"/>
          <w:marBottom w:val="0"/>
          <w:divBdr>
            <w:top w:val="none" w:sz="0" w:space="0" w:color="auto"/>
            <w:left w:val="none" w:sz="0" w:space="0" w:color="auto"/>
            <w:bottom w:val="none" w:sz="0" w:space="0" w:color="auto"/>
            <w:right w:val="none" w:sz="0" w:space="0" w:color="auto"/>
          </w:divBdr>
          <w:divsChild>
            <w:div w:id="866215309">
              <w:marLeft w:val="0"/>
              <w:marRight w:val="0"/>
              <w:marTop w:val="0"/>
              <w:marBottom w:val="0"/>
              <w:divBdr>
                <w:top w:val="none" w:sz="0" w:space="0" w:color="auto"/>
                <w:left w:val="none" w:sz="0" w:space="0" w:color="auto"/>
                <w:bottom w:val="none" w:sz="0" w:space="0" w:color="auto"/>
                <w:right w:val="none" w:sz="0" w:space="0" w:color="auto"/>
              </w:divBdr>
            </w:div>
          </w:divsChild>
        </w:div>
        <w:div w:id="655690995">
          <w:marLeft w:val="0"/>
          <w:marRight w:val="0"/>
          <w:marTop w:val="0"/>
          <w:marBottom w:val="0"/>
          <w:divBdr>
            <w:top w:val="none" w:sz="0" w:space="0" w:color="auto"/>
            <w:left w:val="none" w:sz="0" w:space="0" w:color="auto"/>
            <w:bottom w:val="none" w:sz="0" w:space="0" w:color="auto"/>
            <w:right w:val="none" w:sz="0" w:space="0" w:color="auto"/>
          </w:divBdr>
          <w:divsChild>
            <w:div w:id="167864602">
              <w:marLeft w:val="0"/>
              <w:marRight w:val="0"/>
              <w:marTop w:val="0"/>
              <w:marBottom w:val="0"/>
              <w:divBdr>
                <w:top w:val="none" w:sz="0" w:space="0" w:color="auto"/>
                <w:left w:val="none" w:sz="0" w:space="0" w:color="auto"/>
                <w:bottom w:val="none" w:sz="0" w:space="0" w:color="auto"/>
                <w:right w:val="none" w:sz="0" w:space="0" w:color="auto"/>
              </w:divBdr>
            </w:div>
          </w:divsChild>
        </w:div>
        <w:div w:id="1934976656">
          <w:marLeft w:val="0"/>
          <w:marRight w:val="0"/>
          <w:marTop w:val="0"/>
          <w:marBottom w:val="0"/>
          <w:divBdr>
            <w:top w:val="none" w:sz="0" w:space="0" w:color="auto"/>
            <w:left w:val="none" w:sz="0" w:space="0" w:color="auto"/>
            <w:bottom w:val="none" w:sz="0" w:space="0" w:color="auto"/>
            <w:right w:val="none" w:sz="0" w:space="0" w:color="auto"/>
          </w:divBdr>
          <w:divsChild>
            <w:div w:id="1543984080">
              <w:marLeft w:val="0"/>
              <w:marRight w:val="0"/>
              <w:marTop w:val="0"/>
              <w:marBottom w:val="0"/>
              <w:divBdr>
                <w:top w:val="none" w:sz="0" w:space="0" w:color="auto"/>
                <w:left w:val="none" w:sz="0" w:space="0" w:color="auto"/>
                <w:bottom w:val="none" w:sz="0" w:space="0" w:color="auto"/>
                <w:right w:val="none" w:sz="0" w:space="0" w:color="auto"/>
              </w:divBdr>
            </w:div>
          </w:divsChild>
        </w:div>
        <w:div w:id="1060247903">
          <w:marLeft w:val="0"/>
          <w:marRight w:val="0"/>
          <w:marTop w:val="0"/>
          <w:marBottom w:val="0"/>
          <w:divBdr>
            <w:top w:val="none" w:sz="0" w:space="0" w:color="auto"/>
            <w:left w:val="none" w:sz="0" w:space="0" w:color="auto"/>
            <w:bottom w:val="none" w:sz="0" w:space="0" w:color="auto"/>
            <w:right w:val="none" w:sz="0" w:space="0" w:color="auto"/>
          </w:divBdr>
          <w:divsChild>
            <w:div w:id="1372415879">
              <w:marLeft w:val="0"/>
              <w:marRight w:val="0"/>
              <w:marTop w:val="0"/>
              <w:marBottom w:val="0"/>
              <w:divBdr>
                <w:top w:val="none" w:sz="0" w:space="0" w:color="auto"/>
                <w:left w:val="none" w:sz="0" w:space="0" w:color="auto"/>
                <w:bottom w:val="none" w:sz="0" w:space="0" w:color="auto"/>
                <w:right w:val="none" w:sz="0" w:space="0" w:color="auto"/>
              </w:divBdr>
            </w:div>
          </w:divsChild>
        </w:div>
        <w:div w:id="772283484">
          <w:marLeft w:val="0"/>
          <w:marRight w:val="0"/>
          <w:marTop w:val="0"/>
          <w:marBottom w:val="0"/>
          <w:divBdr>
            <w:top w:val="none" w:sz="0" w:space="0" w:color="auto"/>
            <w:left w:val="none" w:sz="0" w:space="0" w:color="auto"/>
            <w:bottom w:val="none" w:sz="0" w:space="0" w:color="auto"/>
            <w:right w:val="none" w:sz="0" w:space="0" w:color="auto"/>
          </w:divBdr>
          <w:divsChild>
            <w:div w:id="1425489515">
              <w:marLeft w:val="0"/>
              <w:marRight w:val="0"/>
              <w:marTop w:val="0"/>
              <w:marBottom w:val="0"/>
              <w:divBdr>
                <w:top w:val="none" w:sz="0" w:space="0" w:color="auto"/>
                <w:left w:val="none" w:sz="0" w:space="0" w:color="auto"/>
                <w:bottom w:val="none" w:sz="0" w:space="0" w:color="auto"/>
                <w:right w:val="none" w:sz="0" w:space="0" w:color="auto"/>
              </w:divBdr>
            </w:div>
          </w:divsChild>
        </w:div>
        <w:div w:id="1085224492">
          <w:marLeft w:val="0"/>
          <w:marRight w:val="0"/>
          <w:marTop w:val="0"/>
          <w:marBottom w:val="0"/>
          <w:divBdr>
            <w:top w:val="none" w:sz="0" w:space="0" w:color="auto"/>
            <w:left w:val="none" w:sz="0" w:space="0" w:color="auto"/>
            <w:bottom w:val="none" w:sz="0" w:space="0" w:color="auto"/>
            <w:right w:val="none" w:sz="0" w:space="0" w:color="auto"/>
          </w:divBdr>
          <w:divsChild>
            <w:div w:id="2113549684">
              <w:marLeft w:val="0"/>
              <w:marRight w:val="0"/>
              <w:marTop w:val="0"/>
              <w:marBottom w:val="0"/>
              <w:divBdr>
                <w:top w:val="none" w:sz="0" w:space="0" w:color="auto"/>
                <w:left w:val="none" w:sz="0" w:space="0" w:color="auto"/>
                <w:bottom w:val="none" w:sz="0" w:space="0" w:color="auto"/>
                <w:right w:val="none" w:sz="0" w:space="0" w:color="auto"/>
              </w:divBdr>
            </w:div>
          </w:divsChild>
        </w:div>
        <w:div w:id="2115665011">
          <w:marLeft w:val="0"/>
          <w:marRight w:val="0"/>
          <w:marTop w:val="0"/>
          <w:marBottom w:val="0"/>
          <w:divBdr>
            <w:top w:val="none" w:sz="0" w:space="0" w:color="auto"/>
            <w:left w:val="none" w:sz="0" w:space="0" w:color="auto"/>
            <w:bottom w:val="none" w:sz="0" w:space="0" w:color="auto"/>
            <w:right w:val="none" w:sz="0" w:space="0" w:color="auto"/>
          </w:divBdr>
          <w:divsChild>
            <w:div w:id="1307054862">
              <w:marLeft w:val="0"/>
              <w:marRight w:val="0"/>
              <w:marTop w:val="0"/>
              <w:marBottom w:val="0"/>
              <w:divBdr>
                <w:top w:val="none" w:sz="0" w:space="0" w:color="auto"/>
                <w:left w:val="none" w:sz="0" w:space="0" w:color="auto"/>
                <w:bottom w:val="none" w:sz="0" w:space="0" w:color="auto"/>
                <w:right w:val="none" w:sz="0" w:space="0" w:color="auto"/>
              </w:divBdr>
            </w:div>
          </w:divsChild>
        </w:div>
        <w:div w:id="1989048650">
          <w:marLeft w:val="0"/>
          <w:marRight w:val="0"/>
          <w:marTop w:val="0"/>
          <w:marBottom w:val="0"/>
          <w:divBdr>
            <w:top w:val="none" w:sz="0" w:space="0" w:color="auto"/>
            <w:left w:val="none" w:sz="0" w:space="0" w:color="auto"/>
            <w:bottom w:val="none" w:sz="0" w:space="0" w:color="auto"/>
            <w:right w:val="none" w:sz="0" w:space="0" w:color="auto"/>
          </w:divBdr>
          <w:divsChild>
            <w:div w:id="1663582602">
              <w:marLeft w:val="0"/>
              <w:marRight w:val="0"/>
              <w:marTop w:val="0"/>
              <w:marBottom w:val="0"/>
              <w:divBdr>
                <w:top w:val="none" w:sz="0" w:space="0" w:color="auto"/>
                <w:left w:val="none" w:sz="0" w:space="0" w:color="auto"/>
                <w:bottom w:val="none" w:sz="0" w:space="0" w:color="auto"/>
                <w:right w:val="none" w:sz="0" w:space="0" w:color="auto"/>
              </w:divBdr>
            </w:div>
          </w:divsChild>
        </w:div>
        <w:div w:id="478573622">
          <w:marLeft w:val="0"/>
          <w:marRight w:val="0"/>
          <w:marTop w:val="0"/>
          <w:marBottom w:val="0"/>
          <w:divBdr>
            <w:top w:val="none" w:sz="0" w:space="0" w:color="auto"/>
            <w:left w:val="none" w:sz="0" w:space="0" w:color="auto"/>
            <w:bottom w:val="none" w:sz="0" w:space="0" w:color="auto"/>
            <w:right w:val="none" w:sz="0" w:space="0" w:color="auto"/>
          </w:divBdr>
          <w:divsChild>
            <w:div w:id="100239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0538202">
      <w:bodyDiv w:val="1"/>
      <w:marLeft w:val="0"/>
      <w:marRight w:val="0"/>
      <w:marTop w:val="0"/>
      <w:marBottom w:val="0"/>
      <w:divBdr>
        <w:top w:val="none" w:sz="0" w:space="0" w:color="auto"/>
        <w:left w:val="none" w:sz="0" w:space="0" w:color="auto"/>
        <w:bottom w:val="none" w:sz="0" w:space="0" w:color="auto"/>
        <w:right w:val="none" w:sz="0" w:space="0" w:color="auto"/>
      </w:divBdr>
    </w:div>
    <w:div w:id="797527999">
      <w:bodyDiv w:val="1"/>
      <w:marLeft w:val="0"/>
      <w:marRight w:val="0"/>
      <w:marTop w:val="0"/>
      <w:marBottom w:val="0"/>
      <w:divBdr>
        <w:top w:val="none" w:sz="0" w:space="0" w:color="auto"/>
        <w:left w:val="none" w:sz="0" w:space="0" w:color="auto"/>
        <w:bottom w:val="none" w:sz="0" w:space="0" w:color="auto"/>
        <w:right w:val="none" w:sz="0" w:space="0" w:color="auto"/>
      </w:divBdr>
    </w:div>
    <w:div w:id="872499122">
      <w:bodyDiv w:val="1"/>
      <w:marLeft w:val="0"/>
      <w:marRight w:val="0"/>
      <w:marTop w:val="0"/>
      <w:marBottom w:val="0"/>
      <w:divBdr>
        <w:top w:val="none" w:sz="0" w:space="0" w:color="auto"/>
        <w:left w:val="none" w:sz="0" w:space="0" w:color="auto"/>
        <w:bottom w:val="none" w:sz="0" w:space="0" w:color="auto"/>
        <w:right w:val="none" w:sz="0" w:space="0" w:color="auto"/>
      </w:divBdr>
    </w:div>
    <w:div w:id="1000816441">
      <w:bodyDiv w:val="1"/>
      <w:marLeft w:val="0"/>
      <w:marRight w:val="0"/>
      <w:marTop w:val="0"/>
      <w:marBottom w:val="0"/>
      <w:divBdr>
        <w:top w:val="none" w:sz="0" w:space="0" w:color="auto"/>
        <w:left w:val="none" w:sz="0" w:space="0" w:color="auto"/>
        <w:bottom w:val="none" w:sz="0" w:space="0" w:color="auto"/>
        <w:right w:val="none" w:sz="0" w:space="0" w:color="auto"/>
      </w:divBdr>
    </w:div>
    <w:div w:id="1438716761">
      <w:bodyDiv w:val="1"/>
      <w:marLeft w:val="0"/>
      <w:marRight w:val="0"/>
      <w:marTop w:val="0"/>
      <w:marBottom w:val="0"/>
      <w:divBdr>
        <w:top w:val="none" w:sz="0" w:space="0" w:color="auto"/>
        <w:left w:val="none" w:sz="0" w:space="0" w:color="auto"/>
        <w:bottom w:val="none" w:sz="0" w:space="0" w:color="auto"/>
        <w:right w:val="none" w:sz="0" w:space="0" w:color="auto"/>
      </w:divBdr>
    </w:div>
    <w:div w:id="1470174737">
      <w:bodyDiv w:val="1"/>
      <w:marLeft w:val="0"/>
      <w:marRight w:val="0"/>
      <w:marTop w:val="0"/>
      <w:marBottom w:val="0"/>
      <w:divBdr>
        <w:top w:val="none" w:sz="0" w:space="0" w:color="auto"/>
        <w:left w:val="none" w:sz="0" w:space="0" w:color="auto"/>
        <w:bottom w:val="none" w:sz="0" w:space="0" w:color="auto"/>
        <w:right w:val="none" w:sz="0" w:space="0" w:color="auto"/>
      </w:divBdr>
    </w:div>
    <w:div w:id="1471826539">
      <w:bodyDiv w:val="1"/>
      <w:marLeft w:val="0"/>
      <w:marRight w:val="0"/>
      <w:marTop w:val="0"/>
      <w:marBottom w:val="0"/>
      <w:divBdr>
        <w:top w:val="none" w:sz="0" w:space="0" w:color="auto"/>
        <w:left w:val="none" w:sz="0" w:space="0" w:color="auto"/>
        <w:bottom w:val="none" w:sz="0" w:space="0" w:color="auto"/>
        <w:right w:val="none" w:sz="0" w:space="0" w:color="auto"/>
      </w:divBdr>
    </w:div>
    <w:div w:id="1475950331">
      <w:bodyDiv w:val="1"/>
      <w:marLeft w:val="0"/>
      <w:marRight w:val="0"/>
      <w:marTop w:val="0"/>
      <w:marBottom w:val="0"/>
      <w:divBdr>
        <w:top w:val="none" w:sz="0" w:space="0" w:color="auto"/>
        <w:left w:val="none" w:sz="0" w:space="0" w:color="auto"/>
        <w:bottom w:val="none" w:sz="0" w:space="0" w:color="auto"/>
        <w:right w:val="none" w:sz="0" w:space="0" w:color="auto"/>
      </w:divBdr>
    </w:div>
    <w:div w:id="1476752631">
      <w:bodyDiv w:val="1"/>
      <w:marLeft w:val="0"/>
      <w:marRight w:val="0"/>
      <w:marTop w:val="0"/>
      <w:marBottom w:val="0"/>
      <w:divBdr>
        <w:top w:val="none" w:sz="0" w:space="0" w:color="auto"/>
        <w:left w:val="none" w:sz="0" w:space="0" w:color="auto"/>
        <w:bottom w:val="none" w:sz="0" w:space="0" w:color="auto"/>
        <w:right w:val="none" w:sz="0" w:space="0" w:color="auto"/>
      </w:divBdr>
    </w:div>
    <w:div w:id="1506936718">
      <w:bodyDiv w:val="1"/>
      <w:marLeft w:val="0"/>
      <w:marRight w:val="0"/>
      <w:marTop w:val="0"/>
      <w:marBottom w:val="0"/>
      <w:divBdr>
        <w:top w:val="none" w:sz="0" w:space="0" w:color="auto"/>
        <w:left w:val="none" w:sz="0" w:space="0" w:color="auto"/>
        <w:bottom w:val="none" w:sz="0" w:space="0" w:color="auto"/>
        <w:right w:val="none" w:sz="0" w:space="0" w:color="auto"/>
      </w:divBdr>
    </w:div>
    <w:div w:id="1509439946">
      <w:bodyDiv w:val="1"/>
      <w:marLeft w:val="0"/>
      <w:marRight w:val="0"/>
      <w:marTop w:val="0"/>
      <w:marBottom w:val="0"/>
      <w:divBdr>
        <w:top w:val="none" w:sz="0" w:space="0" w:color="auto"/>
        <w:left w:val="none" w:sz="0" w:space="0" w:color="auto"/>
        <w:bottom w:val="none" w:sz="0" w:space="0" w:color="auto"/>
        <w:right w:val="none" w:sz="0" w:space="0" w:color="auto"/>
      </w:divBdr>
    </w:div>
    <w:div w:id="1812942716">
      <w:bodyDiv w:val="1"/>
      <w:marLeft w:val="0"/>
      <w:marRight w:val="0"/>
      <w:marTop w:val="0"/>
      <w:marBottom w:val="0"/>
      <w:divBdr>
        <w:top w:val="none" w:sz="0" w:space="0" w:color="auto"/>
        <w:left w:val="none" w:sz="0" w:space="0" w:color="auto"/>
        <w:bottom w:val="none" w:sz="0" w:space="0" w:color="auto"/>
        <w:right w:val="none" w:sz="0" w:space="0" w:color="auto"/>
      </w:divBdr>
    </w:div>
    <w:div w:id="1905989664">
      <w:bodyDiv w:val="1"/>
      <w:marLeft w:val="0"/>
      <w:marRight w:val="0"/>
      <w:marTop w:val="0"/>
      <w:marBottom w:val="0"/>
      <w:divBdr>
        <w:top w:val="none" w:sz="0" w:space="0" w:color="auto"/>
        <w:left w:val="none" w:sz="0" w:space="0" w:color="auto"/>
        <w:bottom w:val="none" w:sz="0" w:space="0" w:color="auto"/>
        <w:right w:val="none" w:sz="0" w:space="0" w:color="auto"/>
      </w:divBdr>
    </w:div>
    <w:div w:id="2009407047">
      <w:bodyDiv w:val="1"/>
      <w:marLeft w:val="0"/>
      <w:marRight w:val="0"/>
      <w:marTop w:val="0"/>
      <w:marBottom w:val="0"/>
      <w:divBdr>
        <w:top w:val="none" w:sz="0" w:space="0" w:color="auto"/>
        <w:left w:val="none" w:sz="0" w:space="0" w:color="auto"/>
        <w:bottom w:val="none" w:sz="0" w:space="0" w:color="auto"/>
        <w:right w:val="none" w:sz="0" w:space="0" w:color="auto"/>
      </w:divBdr>
    </w:div>
    <w:div w:id="2037464945">
      <w:bodyDiv w:val="1"/>
      <w:marLeft w:val="0"/>
      <w:marRight w:val="0"/>
      <w:marTop w:val="0"/>
      <w:marBottom w:val="0"/>
      <w:divBdr>
        <w:top w:val="none" w:sz="0" w:space="0" w:color="auto"/>
        <w:left w:val="none" w:sz="0" w:space="0" w:color="auto"/>
        <w:bottom w:val="none" w:sz="0" w:space="0" w:color="auto"/>
        <w:right w:val="none" w:sz="0" w:space="0" w:color="auto"/>
      </w:divBdr>
    </w:div>
    <w:div w:id="2104689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21" Type="http://schemas.openxmlformats.org/officeDocument/2006/relationships/diagramLayout" Target="diagrams/layout1.xml"/><Relationship Id="rId42" Type="http://schemas.openxmlformats.org/officeDocument/2006/relationships/image" Target="media/image18.emf"/><Relationship Id="rId47" Type="http://schemas.openxmlformats.org/officeDocument/2006/relationships/hyperlink" Target="http://www.bom.gov.au/climate/enso/" TargetMode="External"/><Relationship Id="rId63" Type="http://schemas.openxmlformats.org/officeDocument/2006/relationships/image" Target="media/image27.png"/><Relationship Id="rId68" Type="http://schemas.openxmlformats.org/officeDocument/2006/relationships/image" Target="media/image32.emf"/><Relationship Id="rId84" Type="http://schemas.openxmlformats.org/officeDocument/2006/relationships/image" Target="media/image47.emf"/><Relationship Id="rId89" Type="http://schemas.openxmlformats.org/officeDocument/2006/relationships/image" Target="media/image52.emf"/><Relationship Id="rId16" Type="http://schemas.openxmlformats.org/officeDocument/2006/relationships/header" Target="header1.xml"/><Relationship Id="rId107" Type="http://schemas.openxmlformats.org/officeDocument/2006/relationships/theme" Target="theme/theme1.xml"/><Relationship Id="rId11" Type="http://schemas.openxmlformats.org/officeDocument/2006/relationships/endnotes" Target="endnotes.xml"/><Relationship Id="rId32" Type="http://schemas.openxmlformats.org/officeDocument/2006/relationships/hyperlink" Target="http://watermonitoring.dnrm.qld.gov.au/host.htm" TargetMode="External"/><Relationship Id="rId37" Type="http://schemas.openxmlformats.org/officeDocument/2006/relationships/image" Target="media/image14.emf"/><Relationship Id="rId53" Type="http://schemas.openxmlformats.org/officeDocument/2006/relationships/hyperlink" Target="http://www.gbrmpa.gov.au/managing-the-reef/how-the-reefs-managed/reef-2050-marine-monitoring-program" TargetMode="External"/><Relationship Id="rId58" Type="http://schemas.openxmlformats.org/officeDocument/2006/relationships/hyperlink" Target="http://whc.unesco.org/en/list/154" TargetMode="External"/><Relationship Id="rId74" Type="http://schemas.openxmlformats.org/officeDocument/2006/relationships/image" Target="media/image37.emf"/><Relationship Id="rId79" Type="http://schemas.openxmlformats.org/officeDocument/2006/relationships/image" Target="media/image42.emf"/><Relationship Id="rId102" Type="http://schemas.openxmlformats.org/officeDocument/2006/relationships/image" Target="media/image65.emf"/><Relationship Id="rId5" Type="http://schemas.openxmlformats.org/officeDocument/2006/relationships/customXml" Target="../customXml/item5.xml"/><Relationship Id="rId90" Type="http://schemas.openxmlformats.org/officeDocument/2006/relationships/image" Target="media/image53.emf"/><Relationship Id="rId95" Type="http://schemas.openxmlformats.org/officeDocument/2006/relationships/image" Target="media/image58.emf"/><Relationship Id="rId22" Type="http://schemas.openxmlformats.org/officeDocument/2006/relationships/diagramQuickStyle" Target="diagrams/quickStyle1.xml"/><Relationship Id="rId27" Type="http://schemas.openxmlformats.org/officeDocument/2006/relationships/footer" Target="footer2.xml"/><Relationship Id="rId43" Type="http://schemas.openxmlformats.org/officeDocument/2006/relationships/image" Target="media/image19.emf"/><Relationship Id="rId48" Type="http://schemas.openxmlformats.org/officeDocument/2006/relationships/hyperlink" Target="http://dx.doi.org/10.1016/j.marpolbul.2011.12.012" TargetMode="External"/><Relationship Id="rId64" Type="http://schemas.openxmlformats.org/officeDocument/2006/relationships/image" Target="media/image28.emf"/><Relationship Id="rId69" Type="http://schemas.openxmlformats.org/officeDocument/2006/relationships/oleObject" Target="embeddings/oleObject2.bin"/><Relationship Id="rId80" Type="http://schemas.openxmlformats.org/officeDocument/2006/relationships/image" Target="media/image43.emf"/><Relationship Id="rId85" Type="http://schemas.openxmlformats.org/officeDocument/2006/relationships/image" Target="media/image48.emf"/><Relationship Id="rId12" Type="http://schemas.openxmlformats.org/officeDocument/2006/relationships/image" Target="media/image1.png"/><Relationship Id="rId17" Type="http://schemas.openxmlformats.org/officeDocument/2006/relationships/footer" Target="footer1.xml"/><Relationship Id="rId33" Type="http://schemas.openxmlformats.org/officeDocument/2006/relationships/image" Target="media/image10.emf"/><Relationship Id="rId38" Type="http://schemas.openxmlformats.org/officeDocument/2006/relationships/oleObject" Target="embeddings/oleObject1.bin"/><Relationship Id="rId59" Type="http://schemas.openxmlformats.org/officeDocument/2006/relationships/image" Target="media/image23.png"/><Relationship Id="rId103" Type="http://schemas.openxmlformats.org/officeDocument/2006/relationships/image" Target="media/image66.emf"/><Relationship Id="rId20" Type="http://schemas.openxmlformats.org/officeDocument/2006/relationships/diagramData" Target="diagrams/data1.xml"/><Relationship Id="rId41" Type="http://schemas.openxmlformats.org/officeDocument/2006/relationships/image" Target="media/image17.emf"/><Relationship Id="rId54" Type="http://schemas.openxmlformats.org/officeDocument/2006/relationships/hyperlink" Target="http://www.gbrmpa.gov.au/managing-the-reef/how-the-reefs-managed/water-quality-in-the-great-barrier-reef/water-quality-guidelines-for-the-great-barrier-reef" TargetMode="External"/><Relationship Id="rId62" Type="http://schemas.openxmlformats.org/officeDocument/2006/relationships/image" Target="media/image26.emf"/><Relationship Id="rId70" Type="http://schemas.openxmlformats.org/officeDocument/2006/relationships/image" Target="media/image33.emf"/><Relationship Id="rId75" Type="http://schemas.openxmlformats.org/officeDocument/2006/relationships/image" Target="media/image38.emf"/><Relationship Id="rId83" Type="http://schemas.openxmlformats.org/officeDocument/2006/relationships/image" Target="media/image46.emf"/><Relationship Id="rId88" Type="http://schemas.openxmlformats.org/officeDocument/2006/relationships/image" Target="media/image51.emf"/><Relationship Id="rId91" Type="http://schemas.openxmlformats.org/officeDocument/2006/relationships/image" Target="media/image54.emf"/><Relationship Id="rId96" Type="http://schemas.openxmlformats.org/officeDocument/2006/relationships/image" Target="media/image59.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diagramColors" Target="diagrams/colors1.xml"/><Relationship Id="rId28" Type="http://schemas.openxmlformats.org/officeDocument/2006/relationships/image" Target="media/image7.emf"/><Relationship Id="rId36" Type="http://schemas.openxmlformats.org/officeDocument/2006/relationships/image" Target="media/image13.emf"/><Relationship Id="rId49" Type="http://schemas.openxmlformats.org/officeDocument/2006/relationships/hyperlink" Target="http://www.bom.gov.au/jsp/awap/rain/index.jsp" TargetMode="External"/><Relationship Id="rId57" Type="http://schemas.openxmlformats.org/officeDocument/2006/relationships/hyperlink" Target="http://www.reefplan.qld.gov.au/measuring-success/report-cards/2015/assets/report-card-2015-catchment-pollutant-loads-results.pdf" TargetMode="External"/><Relationship Id="rId106"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image" Target="media/image9.jpeg"/><Relationship Id="rId44" Type="http://schemas.openxmlformats.org/officeDocument/2006/relationships/image" Target="media/image20.emf"/><Relationship Id="rId52" Type="http://schemas.openxmlformats.org/officeDocument/2006/relationships/hyperlink" Target="https://www.environment.gov.au/water/quality/national-water-quality-management-strategy" TargetMode="External"/><Relationship Id="rId60" Type="http://schemas.openxmlformats.org/officeDocument/2006/relationships/image" Target="media/image24.emf"/><Relationship Id="rId65" Type="http://schemas.openxmlformats.org/officeDocument/2006/relationships/image" Target="media/image29.png"/><Relationship Id="rId73" Type="http://schemas.openxmlformats.org/officeDocument/2006/relationships/image" Target="media/image36.emf"/><Relationship Id="rId78" Type="http://schemas.openxmlformats.org/officeDocument/2006/relationships/image" Target="media/image41.emf"/><Relationship Id="rId81" Type="http://schemas.openxmlformats.org/officeDocument/2006/relationships/image" Target="media/image44.emf"/><Relationship Id="rId86" Type="http://schemas.openxmlformats.org/officeDocument/2006/relationships/image" Target="media/image49.emf"/><Relationship Id="rId94" Type="http://schemas.openxmlformats.org/officeDocument/2006/relationships/image" Target="media/image57.emf"/><Relationship Id="rId99" Type="http://schemas.openxmlformats.org/officeDocument/2006/relationships/image" Target="media/image62.emf"/><Relationship Id="rId101" Type="http://schemas.openxmlformats.org/officeDocument/2006/relationships/image" Target="media/image64.emf"/><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creativecommons.org/licences/by/4.0" TargetMode="External"/><Relationship Id="rId18" Type="http://schemas.openxmlformats.org/officeDocument/2006/relationships/image" Target="media/image3.emf"/><Relationship Id="rId39" Type="http://schemas.openxmlformats.org/officeDocument/2006/relationships/image" Target="media/image15.emf"/><Relationship Id="rId34" Type="http://schemas.openxmlformats.org/officeDocument/2006/relationships/image" Target="media/image11.emf"/><Relationship Id="rId50" Type="http://schemas.openxmlformats.org/officeDocument/2006/relationships/hyperlink" Target="http://www.environment.gov.au/marine/gbr/publications/highlights-long-term-sustainability-plan" TargetMode="External"/><Relationship Id="rId55" Type="http://schemas.openxmlformats.org/officeDocument/2006/relationships/hyperlink" Target="http://nesptropical.edu.au/index.php/round-3-projects/project-3-1-5/" TargetMode="External"/><Relationship Id="rId76" Type="http://schemas.openxmlformats.org/officeDocument/2006/relationships/image" Target="media/image39.emf"/><Relationship Id="rId97" Type="http://schemas.openxmlformats.org/officeDocument/2006/relationships/image" Target="media/image60.emf"/><Relationship Id="rId104" Type="http://schemas.openxmlformats.org/officeDocument/2006/relationships/image" Target="media/image67.emf"/><Relationship Id="rId7" Type="http://schemas.openxmlformats.org/officeDocument/2006/relationships/styles" Target="styles.xml"/><Relationship Id="rId71" Type="http://schemas.openxmlformats.org/officeDocument/2006/relationships/image" Target="media/image34.emf"/><Relationship Id="rId92" Type="http://schemas.openxmlformats.org/officeDocument/2006/relationships/image" Target="media/image55.emf"/><Relationship Id="rId2" Type="http://schemas.openxmlformats.org/officeDocument/2006/relationships/customXml" Target="../customXml/item2.xml"/><Relationship Id="rId29" Type="http://schemas.openxmlformats.org/officeDocument/2006/relationships/image" Target="media/image8.jpeg"/><Relationship Id="rId24" Type="http://schemas.microsoft.com/office/2007/relationships/diagramDrawing" Target="diagrams/drawing1.xml"/><Relationship Id="rId40" Type="http://schemas.openxmlformats.org/officeDocument/2006/relationships/image" Target="media/image16.emf"/><Relationship Id="rId45" Type="http://schemas.openxmlformats.org/officeDocument/2006/relationships/image" Target="media/image21.emf"/><Relationship Id="rId66" Type="http://schemas.openxmlformats.org/officeDocument/2006/relationships/image" Target="media/image30.png"/><Relationship Id="rId87" Type="http://schemas.openxmlformats.org/officeDocument/2006/relationships/image" Target="media/image50.emf"/><Relationship Id="rId61" Type="http://schemas.openxmlformats.org/officeDocument/2006/relationships/image" Target="media/image25.emf"/><Relationship Id="rId82" Type="http://schemas.openxmlformats.org/officeDocument/2006/relationships/image" Target="media/image45.emf"/><Relationship Id="rId19" Type="http://schemas.openxmlformats.org/officeDocument/2006/relationships/image" Target="media/image4.png"/><Relationship Id="rId14" Type="http://schemas.openxmlformats.org/officeDocument/2006/relationships/hyperlink" Target="http://creativecommons.org/licences/by/3.0/au" TargetMode="External"/><Relationship Id="rId30" Type="http://schemas.openxmlformats.org/officeDocument/2006/relationships/hyperlink" Target="http://watermonitoring.dnrm.qld.gov.au/host.htm" TargetMode="External"/><Relationship Id="rId35" Type="http://schemas.openxmlformats.org/officeDocument/2006/relationships/image" Target="media/image12.emf"/><Relationship Id="rId56" Type="http://schemas.openxmlformats.org/officeDocument/2006/relationships/hyperlink" Target="http://www.reefplan.qld.gov.au/measuring-success/paddock-to-reef/" TargetMode="External"/><Relationship Id="rId77" Type="http://schemas.openxmlformats.org/officeDocument/2006/relationships/image" Target="media/image40.emf"/><Relationship Id="rId100" Type="http://schemas.openxmlformats.org/officeDocument/2006/relationships/image" Target="media/image63.emf"/><Relationship Id="rId105" Type="http://schemas.openxmlformats.org/officeDocument/2006/relationships/image" Target="media/image68.emf"/><Relationship Id="rId8" Type="http://schemas.openxmlformats.org/officeDocument/2006/relationships/settings" Target="settings.xml"/><Relationship Id="rId51" Type="http://schemas.openxmlformats.org/officeDocument/2006/relationships/hyperlink" Target="http://dx.doi.org/10.1016/j.scitotenv.2014.04.005" TargetMode="External"/><Relationship Id="rId72" Type="http://schemas.openxmlformats.org/officeDocument/2006/relationships/image" Target="media/image35.emf"/><Relationship Id="rId93" Type="http://schemas.openxmlformats.org/officeDocument/2006/relationships/image" Target="media/image56.emf"/><Relationship Id="rId98" Type="http://schemas.openxmlformats.org/officeDocument/2006/relationships/image" Target="media/image61.emf"/><Relationship Id="rId3" Type="http://schemas.openxmlformats.org/officeDocument/2006/relationships/customXml" Target="../customXml/item3.xml"/><Relationship Id="rId25" Type="http://schemas.openxmlformats.org/officeDocument/2006/relationships/image" Target="media/image5.jpeg"/><Relationship Id="rId46" Type="http://schemas.openxmlformats.org/officeDocument/2006/relationships/image" Target="media/image22.emf"/><Relationship Id="rId67" Type="http://schemas.openxmlformats.org/officeDocument/2006/relationships/image" Target="media/image3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E0A195-7637-4670-804D-CD666DC672AA}"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en-AU"/>
        </a:p>
      </dgm:t>
    </dgm:pt>
    <dgm:pt modelId="{8C15F1C6-92E8-4CC4-B9E4-2C73FA7B4D11}">
      <dgm:prSet phldrT="[Text]" custT="1"/>
      <dgm:spPr/>
      <dgm:t>
        <a:bodyPr/>
        <a:lstStyle/>
        <a:p>
          <a:pPr algn="ctr">
            <a:spcAft>
              <a:spcPts val="0"/>
            </a:spcAft>
          </a:pPr>
          <a:r>
            <a:rPr lang="en-AU" sz="1000" b="1"/>
            <a:t>DRIVERS &amp; ACTIVITIES</a:t>
          </a:r>
        </a:p>
        <a:p>
          <a:pPr algn="ctr">
            <a:spcAft>
              <a:spcPts val="0"/>
            </a:spcAft>
          </a:pPr>
          <a:r>
            <a:rPr lang="en-AU" sz="1000" b="0">
              <a:solidFill>
                <a:srgbClr val="FFFF00"/>
              </a:solidFill>
            </a:rPr>
            <a:t>Climate</a:t>
          </a:r>
        </a:p>
        <a:p>
          <a:pPr algn="ctr">
            <a:spcAft>
              <a:spcPts val="0"/>
            </a:spcAft>
          </a:pPr>
          <a:r>
            <a:rPr lang="en-AU" sz="1000" b="0"/>
            <a:t>Population growth</a:t>
          </a:r>
        </a:p>
        <a:p>
          <a:pPr algn="ctr">
            <a:spcAft>
              <a:spcPts val="0"/>
            </a:spcAft>
          </a:pPr>
          <a:r>
            <a:rPr lang="en-AU" sz="1000" b="0">
              <a:solidFill>
                <a:srgbClr val="FFFF00"/>
              </a:solidFill>
            </a:rPr>
            <a:t>Economic growth (incl. land use)</a:t>
          </a:r>
        </a:p>
        <a:p>
          <a:pPr algn="ctr">
            <a:spcAft>
              <a:spcPts val="0"/>
            </a:spcAft>
          </a:pPr>
          <a:r>
            <a:rPr lang="en-AU" sz="1000" b="0"/>
            <a:t>Technological development</a:t>
          </a:r>
        </a:p>
        <a:p>
          <a:pPr algn="ctr">
            <a:spcAft>
              <a:spcPts val="0"/>
            </a:spcAft>
          </a:pPr>
          <a:r>
            <a:rPr lang="en-AU" sz="1000" b="0"/>
            <a:t>Societal attitudes</a:t>
          </a:r>
        </a:p>
      </dgm:t>
    </dgm:pt>
    <dgm:pt modelId="{96D77D5D-334F-46D8-882C-831F9D077427}" type="parTrans" cxnId="{3A66810B-60F3-4086-8F28-0ECF5F821BFD}">
      <dgm:prSet/>
      <dgm:spPr/>
      <dgm:t>
        <a:bodyPr/>
        <a:lstStyle/>
        <a:p>
          <a:pPr algn="ctr"/>
          <a:endParaRPr lang="en-AU" sz="1000"/>
        </a:p>
      </dgm:t>
    </dgm:pt>
    <dgm:pt modelId="{6B04BBD9-6CE7-46B7-BEAD-E15D94DAD825}" type="sibTrans" cxnId="{3A66810B-60F3-4086-8F28-0ECF5F821BFD}">
      <dgm:prSet/>
      <dgm:spPr/>
      <dgm:t>
        <a:bodyPr/>
        <a:lstStyle/>
        <a:p>
          <a:pPr algn="ctr"/>
          <a:endParaRPr lang="en-AU" sz="1000"/>
        </a:p>
      </dgm:t>
    </dgm:pt>
    <dgm:pt modelId="{CD172D3B-8806-4FC9-89EE-EE069681EFC5}">
      <dgm:prSet phldrT="[Text]" custT="1"/>
      <dgm:spPr/>
      <dgm:t>
        <a:bodyPr/>
        <a:lstStyle/>
        <a:p>
          <a:pPr algn="ctr">
            <a:spcAft>
              <a:spcPts val="0"/>
            </a:spcAft>
          </a:pPr>
          <a:r>
            <a:rPr lang="en-AU" sz="1000" b="1"/>
            <a:t>IMPACTS / PRESSURES </a:t>
          </a:r>
        </a:p>
        <a:p>
          <a:pPr algn="ctr">
            <a:spcAft>
              <a:spcPts val="0"/>
            </a:spcAft>
          </a:pPr>
          <a:r>
            <a:rPr lang="en-AU" sz="1000" b="0" i="0">
              <a:solidFill>
                <a:srgbClr val="FFFF00"/>
              </a:solidFill>
            </a:rPr>
            <a:t>Cyclones</a:t>
          </a:r>
        </a:p>
        <a:p>
          <a:pPr algn="ctr">
            <a:spcAft>
              <a:spcPts val="0"/>
            </a:spcAft>
          </a:pPr>
          <a:r>
            <a:rPr lang="en-AU" sz="1000">
              <a:solidFill>
                <a:srgbClr val="FFFF00"/>
              </a:solidFill>
            </a:rPr>
            <a:t>Freshwater discharge</a:t>
          </a:r>
        </a:p>
        <a:p>
          <a:pPr algn="ctr">
            <a:spcAft>
              <a:spcPts val="0"/>
            </a:spcAft>
          </a:pPr>
          <a:r>
            <a:rPr lang="en-AU" sz="1000">
              <a:solidFill>
                <a:srgbClr val="FFFF00"/>
              </a:solidFill>
            </a:rPr>
            <a:t>Catchment runoff (sediment, nutrient, pesticides)</a:t>
          </a:r>
        </a:p>
        <a:p>
          <a:pPr algn="ctr">
            <a:spcAft>
              <a:spcPts val="0"/>
            </a:spcAft>
          </a:pPr>
          <a:r>
            <a:rPr lang="en-AU" sz="1000">
              <a:solidFill>
                <a:srgbClr val="FFFF00"/>
              </a:solidFill>
            </a:rPr>
            <a:t>Degradation of coastal ecosystems</a:t>
          </a:r>
        </a:p>
        <a:p>
          <a:pPr algn="ctr">
            <a:spcAft>
              <a:spcPts val="0"/>
            </a:spcAft>
          </a:pPr>
          <a:r>
            <a:rPr lang="en-AU" sz="1000"/>
            <a:t>Direct  use</a:t>
          </a:r>
        </a:p>
      </dgm:t>
    </dgm:pt>
    <dgm:pt modelId="{81CA75D1-A4F5-4F57-9003-65DEC5845519}" type="parTrans" cxnId="{0AAB7034-7873-49F8-987F-FB4BBC260C76}">
      <dgm:prSet/>
      <dgm:spPr/>
      <dgm:t>
        <a:bodyPr/>
        <a:lstStyle/>
        <a:p>
          <a:pPr algn="ctr"/>
          <a:endParaRPr lang="en-AU" sz="1000"/>
        </a:p>
      </dgm:t>
    </dgm:pt>
    <dgm:pt modelId="{9C8C3A09-1621-4AD7-A907-8D308900C424}" type="sibTrans" cxnId="{0AAB7034-7873-49F8-987F-FB4BBC260C76}">
      <dgm:prSet/>
      <dgm:spPr/>
      <dgm:t>
        <a:bodyPr/>
        <a:lstStyle/>
        <a:p>
          <a:pPr algn="ctr"/>
          <a:endParaRPr lang="en-AU" sz="1000"/>
        </a:p>
      </dgm:t>
    </dgm:pt>
    <dgm:pt modelId="{8B66A6C3-1604-40D1-A68F-1E81B2544239}">
      <dgm:prSet phldrT="[Text]" custT="1"/>
      <dgm:spPr/>
      <dgm:t>
        <a:bodyPr/>
        <a:lstStyle/>
        <a:p>
          <a:pPr algn="ctr">
            <a:spcAft>
              <a:spcPts val="0"/>
            </a:spcAft>
          </a:pPr>
          <a:r>
            <a:rPr lang="en-AU" sz="1000" b="1"/>
            <a:t>CONDITION</a:t>
          </a:r>
        </a:p>
        <a:p>
          <a:pPr algn="ctr">
            <a:spcAft>
              <a:spcPts val="0"/>
            </a:spcAft>
          </a:pPr>
          <a:r>
            <a:rPr lang="en-AU" sz="1000"/>
            <a:t>Environmental processes </a:t>
          </a:r>
          <a:r>
            <a:rPr lang="en-AU" sz="1000">
              <a:solidFill>
                <a:srgbClr val="FFFF00"/>
              </a:solidFill>
            </a:rPr>
            <a:t>inc local and regional water quality trends</a:t>
          </a:r>
        </a:p>
        <a:p>
          <a:pPr algn="ctr">
            <a:spcAft>
              <a:spcPts val="0"/>
            </a:spcAft>
          </a:pPr>
          <a:r>
            <a:rPr lang="en-AU" sz="1000"/>
            <a:t>Habitats &amp; species</a:t>
          </a:r>
        </a:p>
        <a:p>
          <a:pPr algn="ctr">
            <a:spcAft>
              <a:spcPts val="0"/>
            </a:spcAft>
          </a:pPr>
          <a:r>
            <a:rPr lang="en-AU" sz="1000"/>
            <a:t>Ecological processes </a:t>
          </a:r>
        </a:p>
        <a:p>
          <a:pPr algn="ctr">
            <a:spcAft>
              <a:spcPts val="0"/>
            </a:spcAft>
          </a:pPr>
          <a:r>
            <a:rPr lang="en-AU" sz="1000"/>
            <a:t>Heritage values</a:t>
          </a:r>
        </a:p>
      </dgm:t>
    </dgm:pt>
    <dgm:pt modelId="{8D8C8AA0-E2E8-4B5F-9ED4-984C5FFD31A5}" type="parTrans" cxnId="{51B4571D-37B5-4C64-B7E2-677E944EE095}">
      <dgm:prSet/>
      <dgm:spPr/>
      <dgm:t>
        <a:bodyPr/>
        <a:lstStyle/>
        <a:p>
          <a:pPr algn="ctr"/>
          <a:endParaRPr lang="en-AU" sz="1000"/>
        </a:p>
      </dgm:t>
    </dgm:pt>
    <dgm:pt modelId="{D59EE7D9-ADDF-4C7F-8033-1BE15CD5E135}" type="sibTrans" cxnId="{51B4571D-37B5-4C64-B7E2-677E944EE095}">
      <dgm:prSet/>
      <dgm:spPr/>
      <dgm:t>
        <a:bodyPr/>
        <a:lstStyle/>
        <a:p>
          <a:pPr algn="ctr"/>
          <a:endParaRPr lang="en-AU" sz="1000"/>
        </a:p>
      </dgm:t>
    </dgm:pt>
    <dgm:pt modelId="{8A570E8D-FCBB-40E4-8E41-FB05931142D0}">
      <dgm:prSet phldrT="[Text]" custT="1"/>
      <dgm:spPr/>
      <dgm:t>
        <a:bodyPr/>
        <a:lstStyle/>
        <a:p>
          <a:pPr algn="ctr">
            <a:spcAft>
              <a:spcPts val="0"/>
            </a:spcAft>
          </a:pPr>
          <a:r>
            <a:rPr lang="en-AU" sz="1000" b="1"/>
            <a:t>MANAGEMENT RESPONSES </a:t>
          </a:r>
          <a:r>
            <a:rPr lang="en-AU" sz="1000"/>
            <a:t>Actions under Reef Plan and Reef 2050 Plan</a:t>
          </a:r>
        </a:p>
      </dgm:t>
    </dgm:pt>
    <dgm:pt modelId="{E8069402-2BEB-4D94-BF1C-5A97A418D6D7}" type="parTrans" cxnId="{77C80292-CB67-4092-BB37-55A8C2F80AF8}">
      <dgm:prSet/>
      <dgm:spPr/>
      <dgm:t>
        <a:bodyPr/>
        <a:lstStyle/>
        <a:p>
          <a:pPr algn="ctr"/>
          <a:endParaRPr lang="en-AU" sz="1000"/>
        </a:p>
      </dgm:t>
    </dgm:pt>
    <dgm:pt modelId="{91E738BA-473A-42E6-B4BA-D3FFE86009FD}" type="sibTrans" cxnId="{77C80292-CB67-4092-BB37-55A8C2F80AF8}">
      <dgm:prSet/>
      <dgm:spPr/>
      <dgm:t>
        <a:bodyPr/>
        <a:lstStyle/>
        <a:p>
          <a:pPr algn="ctr"/>
          <a:endParaRPr lang="en-AU" sz="1000"/>
        </a:p>
      </dgm:t>
    </dgm:pt>
    <dgm:pt modelId="{D4B6B105-087C-4601-9DCD-1F9ED905ECB8}">
      <dgm:prSet custT="1"/>
      <dgm:spPr/>
      <dgm:t>
        <a:bodyPr/>
        <a:lstStyle/>
        <a:p>
          <a:pPr algn="ctr"/>
          <a:r>
            <a:rPr lang="en-AU" sz="1000" b="1"/>
            <a:t>COMMUNITY BENEFITS</a:t>
          </a:r>
        </a:p>
      </dgm:t>
    </dgm:pt>
    <dgm:pt modelId="{B79B5453-8BEA-4837-A7C7-8737220FE85D}" type="parTrans" cxnId="{9D7BB083-796D-4AAB-9FDA-E531CE4D78F4}">
      <dgm:prSet/>
      <dgm:spPr/>
      <dgm:t>
        <a:bodyPr/>
        <a:lstStyle/>
        <a:p>
          <a:pPr algn="ctr"/>
          <a:endParaRPr lang="en-AU"/>
        </a:p>
      </dgm:t>
    </dgm:pt>
    <dgm:pt modelId="{B829D853-E02D-46E1-87A5-07DDA8155249}" type="sibTrans" cxnId="{9D7BB083-796D-4AAB-9FDA-E531CE4D78F4}">
      <dgm:prSet/>
      <dgm:spPr/>
      <dgm:t>
        <a:bodyPr/>
        <a:lstStyle/>
        <a:p>
          <a:pPr algn="ctr"/>
          <a:endParaRPr lang="en-AU"/>
        </a:p>
      </dgm:t>
    </dgm:pt>
    <dgm:pt modelId="{843FCC98-ED93-48D1-9500-EB17B6CA45D0}" type="pres">
      <dgm:prSet presAssocID="{1DE0A195-7637-4670-804D-CD666DC672AA}" presName="cycle" presStyleCnt="0">
        <dgm:presLayoutVars>
          <dgm:dir/>
          <dgm:resizeHandles val="exact"/>
        </dgm:presLayoutVars>
      </dgm:prSet>
      <dgm:spPr/>
      <dgm:t>
        <a:bodyPr/>
        <a:lstStyle/>
        <a:p>
          <a:endParaRPr lang="en-AU"/>
        </a:p>
      </dgm:t>
    </dgm:pt>
    <dgm:pt modelId="{8C99A514-3DC4-482F-91E9-B06208573BC2}" type="pres">
      <dgm:prSet presAssocID="{8C15F1C6-92E8-4CC4-B9E4-2C73FA7B4D11}" presName="node" presStyleLbl="node1" presStyleIdx="0" presStyleCnt="5" custScaleX="134318" custScaleY="117137" custRadScaleRad="92023" custRadScaleInc="28885">
        <dgm:presLayoutVars>
          <dgm:bulletEnabled val="1"/>
        </dgm:presLayoutVars>
      </dgm:prSet>
      <dgm:spPr/>
      <dgm:t>
        <a:bodyPr/>
        <a:lstStyle/>
        <a:p>
          <a:endParaRPr lang="en-AU"/>
        </a:p>
      </dgm:t>
    </dgm:pt>
    <dgm:pt modelId="{3F3A828F-4AA6-4D56-8576-63295727B610}" type="pres">
      <dgm:prSet presAssocID="{8C15F1C6-92E8-4CC4-B9E4-2C73FA7B4D11}" presName="spNode" presStyleCnt="0"/>
      <dgm:spPr/>
    </dgm:pt>
    <dgm:pt modelId="{C071BB6A-3A88-438D-98A1-97440CBAF5C4}" type="pres">
      <dgm:prSet presAssocID="{6B04BBD9-6CE7-46B7-BEAD-E15D94DAD825}" presName="sibTrans" presStyleLbl="sibTrans1D1" presStyleIdx="0" presStyleCnt="5"/>
      <dgm:spPr/>
      <dgm:t>
        <a:bodyPr/>
        <a:lstStyle/>
        <a:p>
          <a:endParaRPr lang="en-AU"/>
        </a:p>
      </dgm:t>
    </dgm:pt>
    <dgm:pt modelId="{92934778-40CE-42FD-BF08-EE8006AD646F}" type="pres">
      <dgm:prSet presAssocID="{CD172D3B-8806-4FC9-89EE-EE069681EFC5}" presName="node" presStyleLbl="node1" presStyleIdx="1" presStyleCnt="5" custScaleX="126190" custScaleY="120240" custRadScaleRad="100703" custRadScaleInc="20282">
        <dgm:presLayoutVars>
          <dgm:bulletEnabled val="1"/>
        </dgm:presLayoutVars>
      </dgm:prSet>
      <dgm:spPr/>
      <dgm:t>
        <a:bodyPr/>
        <a:lstStyle/>
        <a:p>
          <a:endParaRPr lang="en-AU"/>
        </a:p>
      </dgm:t>
    </dgm:pt>
    <dgm:pt modelId="{1BB6B045-3BAB-43F3-A4D9-D1D912D35453}" type="pres">
      <dgm:prSet presAssocID="{CD172D3B-8806-4FC9-89EE-EE069681EFC5}" presName="spNode" presStyleCnt="0"/>
      <dgm:spPr/>
    </dgm:pt>
    <dgm:pt modelId="{030EEDB1-0886-4D01-AC1C-655768F3FF2A}" type="pres">
      <dgm:prSet presAssocID="{9C8C3A09-1621-4AD7-A907-8D308900C424}" presName="sibTrans" presStyleLbl="sibTrans1D1" presStyleIdx="1" presStyleCnt="5"/>
      <dgm:spPr/>
      <dgm:t>
        <a:bodyPr/>
        <a:lstStyle/>
        <a:p>
          <a:endParaRPr lang="en-AU"/>
        </a:p>
      </dgm:t>
    </dgm:pt>
    <dgm:pt modelId="{4545C682-9BFA-4491-BA08-37432F809107}" type="pres">
      <dgm:prSet presAssocID="{8B66A6C3-1604-40D1-A68F-1E81B2544239}" presName="node" presStyleLbl="node1" presStyleIdx="2" presStyleCnt="5" custScaleX="132085" custScaleY="109473" custRadScaleRad="97580" custRadScaleInc="-11989">
        <dgm:presLayoutVars>
          <dgm:bulletEnabled val="1"/>
        </dgm:presLayoutVars>
      </dgm:prSet>
      <dgm:spPr/>
      <dgm:t>
        <a:bodyPr/>
        <a:lstStyle/>
        <a:p>
          <a:endParaRPr lang="en-AU"/>
        </a:p>
      </dgm:t>
    </dgm:pt>
    <dgm:pt modelId="{0CFC91F5-32F4-4405-A96A-D2DB4516E44F}" type="pres">
      <dgm:prSet presAssocID="{8B66A6C3-1604-40D1-A68F-1E81B2544239}" presName="spNode" presStyleCnt="0"/>
      <dgm:spPr/>
    </dgm:pt>
    <dgm:pt modelId="{9895E33B-4626-4C96-8632-780A4E75A192}" type="pres">
      <dgm:prSet presAssocID="{D59EE7D9-ADDF-4C7F-8033-1BE15CD5E135}" presName="sibTrans" presStyleLbl="sibTrans1D1" presStyleIdx="2" presStyleCnt="5"/>
      <dgm:spPr/>
      <dgm:t>
        <a:bodyPr/>
        <a:lstStyle/>
        <a:p>
          <a:endParaRPr lang="en-AU"/>
        </a:p>
      </dgm:t>
    </dgm:pt>
    <dgm:pt modelId="{93DAC131-6B69-48D0-AFB8-BCEBB7482145}" type="pres">
      <dgm:prSet presAssocID="{D4B6B105-087C-4601-9DCD-1F9ED905ECB8}" presName="node" presStyleLbl="node1" presStyleIdx="3" presStyleCnt="5" custScaleX="120593" custRadScaleRad="96293" custRadScaleInc="75888">
        <dgm:presLayoutVars>
          <dgm:bulletEnabled val="1"/>
        </dgm:presLayoutVars>
      </dgm:prSet>
      <dgm:spPr/>
      <dgm:t>
        <a:bodyPr/>
        <a:lstStyle/>
        <a:p>
          <a:endParaRPr lang="en-AU"/>
        </a:p>
      </dgm:t>
    </dgm:pt>
    <dgm:pt modelId="{BB1E0BD0-3BC4-412E-8A20-98C433B0F2B8}" type="pres">
      <dgm:prSet presAssocID="{D4B6B105-087C-4601-9DCD-1F9ED905ECB8}" presName="spNode" presStyleCnt="0"/>
      <dgm:spPr/>
    </dgm:pt>
    <dgm:pt modelId="{06E6FB99-C6F3-49A1-8EF9-B5C1BB7CC80F}" type="pres">
      <dgm:prSet presAssocID="{B829D853-E02D-46E1-87A5-07DDA8155249}" presName="sibTrans" presStyleLbl="sibTrans1D1" presStyleIdx="3" presStyleCnt="5"/>
      <dgm:spPr/>
      <dgm:t>
        <a:bodyPr/>
        <a:lstStyle/>
        <a:p>
          <a:endParaRPr lang="en-AU"/>
        </a:p>
      </dgm:t>
    </dgm:pt>
    <dgm:pt modelId="{68F6BACF-77F3-4B84-9732-922F9FF30456}" type="pres">
      <dgm:prSet presAssocID="{8A570E8D-FCBB-40E4-8E41-FB05931142D0}" presName="node" presStyleLbl="node1" presStyleIdx="4" presStyleCnt="5" custScaleX="121056" custRadScaleRad="89873" custRadScaleInc="7053">
        <dgm:presLayoutVars>
          <dgm:bulletEnabled val="1"/>
        </dgm:presLayoutVars>
      </dgm:prSet>
      <dgm:spPr/>
      <dgm:t>
        <a:bodyPr/>
        <a:lstStyle/>
        <a:p>
          <a:endParaRPr lang="en-AU"/>
        </a:p>
      </dgm:t>
    </dgm:pt>
    <dgm:pt modelId="{F4667527-9CCA-4D48-8BF7-B2C6EA74D86F}" type="pres">
      <dgm:prSet presAssocID="{8A570E8D-FCBB-40E4-8E41-FB05931142D0}" presName="spNode" presStyleCnt="0"/>
      <dgm:spPr/>
    </dgm:pt>
    <dgm:pt modelId="{65389F98-204F-4FC2-83C9-35A7980A881C}" type="pres">
      <dgm:prSet presAssocID="{91E738BA-473A-42E6-B4BA-D3FFE86009FD}" presName="sibTrans" presStyleLbl="sibTrans1D1" presStyleIdx="4" presStyleCnt="5"/>
      <dgm:spPr/>
      <dgm:t>
        <a:bodyPr/>
        <a:lstStyle/>
        <a:p>
          <a:endParaRPr lang="en-AU"/>
        </a:p>
      </dgm:t>
    </dgm:pt>
  </dgm:ptLst>
  <dgm:cxnLst>
    <dgm:cxn modelId="{834EEA2D-032E-48D7-AB65-DE92F955670F}" type="presOf" srcId="{CD172D3B-8806-4FC9-89EE-EE069681EFC5}" destId="{92934778-40CE-42FD-BF08-EE8006AD646F}" srcOrd="0" destOrd="0" presId="urn:microsoft.com/office/officeart/2005/8/layout/cycle5"/>
    <dgm:cxn modelId="{0AAB7034-7873-49F8-987F-FB4BBC260C76}" srcId="{1DE0A195-7637-4670-804D-CD666DC672AA}" destId="{CD172D3B-8806-4FC9-89EE-EE069681EFC5}" srcOrd="1" destOrd="0" parTransId="{81CA75D1-A4F5-4F57-9003-65DEC5845519}" sibTransId="{9C8C3A09-1621-4AD7-A907-8D308900C424}"/>
    <dgm:cxn modelId="{9D7BB083-796D-4AAB-9FDA-E531CE4D78F4}" srcId="{1DE0A195-7637-4670-804D-CD666DC672AA}" destId="{D4B6B105-087C-4601-9DCD-1F9ED905ECB8}" srcOrd="3" destOrd="0" parTransId="{B79B5453-8BEA-4837-A7C7-8737220FE85D}" sibTransId="{B829D853-E02D-46E1-87A5-07DDA8155249}"/>
    <dgm:cxn modelId="{51B4571D-37B5-4C64-B7E2-677E944EE095}" srcId="{1DE0A195-7637-4670-804D-CD666DC672AA}" destId="{8B66A6C3-1604-40D1-A68F-1E81B2544239}" srcOrd="2" destOrd="0" parTransId="{8D8C8AA0-E2E8-4B5F-9ED4-984C5FFD31A5}" sibTransId="{D59EE7D9-ADDF-4C7F-8033-1BE15CD5E135}"/>
    <dgm:cxn modelId="{F52C7362-6EF1-48B4-A214-7E3BA04B60E8}" type="presOf" srcId="{8C15F1C6-92E8-4CC4-B9E4-2C73FA7B4D11}" destId="{8C99A514-3DC4-482F-91E9-B06208573BC2}" srcOrd="0" destOrd="0" presId="urn:microsoft.com/office/officeart/2005/8/layout/cycle5"/>
    <dgm:cxn modelId="{F38A0532-CEF8-4B47-B9D1-AB6EE7F43AF8}" type="presOf" srcId="{D4B6B105-087C-4601-9DCD-1F9ED905ECB8}" destId="{93DAC131-6B69-48D0-AFB8-BCEBB7482145}" srcOrd="0" destOrd="0" presId="urn:microsoft.com/office/officeart/2005/8/layout/cycle5"/>
    <dgm:cxn modelId="{6E34ED37-D546-4F4E-BE8F-3A9C81AF8347}" type="presOf" srcId="{9C8C3A09-1621-4AD7-A907-8D308900C424}" destId="{030EEDB1-0886-4D01-AC1C-655768F3FF2A}" srcOrd="0" destOrd="0" presId="urn:microsoft.com/office/officeart/2005/8/layout/cycle5"/>
    <dgm:cxn modelId="{97962CD0-B40D-4FDC-A1AD-5B0F063C4A7D}" type="presOf" srcId="{8A570E8D-FCBB-40E4-8E41-FB05931142D0}" destId="{68F6BACF-77F3-4B84-9732-922F9FF30456}" srcOrd="0" destOrd="0" presId="urn:microsoft.com/office/officeart/2005/8/layout/cycle5"/>
    <dgm:cxn modelId="{3ABF4C61-9B02-469B-A2E7-9AA9F5755286}" type="presOf" srcId="{6B04BBD9-6CE7-46B7-BEAD-E15D94DAD825}" destId="{C071BB6A-3A88-438D-98A1-97440CBAF5C4}" srcOrd="0" destOrd="0" presId="urn:microsoft.com/office/officeart/2005/8/layout/cycle5"/>
    <dgm:cxn modelId="{CEB84358-7A78-432A-B3D1-62A1F4F00D3C}" type="presOf" srcId="{91E738BA-473A-42E6-B4BA-D3FFE86009FD}" destId="{65389F98-204F-4FC2-83C9-35A7980A881C}" srcOrd="0" destOrd="0" presId="urn:microsoft.com/office/officeart/2005/8/layout/cycle5"/>
    <dgm:cxn modelId="{77C80292-CB67-4092-BB37-55A8C2F80AF8}" srcId="{1DE0A195-7637-4670-804D-CD666DC672AA}" destId="{8A570E8D-FCBB-40E4-8E41-FB05931142D0}" srcOrd="4" destOrd="0" parTransId="{E8069402-2BEB-4D94-BF1C-5A97A418D6D7}" sibTransId="{91E738BA-473A-42E6-B4BA-D3FFE86009FD}"/>
    <dgm:cxn modelId="{DD958389-0F42-4A8A-8CE1-71182E5A9634}" type="presOf" srcId="{B829D853-E02D-46E1-87A5-07DDA8155249}" destId="{06E6FB99-C6F3-49A1-8EF9-B5C1BB7CC80F}" srcOrd="0" destOrd="0" presId="urn:microsoft.com/office/officeart/2005/8/layout/cycle5"/>
    <dgm:cxn modelId="{3B87E0F5-7D1B-40FC-9C5C-D967F2AA3238}" type="presOf" srcId="{1DE0A195-7637-4670-804D-CD666DC672AA}" destId="{843FCC98-ED93-48D1-9500-EB17B6CA45D0}" srcOrd="0" destOrd="0" presId="urn:microsoft.com/office/officeart/2005/8/layout/cycle5"/>
    <dgm:cxn modelId="{3A66810B-60F3-4086-8F28-0ECF5F821BFD}" srcId="{1DE0A195-7637-4670-804D-CD666DC672AA}" destId="{8C15F1C6-92E8-4CC4-B9E4-2C73FA7B4D11}" srcOrd="0" destOrd="0" parTransId="{96D77D5D-334F-46D8-882C-831F9D077427}" sibTransId="{6B04BBD9-6CE7-46B7-BEAD-E15D94DAD825}"/>
    <dgm:cxn modelId="{E0413503-51C9-4196-8025-E332E9ED6C2A}" type="presOf" srcId="{D59EE7D9-ADDF-4C7F-8033-1BE15CD5E135}" destId="{9895E33B-4626-4C96-8632-780A4E75A192}" srcOrd="0" destOrd="0" presId="urn:microsoft.com/office/officeart/2005/8/layout/cycle5"/>
    <dgm:cxn modelId="{D0A355EB-F4A7-494A-B6CF-95B0A4234884}" type="presOf" srcId="{8B66A6C3-1604-40D1-A68F-1E81B2544239}" destId="{4545C682-9BFA-4491-BA08-37432F809107}" srcOrd="0" destOrd="0" presId="urn:microsoft.com/office/officeart/2005/8/layout/cycle5"/>
    <dgm:cxn modelId="{F716F696-4A82-4FDD-99C7-430380AE40F5}" type="presParOf" srcId="{843FCC98-ED93-48D1-9500-EB17B6CA45D0}" destId="{8C99A514-3DC4-482F-91E9-B06208573BC2}" srcOrd="0" destOrd="0" presId="urn:microsoft.com/office/officeart/2005/8/layout/cycle5"/>
    <dgm:cxn modelId="{C113C5EB-08AC-4CC2-B9E1-0CBB38013038}" type="presParOf" srcId="{843FCC98-ED93-48D1-9500-EB17B6CA45D0}" destId="{3F3A828F-4AA6-4D56-8576-63295727B610}" srcOrd="1" destOrd="0" presId="urn:microsoft.com/office/officeart/2005/8/layout/cycle5"/>
    <dgm:cxn modelId="{1D49490C-4EAF-4690-A036-846989646FA5}" type="presParOf" srcId="{843FCC98-ED93-48D1-9500-EB17B6CA45D0}" destId="{C071BB6A-3A88-438D-98A1-97440CBAF5C4}" srcOrd="2" destOrd="0" presId="urn:microsoft.com/office/officeart/2005/8/layout/cycle5"/>
    <dgm:cxn modelId="{59B9E944-C049-44DA-A27B-9084FA8D7BCD}" type="presParOf" srcId="{843FCC98-ED93-48D1-9500-EB17B6CA45D0}" destId="{92934778-40CE-42FD-BF08-EE8006AD646F}" srcOrd="3" destOrd="0" presId="urn:microsoft.com/office/officeart/2005/8/layout/cycle5"/>
    <dgm:cxn modelId="{EC65F4A9-699B-4710-991A-A295720A2346}" type="presParOf" srcId="{843FCC98-ED93-48D1-9500-EB17B6CA45D0}" destId="{1BB6B045-3BAB-43F3-A4D9-D1D912D35453}" srcOrd="4" destOrd="0" presId="urn:microsoft.com/office/officeart/2005/8/layout/cycle5"/>
    <dgm:cxn modelId="{72D22CF1-C2C6-4A8D-83B9-764B2E13E5A6}" type="presParOf" srcId="{843FCC98-ED93-48D1-9500-EB17B6CA45D0}" destId="{030EEDB1-0886-4D01-AC1C-655768F3FF2A}" srcOrd="5" destOrd="0" presId="urn:microsoft.com/office/officeart/2005/8/layout/cycle5"/>
    <dgm:cxn modelId="{A9231F89-C720-4AB0-BE43-541BB46C9575}" type="presParOf" srcId="{843FCC98-ED93-48D1-9500-EB17B6CA45D0}" destId="{4545C682-9BFA-4491-BA08-37432F809107}" srcOrd="6" destOrd="0" presId="urn:microsoft.com/office/officeart/2005/8/layout/cycle5"/>
    <dgm:cxn modelId="{1216C5C1-14E6-44DF-9B1A-1582AD13811F}" type="presParOf" srcId="{843FCC98-ED93-48D1-9500-EB17B6CA45D0}" destId="{0CFC91F5-32F4-4405-A96A-D2DB4516E44F}" srcOrd="7" destOrd="0" presId="urn:microsoft.com/office/officeart/2005/8/layout/cycle5"/>
    <dgm:cxn modelId="{F8910D11-0FE4-45E0-8554-862A67EC680E}" type="presParOf" srcId="{843FCC98-ED93-48D1-9500-EB17B6CA45D0}" destId="{9895E33B-4626-4C96-8632-780A4E75A192}" srcOrd="8" destOrd="0" presId="urn:microsoft.com/office/officeart/2005/8/layout/cycle5"/>
    <dgm:cxn modelId="{3494E995-F61D-403B-937C-96FE043821F5}" type="presParOf" srcId="{843FCC98-ED93-48D1-9500-EB17B6CA45D0}" destId="{93DAC131-6B69-48D0-AFB8-BCEBB7482145}" srcOrd="9" destOrd="0" presId="urn:microsoft.com/office/officeart/2005/8/layout/cycle5"/>
    <dgm:cxn modelId="{860F1E21-3C62-4F24-999B-4815F028B441}" type="presParOf" srcId="{843FCC98-ED93-48D1-9500-EB17B6CA45D0}" destId="{BB1E0BD0-3BC4-412E-8A20-98C433B0F2B8}" srcOrd="10" destOrd="0" presId="urn:microsoft.com/office/officeart/2005/8/layout/cycle5"/>
    <dgm:cxn modelId="{5E355166-62E1-482C-A363-3185BAF97F8D}" type="presParOf" srcId="{843FCC98-ED93-48D1-9500-EB17B6CA45D0}" destId="{06E6FB99-C6F3-49A1-8EF9-B5C1BB7CC80F}" srcOrd="11" destOrd="0" presId="urn:microsoft.com/office/officeart/2005/8/layout/cycle5"/>
    <dgm:cxn modelId="{7FA9D771-23F8-4F0B-82A5-5BD3274C4EA6}" type="presParOf" srcId="{843FCC98-ED93-48D1-9500-EB17B6CA45D0}" destId="{68F6BACF-77F3-4B84-9732-922F9FF30456}" srcOrd="12" destOrd="0" presId="urn:microsoft.com/office/officeart/2005/8/layout/cycle5"/>
    <dgm:cxn modelId="{D8836186-B39E-4E2D-BEC9-AB3AFD22AEC7}" type="presParOf" srcId="{843FCC98-ED93-48D1-9500-EB17B6CA45D0}" destId="{F4667527-9CCA-4D48-8BF7-B2C6EA74D86F}" srcOrd="13" destOrd="0" presId="urn:microsoft.com/office/officeart/2005/8/layout/cycle5"/>
    <dgm:cxn modelId="{22AE6AC2-19B7-4416-BB84-B4B024B801B9}" type="presParOf" srcId="{843FCC98-ED93-48D1-9500-EB17B6CA45D0}" destId="{65389F98-204F-4FC2-83C9-35A7980A881C}" srcOrd="14" destOrd="0" presId="urn:microsoft.com/office/officeart/2005/8/layout/cycle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99A514-3DC4-482F-91E9-B06208573BC2}">
      <dsp:nvSpPr>
        <dsp:cNvPr id="0" name=""/>
        <dsp:cNvSpPr/>
      </dsp:nvSpPr>
      <dsp:spPr>
        <a:xfrm>
          <a:off x="2002932" y="127592"/>
          <a:ext cx="1988790" cy="112735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DRIVERS &amp; ACTIVITIES</a:t>
          </a:r>
        </a:p>
        <a:p>
          <a:pPr lvl="0" algn="ctr" defTabSz="444500">
            <a:lnSpc>
              <a:spcPct val="90000"/>
            </a:lnSpc>
            <a:spcBef>
              <a:spcPct val="0"/>
            </a:spcBef>
            <a:spcAft>
              <a:spcPts val="0"/>
            </a:spcAft>
          </a:pPr>
          <a:r>
            <a:rPr lang="en-AU" sz="1000" b="0" kern="1200">
              <a:solidFill>
                <a:srgbClr val="FFFF00"/>
              </a:solidFill>
            </a:rPr>
            <a:t>Climate</a:t>
          </a:r>
        </a:p>
        <a:p>
          <a:pPr lvl="0" algn="ctr" defTabSz="444500">
            <a:lnSpc>
              <a:spcPct val="90000"/>
            </a:lnSpc>
            <a:spcBef>
              <a:spcPct val="0"/>
            </a:spcBef>
            <a:spcAft>
              <a:spcPts val="0"/>
            </a:spcAft>
          </a:pPr>
          <a:r>
            <a:rPr lang="en-AU" sz="1000" b="0" kern="1200"/>
            <a:t>Population growth</a:t>
          </a:r>
        </a:p>
        <a:p>
          <a:pPr lvl="0" algn="ctr" defTabSz="444500">
            <a:lnSpc>
              <a:spcPct val="90000"/>
            </a:lnSpc>
            <a:spcBef>
              <a:spcPct val="0"/>
            </a:spcBef>
            <a:spcAft>
              <a:spcPts val="0"/>
            </a:spcAft>
          </a:pPr>
          <a:r>
            <a:rPr lang="en-AU" sz="1000" b="0" kern="1200">
              <a:solidFill>
                <a:srgbClr val="FFFF00"/>
              </a:solidFill>
            </a:rPr>
            <a:t>Economic growth (incl. land use)</a:t>
          </a:r>
        </a:p>
        <a:p>
          <a:pPr lvl="0" algn="ctr" defTabSz="444500">
            <a:lnSpc>
              <a:spcPct val="90000"/>
            </a:lnSpc>
            <a:spcBef>
              <a:spcPct val="0"/>
            </a:spcBef>
            <a:spcAft>
              <a:spcPts val="0"/>
            </a:spcAft>
          </a:pPr>
          <a:r>
            <a:rPr lang="en-AU" sz="1000" b="0" kern="1200"/>
            <a:t>Technological development</a:t>
          </a:r>
        </a:p>
        <a:p>
          <a:pPr lvl="0" algn="ctr" defTabSz="444500">
            <a:lnSpc>
              <a:spcPct val="90000"/>
            </a:lnSpc>
            <a:spcBef>
              <a:spcPct val="0"/>
            </a:spcBef>
            <a:spcAft>
              <a:spcPts val="0"/>
            </a:spcAft>
          </a:pPr>
          <a:r>
            <a:rPr lang="en-AU" sz="1000" b="0" kern="1200"/>
            <a:t>Societal attitudes</a:t>
          </a:r>
        </a:p>
      </dsp:txBody>
      <dsp:txXfrm>
        <a:off x="2057965" y="182625"/>
        <a:ext cx="1878724" cy="1017293"/>
      </dsp:txXfrm>
    </dsp:sp>
    <dsp:sp modelId="{C071BB6A-3A88-438D-98A1-97440CBAF5C4}">
      <dsp:nvSpPr>
        <dsp:cNvPr id="0" name=""/>
        <dsp:cNvSpPr/>
      </dsp:nvSpPr>
      <dsp:spPr>
        <a:xfrm>
          <a:off x="1274903" y="983746"/>
          <a:ext cx="3849010" cy="3849010"/>
        </a:xfrm>
        <a:custGeom>
          <a:avLst/>
          <a:gdLst/>
          <a:ahLst/>
          <a:cxnLst/>
          <a:rect l="0" t="0" r="0" b="0"/>
          <a:pathLst>
            <a:path>
              <a:moveTo>
                <a:pt x="2810345" y="215995"/>
              </a:moveTo>
              <a:arcTo wR="1924505" hR="1924505" stAng="17844370" swAng="559881"/>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92934778-40CE-42FD-BF08-EE8006AD646F}">
      <dsp:nvSpPr>
        <dsp:cNvPr id="0" name=""/>
        <dsp:cNvSpPr/>
      </dsp:nvSpPr>
      <dsp:spPr>
        <a:xfrm>
          <a:off x="3736701" y="1430377"/>
          <a:ext cx="1868442" cy="115722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IMPACTS / PRESSURES </a:t>
          </a:r>
        </a:p>
        <a:p>
          <a:pPr lvl="0" algn="ctr" defTabSz="444500">
            <a:lnSpc>
              <a:spcPct val="90000"/>
            </a:lnSpc>
            <a:spcBef>
              <a:spcPct val="0"/>
            </a:spcBef>
            <a:spcAft>
              <a:spcPts val="0"/>
            </a:spcAft>
          </a:pPr>
          <a:r>
            <a:rPr lang="en-AU" sz="1000" b="0" i="0" kern="1200">
              <a:solidFill>
                <a:srgbClr val="FFFF00"/>
              </a:solidFill>
            </a:rPr>
            <a:t>Cyclones</a:t>
          </a:r>
        </a:p>
        <a:p>
          <a:pPr lvl="0" algn="ctr" defTabSz="444500">
            <a:lnSpc>
              <a:spcPct val="90000"/>
            </a:lnSpc>
            <a:spcBef>
              <a:spcPct val="0"/>
            </a:spcBef>
            <a:spcAft>
              <a:spcPts val="0"/>
            </a:spcAft>
          </a:pPr>
          <a:r>
            <a:rPr lang="en-AU" sz="1000" kern="1200">
              <a:solidFill>
                <a:srgbClr val="FFFF00"/>
              </a:solidFill>
            </a:rPr>
            <a:t>Freshwater discharge</a:t>
          </a:r>
        </a:p>
        <a:p>
          <a:pPr lvl="0" algn="ctr" defTabSz="444500">
            <a:lnSpc>
              <a:spcPct val="90000"/>
            </a:lnSpc>
            <a:spcBef>
              <a:spcPct val="0"/>
            </a:spcBef>
            <a:spcAft>
              <a:spcPts val="0"/>
            </a:spcAft>
          </a:pPr>
          <a:r>
            <a:rPr lang="en-AU" sz="1000" kern="1200">
              <a:solidFill>
                <a:srgbClr val="FFFF00"/>
              </a:solidFill>
            </a:rPr>
            <a:t>Catchment runoff (sediment, nutrient, pesticides)</a:t>
          </a:r>
        </a:p>
        <a:p>
          <a:pPr lvl="0" algn="ctr" defTabSz="444500">
            <a:lnSpc>
              <a:spcPct val="90000"/>
            </a:lnSpc>
            <a:spcBef>
              <a:spcPct val="0"/>
            </a:spcBef>
            <a:spcAft>
              <a:spcPts val="0"/>
            </a:spcAft>
          </a:pPr>
          <a:r>
            <a:rPr lang="en-AU" sz="1000" kern="1200">
              <a:solidFill>
                <a:srgbClr val="FFFF00"/>
              </a:solidFill>
            </a:rPr>
            <a:t>Degradation of coastal ecosystems</a:t>
          </a:r>
        </a:p>
        <a:p>
          <a:pPr lvl="0" algn="ctr" defTabSz="444500">
            <a:lnSpc>
              <a:spcPct val="90000"/>
            </a:lnSpc>
            <a:spcBef>
              <a:spcPct val="0"/>
            </a:spcBef>
            <a:spcAft>
              <a:spcPts val="0"/>
            </a:spcAft>
          </a:pPr>
          <a:r>
            <a:rPr lang="en-AU" sz="1000" kern="1200"/>
            <a:t>Direct  use</a:t>
          </a:r>
        </a:p>
      </dsp:txBody>
      <dsp:txXfrm>
        <a:off x="3793192" y="1486868"/>
        <a:ext cx="1755460" cy="1044241"/>
      </dsp:txXfrm>
    </dsp:sp>
    <dsp:sp modelId="{030EEDB1-0886-4D01-AC1C-655768F3FF2A}">
      <dsp:nvSpPr>
        <dsp:cNvPr id="0" name=""/>
        <dsp:cNvSpPr/>
      </dsp:nvSpPr>
      <dsp:spPr>
        <a:xfrm>
          <a:off x="886911" y="391542"/>
          <a:ext cx="3849010" cy="3849010"/>
        </a:xfrm>
        <a:custGeom>
          <a:avLst/>
          <a:gdLst/>
          <a:ahLst/>
          <a:cxnLst/>
          <a:rect l="0" t="0" r="0" b="0"/>
          <a:pathLst>
            <a:path>
              <a:moveTo>
                <a:pt x="3798229" y="2363680"/>
              </a:moveTo>
              <a:arcTo wR="1924505" hR="1924505" stAng="791474" swAng="927080"/>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4545C682-9BFA-4491-BA08-37432F809107}">
      <dsp:nvSpPr>
        <dsp:cNvPr id="0" name=""/>
        <dsp:cNvSpPr/>
      </dsp:nvSpPr>
      <dsp:spPr>
        <a:xfrm>
          <a:off x="2984402" y="3384466"/>
          <a:ext cx="1955727" cy="105359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CONDITION</a:t>
          </a:r>
        </a:p>
        <a:p>
          <a:pPr lvl="0" algn="ctr" defTabSz="444500">
            <a:lnSpc>
              <a:spcPct val="90000"/>
            </a:lnSpc>
            <a:spcBef>
              <a:spcPct val="0"/>
            </a:spcBef>
            <a:spcAft>
              <a:spcPts val="0"/>
            </a:spcAft>
          </a:pPr>
          <a:r>
            <a:rPr lang="en-AU" sz="1000" kern="1200"/>
            <a:t>Environmental processes </a:t>
          </a:r>
          <a:r>
            <a:rPr lang="en-AU" sz="1000" kern="1200">
              <a:solidFill>
                <a:srgbClr val="FFFF00"/>
              </a:solidFill>
            </a:rPr>
            <a:t>inc local and regional water quality trends</a:t>
          </a:r>
        </a:p>
        <a:p>
          <a:pPr lvl="0" algn="ctr" defTabSz="444500">
            <a:lnSpc>
              <a:spcPct val="90000"/>
            </a:lnSpc>
            <a:spcBef>
              <a:spcPct val="0"/>
            </a:spcBef>
            <a:spcAft>
              <a:spcPts val="0"/>
            </a:spcAft>
          </a:pPr>
          <a:r>
            <a:rPr lang="en-AU" sz="1000" kern="1200"/>
            <a:t>Habitats &amp; species</a:t>
          </a:r>
        </a:p>
        <a:p>
          <a:pPr lvl="0" algn="ctr" defTabSz="444500">
            <a:lnSpc>
              <a:spcPct val="90000"/>
            </a:lnSpc>
            <a:spcBef>
              <a:spcPct val="0"/>
            </a:spcBef>
            <a:spcAft>
              <a:spcPts val="0"/>
            </a:spcAft>
          </a:pPr>
          <a:r>
            <a:rPr lang="en-AU" sz="1000" kern="1200"/>
            <a:t>Ecological processes </a:t>
          </a:r>
        </a:p>
        <a:p>
          <a:pPr lvl="0" algn="ctr" defTabSz="444500">
            <a:lnSpc>
              <a:spcPct val="90000"/>
            </a:lnSpc>
            <a:spcBef>
              <a:spcPct val="0"/>
            </a:spcBef>
            <a:spcAft>
              <a:spcPts val="0"/>
            </a:spcAft>
          </a:pPr>
          <a:r>
            <a:rPr lang="en-AU" sz="1000" kern="1200"/>
            <a:t>Heritage values</a:t>
          </a:r>
        </a:p>
      </dsp:txBody>
      <dsp:txXfrm>
        <a:off x="3035834" y="3435898"/>
        <a:ext cx="1852863" cy="950734"/>
      </dsp:txXfrm>
    </dsp:sp>
    <dsp:sp modelId="{9895E33B-4626-4C96-8632-780A4E75A192}">
      <dsp:nvSpPr>
        <dsp:cNvPr id="0" name=""/>
        <dsp:cNvSpPr/>
      </dsp:nvSpPr>
      <dsp:spPr>
        <a:xfrm>
          <a:off x="910842" y="473245"/>
          <a:ext cx="3849010" cy="3849010"/>
        </a:xfrm>
        <a:custGeom>
          <a:avLst/>
          <a:gdLst/>
          <a:ahLst/>
          <a:cxnLst/>
          <a:rect l="0" t="0" r="0" b="0"/>
          <a:pathLst>
            <a:path>
              <a:moveTo>
                <a:pt x="1827520" y="3846564"/>
              </a:moveTo>
              <a:arcTo wR="1924505" hR="1924505" stAng="5573317" swAng="1358865"/>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93DAC131-6B69-48D0-AFB8-BCEBB7482145}">
      <dsp:nvSpPr>
        <dsp:cNvPr id="0" name=""/>
        <dsp:cNvSpPr/>
      </dsp:nvSpPr>
      <dsp:spPr>
        <a:xfrm>
          <a:off x="387505" y="3051775"/>
          <a:ext cx="1785570" cy="96242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AU" sz="1000" b="1" kern="1200"/>
            <a:t>COMMUNITY BENEFITS</a:t>
          </a:r>
        </a:p>
      </dsp:txBody>
      <dsp:txXfrm>
        <a:off x="434487" y="3098757"/>
        <a:ext cx="1691606" cy="868463"/>
      </dsp:txXfrm>
    </dsp:sp>
    <dsp:sp modelId="{06E6FB99-C6F3-49A1-8EF9-B5C1BB7CC80F}">
      <dsp:nvSpPr>
        <dsp:cNvPr id="0" name=""/>
        <dsp:cNvSpPr/>
      </dsp:nvSpPr>
      <dsp:spPr>
        <a:xfrm>
          <a:off x="1010217" y="844714"/>
          <a:ext cx="3849010" cy="3849010"/>
        </a:xfrm>
        <a:custGeom>
          <a:avLst/>
          <a:gdLst/>
          <a:ahLst/>
          <a:cxnLst/>
          <a:rect l="0" t="0" r="0" b="0"/>
          <a:pathLst>
            <a:path>
              <a:moveTo>
                <a:pt x="5285" y="2067043"/>
              </a:moveTo>
              <a:arcTo wR="1924505" hR="1924505" stAng="10545150" swAng="762273"/>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68F6BACF-77F3-4B84-9732-922F9FF30456}">
      <dsp:nvSpPr>
        <dsp:cNvPr id="0" name=""/>
        <dsp:cNvSpPr/>
      </dsp:nvSpPr>
      <dsp:spPr>
        <a:xfrm>
          <a:off x="258908" y="1385261"/>
          <a:ext cx="1792425" cy="96242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MANAGEMENT RESPONSES </a:t>
          </a:r>
          <a:r>
            <a:rPr lang="en-AU" sz="1000" kern="1200"/>
            <a:t>Actions under Reef Plan and Reef 2050 Plan</a:t>
          </a:r>
        </a:p>
      </dsp:txBody>
      <dsp:txXfrm>
        <a:off x="305890" y="1432243"/>
        <a:ext cx="1698461" cy="868463"/>
      </dsp:txXfrm>
    </dsp:sp>
    <dsp:sp modelId="{65389F98-204F-4FC2-83C9-35A7980A881C}">
      <dsp:nvSpPr>
        <dsp:cNvPr id="0" name=""/>
        <dsp:cNvSpPr/>
      </dsp:nvSpPr>
      <dsp:spPr>
        <a:xfrm>
          <a:off x="1048599" y="597226"/>
          <a:ext cx="3849010" cy="3849010"/>
        </a:xfrm>
        <a:custGeom>
          <a:avLst/>
          <a:gdLst/>
          <a:ahLst/>
          <a:cxnLst/>
          <a:rect l="0" t="0" r="0" b="0"/>
          <a:pathLst>
            <a:path>
              <a:moveTo>
                <a:pt x="469156" y="665267"/>
              </a:moveTo>
              <a:arcTo wR="1924505" hR="1924505" stAng="13252075" swAng="851151"/>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0" ma:contentTypeDescription="" ma:contentTypeScope="" ma:versionID="f980719a2afde6e54316a2c76c6258b6">
  <xsd:schema xmlns:xsd="http://www.w3.org/2001/XMLSchema" xmlns:xs="http://www.w3.org/2001/XMLSchema" xmlns:p="http://schemas.microsoft.com/office/2006/metadata/properties" xmlns:ns2="8ccc4631-9afc-4718-b120-5e2e37a03cc7" targetNamespace="http://schemas.microsoft.com/office/2006/metadata/properties" ma:root="true" ma:fieldsID="db46257dc0e7cf990058462aa9ee819e"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PROJ-1577287649-410</_dlc_DocId>
    <_dlc_DocIdUrl xmlns="8ccc4631-9afc-4718-b120-5e2e37a03cc7">
      <Url>http://thedock.gbrmpa.gov.au/sites/Projects/P000056/_layouts/DocIdRedir.aspx?ID=PROJ-1577287649-410</Url>
      <Description>PROJ-1577287649-410</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F14BD2-E924-49F7-B57E-99ACF87C9D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5A52CC-60B5-406A-A8BE-13DB3FEC36F4}">
  <ds:schemaRefs>
    <ds:schemaRef ds:uri="http://purl.org/dc/terms/"/>
    <ds:schemaRef ds:uri="http://schemas.microsoft.com/office/2006/documentManagement/types"/>
    <ds:schemaRef ds:uri="http://schemas.microsoft.com/office/infopath/2007/PartnerControls"/>
    <ds:schemaRef ds:uri="8ccc4631-9afc-4718-b120-5e2e37a03cc7"/>
    <ds:schemaRef ds:uri="http://schemas.openxmlformats.org/package/2006/metadata/core-properties"/>
    <ds:schemaRef ds:uri="http://purl.org/dc/elements/1.1/"/>
    <ds:schemaRef ds:uri="http://purl.org/dc/dcmitype/"/>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9C6A9397-6D1D-4B00-A1B1-385882A9FE21}">
  <ds:schemaRefs>
    <ds:schemaRef ds:uri="http://schemas.microsoft.com/sharepoint/v3/contenttype/forms"/>
  </ds:schemaRefs>
</ds:datastoreItem>
</file>

<file path=customXml/itemProps4.xml><?xml version="1.0" encoding="utf-8"?>
<ds:datastoreItem xmlns:ds="http://schemas.openxmlformats.org/officeDocument/2006/customXml" ds:itemID="{26D70B0B-5ED3-4DB1-8C3C-83085A3602FB}">
  <ds:schemaRefs>
    <ds:schemaRef ds:uri="http://schemas.microsoft.com/sharepoint/events"/>
  </ds:schemaRefs>
</ds:datastoreItem>
</file>

<file path=customXml/itemProps5.xml><?xml version="1.0" encoding="utf-8"?>
<ds:datastoreItem xmlns:ds="http://schemas.openxmlformats.org/officeDocument/2006/customXml" ds:itemID="{61333CE0-18BF-4198-A5B2-DAC211987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127</Pages>
  <Words>62893</Words>
  <Characters>358495</Characters>
  <Application>Microsoft Office Word</Application>
  <DocSecurity>0</DocSecurity>
  <Lines>2987</Lines>
  <Paragraphs>841</Paragraphs>
  <ScaleCrop>false</ScaleCrop>
  <HeadingPairs>
    <vt:vector size="2" baseType="variant">
      <vt:variant>
        <vt:lpstr>Title</vt:lpstr>
      </vt:variant>
      <vt:variant>
        <vt:i4>1</vt:i4>
      </vt:variant>
    </vt:vector>
  </HeadingPairs>
  <TitlesOfParts>
    <vt:vector size="1" baseType="lpstr">
      <vt:lpstr>Pesticides-Report-2015-16-resubmitted with revisions 8_1_2018</vt:lpstr>
    </vt:vector>
  </TitlesOfParts>
  <LinksUpToDate>false</LinksUpToDate>
  <CharactersWithSpaces>420547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Pesticides-Report-2015-16-resubmitted with revisions 8_1_2018</dc:title>
  <dc:creator/>
  <cp:lastModifiedBy/>
  <cp:revision>1</cp:revision>
  <dcterms:created xsi:type="dcterms:W3CDTF">2018-01-10T00:22:00Z</dcterms:created>
  <dcterms:modified xsi:type="dcterms:W3CDTF">2018-01-10T00:22:00Z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0x010100441936E5D27A4AF2935B3316DA024CF20099EC44274A21C14AB4E4B4AC8EB06ABC</vt:lpwstr>
  </property>
  <property fmtid="{D5CDD505-2E9C-101B-9397-08002B2CF9AE}" pid="3" name="_dlc_DocIdItemGuid">
    <vt:lpwstr>190cc617-a503-4cff-8b80-9d29e9c335d2</vt:lpwstr>
  </property>
</Properties>
</file>